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Lines="0"/>
        <w:rPr>
          <w:rFonts w:hint="default"/>
          <w:w w:val="102"/>
          <w:kern w:val="0"/>
          <w:sz w:val="30"/>
          <w:szCs w:val="30"/>
        </w:rPr>
      </w:pPr>
      <w:r>
        <w:rPr>
          <w:rFonts w:hint="eastAsia"/>
          <w:w w:val="102"/>
          <w:kern w:val="0"/>
          <w:sz w:val="30"/>
          <w:szCs w:val="30"/>
        </w:rPr>
        <w:t>客户权益须知</w:t>
      </w:r>
    </w:p>
    <w:p>
      <w:pPr>
        <w:spacing w:before="5" w:beforeLines="0" w:afterLines="0"/>
        <w:rPr>
          <w:rFonts w:hint="eastAsia" w:ascii="宋体" w:hAnsi="宋体" w:eastAsia="宋体"/>
          <w:b/>
          <w:spacing w:val="10"/>
          <w:sz w:val="18"/>
          <w:szCs w:val="24"/>
        </w:rPr>
      </w:pPr>
      <w:r>
        <w:rPr>
          <w:rFonts w:hint="eastAsia" w:ascii="宋体" w:hAnsi="宋体"/>
          <w:b/>
          <w:spacing w:val="10"/>
          <w:sz w:val="18"/>
          <w:szCs w:val="24"/>
        </w:rPr>
        <w:t>尊敬的投资者：</w:t>
      </w:r>
    </w:p>
    <w:p>
      <w:pPr>
        <w:spacing w:beforeLines="0" w:afterLines="0"/>
        <w:jc w:val="center"/>
        <w:rPr>
          <w:rFonts w:hint="eastAsia" w:ascii="宋体" w:hAnsi="宋体" w:eastAsia="宋体"/>
          <w:b/>
          <w:spacing w:val="10"/>
          <w:sz w:val="18"/>
          <w:szCs w:val="24"/>
        </w:rPr>
      </w:pPr>
      <w:r>
        <w:rPr>
          <w:rFonts w:hint="eastAsia" w:ascii="宋体" w:hAnsi="宋体"/>
          <w:b/>
          <w:spacing w:val="10"/>
          <w:sz w:val="18"/>
          <w:szCs w:val="24"/>
        </w:rPr>
        <w:t>为更好的保障您的合法权益，熟悉理财购买流程，敬请阅读客户权益须知</w:t>
      </w:r>
    </w:p>
    <w:p>
      <w:pPr>
        <w:spacing w:beforeLines="0" w:afterLines="0"/>
        <w:ind w:firstLine="360" w:firstLineChars="199"/>
        <w:rPr>
          <w:rFonts w:hint="eastAsia" w:ascii="宋体" w:hAnsi="宋体" w:eastAsia="宋体"/>
          <w:b/>
          <w:sz w:val="18"/>
          <w:szCs w:val="24"/>
        </w:rPr>
      </w:pPr>
      <w:r>
        <w:rPr>
          <w:rFonts w:hint="eastAsia" w:ascii="宋体" w:hAnsi="宋体"/>
          <w:b/>
          <w:sz w:val="18"/>
          <w:szCs w:val="24"/>
        </w:rPr>
        <w:t>（一）理财产品购买和服务流程说明</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1</w:t>
      </w:r>
      <w:r>
        <w:rPr>
          <w:rFonts w:hint="eastAsia" w:ascii="宋体" w:hAnsi="宋体"/>
          <w:sz w:val="15"/>
          <w:szCs w:val="24"/>
        </w:rPr>
        <w:t>．</w:t>
      </w:r>
      <w:r>
        <w:rPr>
          <w:rFonts w:hint="eastAsia" w:ascii="宋体" w:hAnsi="宋体"/>
          <w:sz w:val="18"/>
          <w:szCs w:val="24"/>
        </w:rPr>
        <w:t>风险承受能力评估。首次购买理财的客户须在紫金农商银行（</w:t>
      </w:r>
      <w:r>
        <w:rPr>
          <w:rFonts w:hint="eastAsia" w:ascii="宋体" w:hAnsi="宋体" w:eastAsia="宋体"/>
          <w:sz w:val="18"/>
          <w:szCs w:val="24"/>
        </w:rPr>
        <w:t xml:space="preserve"> </w:t>
      </w:r>
      <w:r>
        <w:rPr>
          <w:rFonts w:hint="eastAsia" w:ascii="宋体" w:hAnsi="宋体"/>
          <w:sz w:val="18"/>
          <w:szCs w:val="24"/>
        </w:rPr>
        <w:t>以下简称“我行”）网点进行风险承受能力评估和理财签约。通过风险承受能力评估，客户可以清楚了解自身的风险承受能力和可购买的理财产品风险等级。风险评估须填写《紫金农商银行客户风险承受能力评估表》。</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（1）产品认购：</w:t>
      </w:r>
    </w:p>
    <w:p>
      <w:pPr>
        <w:spacing w:beforeLines="0" w:afterLines="0"/>
        <w:ind w:firstLine="358" w:firstLineChars="199"/>
        <w:rPr>
          <w:rFonts w:hint="eastAsia" w:ascii="宋体" w:hAnsi="宋体"/>
          <w:sz w:val="18"/>
          <w:szCs w:val="24"/>
        </w:rPr>
      </w:pPr>
      <w:r>
        <w:rPr>
          <w:rFonts w:hint="eastAsia" w:ascii="宋体" w:hAnsi="宋体"/>
          <w:sz w:val="18"/>
          <w:szCs w:val="24"/>
        </w:rPr>
        <w:t>客户在理财产品发行期内认购，将足额认购款存入“授权指定账户”，在认购日（含）至发行期结束日（含）期间，客户认购款项按照活期储蓄利率计付利息。客户在发行期内认购本理财产品时，我行将在发行期结束后将客户的 “授权指定账户”内的认购金额划至我行指定账户。</w:t>
      </w:r>
    </w:p>
    <w:p>
      <w:pPr>
        <w:spacing w:beforeLines="0" w:afterLines="0"/>
        <w:ind w:firstLine="358" w:firstLineChars="199"/>
        <w:rPr>
          <w:rFonts w:hint="eastAsia" w:ascii="宋体" w:hAnsi="宋体"/>
          <w:sz w:val="18"/>
          <w:szCs w:val="24"/>
        </w:rPr>
      </w:pPr>
      <w:r>
        <w:rPr>
          <w:rFonts w:hint="eastAsia" w:ascii="宋体" w:hAnsi="宋体"/>
          <w:sz w:val="18"/>
          <w:szCs w:val="24"/>
        </w:rPr>
        <w:t>（2）认购取消申请：</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您可在本理财产品发行期内（营业时间）申请取消认购，发行期结束（含）以后，我行不再受理认购取消申请。</w:t>
      </w:r>
    </w:p>
    <w:p>
      <w:pPr>
        <w:autoSpaceDE w:val="0"/>
        <w:autoSpaceDN w:val="0"/>
        <w:adjustRightInd w:val="0"/>
        <w:spacing w:beforeLines="0" w:afterLines="0"/>
        <w:ind w:firstLine="360" w:firstLineChars="200"/>
        <w:rPr>
          <w:rFonts w:hint="eastAsia" w:ascii="宋体" w:hAnsi="宋体" w:eastAsia="宋体"/>
          <w:sz w:val="18"/>
          <w:szCs w:val="24"/>
        </w:rPr>
      </w:pPr>
      <w:r>
        <w:rPr>
          <w:rFonts w:hint="eastAsia" w:ascii="宋体" w:hAnsi="宋体"/>
          <w:sz w:val="18"/>
          <w:szCs w:val="24"/>
        </w:rPr>
        <w:t>2</w:t>
      </w:r>
      <w:r>
        <w:rPr>
          <w:rFonts w:hint="eastAsia" w:ascii="宋体" w:hAnsi="宋体"/>
          <w:sz w:val="15"/>
          <w:szCs w:val="24"/>
        </w:rPr>
        <w:t>．</w:t>
      </w:r>
      <w:r>
        <w:rPr>
          <w:rFonts w:hint="eastAsia" w:ascii="宋体" w:hAnsi="宋体"/>
          <w:sz w:val="18"/>
          <w:szCs w:val="24"/>
        </w:rPr>
        <w:t>如客户选择在银行营业网点购买理财产品，流程如下：</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（1）理财产品推荐及录音录像（</w:t>
      </w:r>
      <w:r>
        <w:rPr>
          <w:rFonts w:hint="eastAsia" w:ascii="宋体" w:hAnsi="宋体" w:eastAsia="宋体"/>
          <w:sz w:val="18"/>
          <w:szCs w:val="24"/>
        </w:rPr>
        <w:t xml:space="preserve"> </w:t>
      </w:r>
      <w:r>
        <w:rPr>
          <w:rFonts w:hint="eastAsia" w:ascii="宋体" w:hAnsi="宋体"/>
          <w:sz w:val="18"/>
          <w:szCs w:val="24"/>
        </w:rPr>
        <w:t>以下简称“</w:t>
      </w:r>
      <w:r>
        <w:rPr>
          <w:rFonts w:hint="eastAsia" w:ascii="宋体" w:hAnsi="宋体" w:eastAsia="宋体"/>
          <w:sz w:val="18"/>
          <w:szCs w:val="24"/>
        </w:rPr>
        <w:t xml:space="preserve"> </w:t>
      </w:r>
      <w:r>
        <w:rPr>
          <w:rFonts w:hint="eastAsia" w:ascii="宋体" w:hAnsi="宋体"/>
          <w:sz w:val="18"/>
          <w:szCs w:val="24"/>
        </w:rPr>
        <w:t>双录”）。银行理财产品销售人员根据客户的风险评估结果，向客户推荐合适的理财产品，</w:t>
      </w:r>
      <w:r>
        <w:rPr>
          <w:rFonts w:hint="eastAsia" w:ascii="宋体" w:hAnsi="宋体" w:eastAsia="宋体"/>
          <w:sz w:val="18"/>
          <w:szCs w:val="24"/>
        </w:rPr>
        <w:t xml:space="preserve"> </w:t>
      </w:r>
      <w:r>
        <w:rPr>
          <w:rFonts w:hint="eastAsia" w:ascii="宋体" w:hAnsi="宋体"/>
          <w:sz w:val="18"/>
          <w:szCs w:val="24"/>
        </w:rPr>
        <w:t>提供理财产品销售文件，</w:t>
      </w:r>
      <w:r>
        <w:rPr>
          <w:rFonts w:hint="eastAsia" w:ascii="宋体" w:hAnsi="宋体" w:eastAsia="宋体"/>
          <w:sz w:val="18"/>
          <w:szCs w:val="24"/>
        </w:rPr>
        <w:t xml:space="preserve"> </w:t>
      </w:r>
      <w:r>
        <w:rPr>
          <w:rFonts w:hint="eastAsia" w:ascii="宋体" w:hAnsi="宋体"/>
          <w:sz w:val="18"/>
          <w:szCs w:val="24"/>
        </w:rPr>
        <w:t>介绍产品相关条款及风险揭示等内容。客户应仔细阅读拟购买理财产品销售文件，包括：《理财产品协议书》、《理财产品说明书》、《理财产品风险揭示书》、《客户权益须知》等。自主决定是否购买，如确认购买，须在《理财产品协议书》上签字确认并亲自抄录风险揭示语句。银行理财产品销售人员须在销售专区对理财销售全过程进行双录。</w:t>
      </w:r>
    </w:p>
    <w:p>
      <w:pPr>
        <w:autoSpaceDE w:val="0"/>
        <w:autoSpaceDN w:val="0"/>
        <w:adjustRightInd w:val="0"/>
        <w:spacing w:beforeLines="0" w:afterLines="0"/>
        <w:ind w:firstLine="360" w:firstLineChars="200"/>
        <w:rPr>
          <w:rFonts w:hint="eastAsia" w:ascii="宋体" w:hAnsi="宋体" w:eastAsia="宋体" w:cs="宋体"/>
          <w:sz w:val="18"/>
          <w:szCs w:val="18"/>
        </w:rPr>
      </w:pPr>
      <w:r>
        <w:rPr>
          <w:rFonts w:hint="eastAsia" w:ascii="宋体" w:hAnsi="宋体" w:cs="宋体"/>
          <w:sz w:val="18"/>
          <w:szCs w:val="18"/>
        </w:rPr>
        <w:t>（2）理财产品认</w:t>
      </w:r>
      <w:r>
        <w:rPr>
          <w:rFonts w:hint="eastAsia" w:ascii="宋体" w:hAnsi="宋体" w:eastAsia="宋体" w:cs="TimesNewRomanPSMT"/>
          <w:sz w:val="18"/>
          <w:szCs w:val="18"/>
        </w:rPr>
        <w:t>/</w:t>
      </w:r>
      <w:r>
        <w:rPr>
          <w:rFonts w:hint="eastAsia" w:ascii="宋体" w:hAnsi="宋体" w:cs="宋体"/>
          <w:sz w:val="18"/>
          <w:szCs w:val="18"/>
        </w:rPr>
        <w:t>申购申请。</w:t>
      </w:r>
    </w:p>
    <w:p>
      <w:pPr>
        <w:autoSpaceDE w:val="0"/>
        <w:autoSpaceDN w:val="0"/>
        <w:adjustRightInd w:val="0"/>
        <w:spacing w:beforeLines="0" w:afterLines="0"/>
        <w:ind w:firstLine="360" w:firstLineChars="200"/>
        <w:rPr>
          <w:rFonts w:hint="eastAsia" w:ascii="宋体" w:hAnsi="宋体" w:eastAsia="宋体" w:cs="宋体"/>
          <w:sz w:val="18"/>
          <w:szCs w:val="18"/>
        </w:rPr>
      </w:pPr>
      <w:r>
        <w:rPr>
          <w:rFonts w:hint="eastAsia" w:ascii="宋体" w:hAnsi="宋体" w:cs="宋体"/>
          <w:sz w:val="18"/>
          <w:szCs w:val="18"/>
        </w:rPr>
        <w:t>客户向银行申请购买理财产品前须开立银行借记卡，在理财产品募集期</w:t>
      </w:r>
      <w:r>
        <w:rPr>
          <w:rFonts w:hint="eastAsia" w:ascii="宋体" w:hAnsi="宋体" w:eastAsia="宋体" w:cs="TimesNewRomanPSMT"/>
          <w:sz w:val="18"/>
          <w:szCs w:val="18"/>
        </w:rPr>
        <w:t>/</w:t>
      </w:r>
      <w:r>
        <w:rPr>
          <w:rFonts w:hint="eastAsia" w:ascii="宋体" w:hAnsi="宋体" w:cs="宋体"/>
          <w:sz w:val="18"/>
          <w:szCs w:val="18"/>
        </w:rPr>
        <w:t>开放期销售时段内</w:t>
      </w:r>
      <w:r>
        <w:rPr>
          <w:rFonts w:hint="eastAsia" w:ascii="宋体" w:hAnsi="宋体" w:eastAsia="宋体" w:cs="TimesNewRomanPSMT"/>
          <w:sz w:val="18"/>
          <w:szCs w:val="18"/>
        </w:rPr>
        <w:t>,</w:t>
      </w:r>
      <w:r>
        <w:rPr>
          <w:rFonts w:hint="eastAsia" w:ascii="宋体" w:hAnsi="宋体" w:cs="宋体"/>
          <w:sz w:val="18"/>
          <w:szCs w:val="18"/>
        </w:rPr>
        <w:t>按照对应期次的《理财产品说明书》约定的币种和金额存入理财账户。客户将本人有效身份证件、已签字确认的理财认</w:t>
      </w:r>
      <w:r>
        <w:rPr>
          <w:rFonts w:hint="eastAsia" w:ascii="宋体" w:hAnsi="宋体" w:eastAsia="宋体" w:cs="TimesNewRomanPSMT"/>
          <w:sz w:val="18"/>
          <w:szCs w:val="18"/>
        </w:rPr>
        <w:t>/</w:t>
      </w:r>
      <w:r>
        <w:rPr>
          <w:rFonts w:hint="eastAsia" w:ascii="宋体" w:hAnsi="宋体" w:cs="宋体"/>
          <w:sz w:val="18"/>
          <w:szCs w:val="18"/>
        </w:rPr>
        <w:t>申购申请资料提交银行柜面服务人员进行购买操作，银行柜面服务人员通过柜面相关交易录入客户认</w:t>
      </w:r>
      <w:r>
        <w:rPr>
          <w:rFonts w:hint="eastAsia" w:ascii="宋体" w:hAnsi="宋体" w:eastAsia="宋体" w:cs="TimesNewRomanPSMT"/>
          <w:sz w:val="18"/>
          <w:szCs w:val="18"/>
        </w:rPr>
        <w:t>/</w:t>
      </w:r>
      <w:r>
        <w:rPr>
          <w:rFonts w:hint="eastAsia" w:ascii="宋体" w:hAnsi="宋体" w:cs="宋体"/>
          <w:sz w:val="18"/>
          <w:szCs w:val="18"/>
        </w:rPr>
        <w:t>申购信息，完成认</w:t>
      </w:r>
      <w:r>
        <w:rPr>
          <w:rFonts w:hint="eastAsia" w:ascii="宋体" w:hAnsi="宋体" w:eastAsia="宋体" w:cs="TimesNewRomanPSMT"/>
          <w:sz w:val="18"/>
          <w:szCs w:val="18"/>
        </w:rPr>
        <w:t>/</w:t>
      </w:r>
      <w:r>
        <w:rPr>
          <w:rFonts w:hint="eastAsia" w:ascii="宋体" w:hAnsi="宋体" w:cs="宋体"/>
          <w:sz w:val="18"/>
          <w:szCs w:val="18"/>
        </w:rPr>
        <w:t>申购交易。</w:t>
      </w:r>
    </w:p>
    <w:p>
      <w:pPr>
        <w:autoSpaceDE w:val="0"/>
        <w:autoSpaceDN w:val="0"/>
        <w:adjustRightInd w:val="0"/>
        <w:spacing w:beforeLines="0" w:afterLines="0"/>
        <w:ind w:firstLine="360" w:firstLineChars="200"/>
        <w:rPr>
          <w:rFonts w:hint="eastAsia" w:ascii="宋体" w:hAnsi="宋体" w:eastAsia="宋体" w:cs="宋体"/>
          <w:sz w:val="18"/>
          <w:szCs w:val="18"/>
        </w:rPr>
      </w:pPr>
      <w:r>
        <w:rPr>
          <w:rFonts w:hint="eastAsia" w:ascii="宋体" w:hAnsi="宋体"/>
          <w:sz w:val="18"/>
          <w:szCs w:val="24"/>
        </w:rPr>
        <w:t>3</w:t>
      </w:r>
      <w:r>
        <w:rPr>
          <w:rFonts w:hint="eastAsia" w:ascii="宋体" w:hAnsi="宋体"/>
          <w:sz w:val="15"/>
          <w:szCs w:val="24"/>
        </w:rPr>
        <w:t>．</w:t>
      </w:r>
      <w:r>
        <w:rPr>
          <w:rFonts w:hint="eastAsia" w:ascii="宋体" w:hAnsi="宋体" w:cs="宋体"/>
          <w:sz w:val="18"/>
          <w:szCs w:val="18"/>
        </w:rPr>
        <w:t>如客户选择在银行的网上银行、手机银行、直销银行等电子渠道购买理财产品，客户需通过银行相关电子渠道仔细阅读理财产品销售文件，根据认购流程逐项点击确认进行购买。</w:t>
      </w:r>
    </w:p>
    <w:p>
      <w:pPr>
        <w:autoSpaceDE w:val="0"/>
        <w:autoSpaceDN w:val="0"/>
        <w:adjustRightInd w:val="0"/>
        <w:spacing w:beforeLines="0" w:afterLines="0"/>
        <w:ind w:firstLine="360" w:firstLineChars="200"/>
        <w:rPr>
          <w:rFonts w:hint="eastAsia" w:ascii="宋体" w:hAnsi="宋体" w:eastAsia="宋体" w:cs="宋体"/>
          <w:sz w:val="18"/>
          <w:szCs w:val="18"/>
        </w:rPr>
      </w:pPr>
      <w:r>
        <w:rPr>
          <w:rFonts w:hint="eastAsia" w:ascii="宋体" w:hAnsi="宋体"/>
          <w:sz w:val="18"/>
          <w:szCs w:val="24"/>
        </w:rPr>
        <w:t>4</w:t>
      </w:r>
      <w:r>
        <w:rPr>
          <w:rFonts w:hint="eastAsia" w:ascii="宋体" w:hAnsi="宋体"/>
          <w:sz w:val="15"/>
          <w:szCs w:val="24"/>
        </w:rPr>
        <w:t>．</w:t>
      </w:r>
      <w:r>
        <w:rPr>
          <w:rFonts w:hint="eastAsia" w:ascii="宋体" w:hAnsi="宋体" w:cs="宋体"/>
          <w:sz w:val="18"/>
          <w:szCs w:val="18"/>
        </w:rPr>
        <w:t>理财产品认</w:t>
      </w:r>
      <w:r>
        <w:rPr>
          <w:rFonts w:hint="eastAsia" w:ascii="宋体" w:hAnsi="宋体" w:eastAsia="宋体" w:cs="TimesNewRomanPSMT"/>
          <w:sz w:val="18"/>
          <w:szCs w:val="18"/>
        </w:rPr>
        <w:t>/</w:t>
      </w:r>
      <w:r>
        <w:rPr>
          <w:rFonts w:hint="eastAsia" w:ascii="宋体" w:hAnsi="宋体" w:cs="宋体"/>
          <w:sz w:val="18"/>
          <w:szCs w:val="18"/>
        </w:rPr>
        <w:t>申购申请撤销。客户在理财产品募集期</w:t>
      </w:r>
      <w:r>
        <w:rPr>
          <w:rFonts w:hint="eastAsia" w:ascii="宋体" w:hAnsi="宋体" w:eastAsia="宋体" w:cs="TimesNewRomanPSMT"/>
          <w:sz w:val="18"/>
          <w:szCs w:val="18"/>
        </w:rPr>
        <w:t>/</w:t>
      </w:r>
      <w:r>
        <w:rPr>
          <w:rFonts w:hint="eastAsia" w:ascii="宋体" w:hAnsi="宋体" w:cs="宋体"/>
          <w:sz w:val="18"/>
          <w:szCs w:val="18"/>
        </w:rPr>
        <w:t>开放期</w:t>
      </w:r>
      <w:r>
        <w:rPr>
          <w:rFonts w:hint="eastAsia" w:ascii="宋体" w:hAnsi="宋体" w:eastAsia="宋体" w:cs="宋体"/>
          <w:sz w:val="18"/>
          <w:szCs w:val="18"/>
        </w:rPr>
        <w:t>/</w:t>
      </w:r>
      <w:r>
        <w:rPr>
          <w:rFonts w:hint="eastAsia" w:ascii="宋体" w:hAnsi="宋体" w:cs="宋体"/>
          <w:sz w:val="18"/>
          <w:szCs w:val="18"/>
        </w:rPr>
        <w:t>投资冷静期（私募产品适用）内，可以撤销已经购买但尚未正式扣款的理财产品购买申请。</w:t>
      </w:r>
    </w:p>
    <w:p>
      <w:pPr>
        <w:autoSpaceDE w:val="0"/>
        <w:autoSpaceDN w:val="0"/>
        <w:adjustRightInd w:val="0"/>
        <w:spacing w:beforeLines="0" w:afterLines="0"/>
        <w:ind w:firstLine="360" w:firstLineChars="200"/>
        <w:rPr>
          <w:rFonts w:hint="eastAsia" w:ascii="宋体" w:hAnsi="宋体" w:eastAsia="宋体" w:cs="宋体"/>
          <w:sz w:val="18"/>
          <w:szCs w:val="18"/>
        </w:rPr>
      </w:pPr>
      <w:r>
        <w:rPr>
          <w:rFonts w:hint="eastAsia" w:ascii="宋体" w:hAnsi="宋体"/>
          <w:sz w:val="18"/>
          <w:szCs w:val="24"/>
        </w:rPr>
        <w:t>5</w:t>
      </w:r>
      <w:r>
        <w:rPr>
          <w:rFonts w:hint="eastAsia" w:ascii="宋体" w:hAnsi="宋体"/>
          <w:sz w:val="15"/>
          <w:szCs w:val="24"/>
        </w:rPr>
        <w:t>．</w:t>
      </w:r>
      <w:r>
        <w:rPr>
          <w:rFonts w:hint="eastAsia" w:ascii="宋体" w:hAnsi="宋体" w:cs="宋体"/>
          <w:sz w:val="18"/>
          <w:szCs w:val="18"/>
        </w:rPr>
        <w:t>理财产品提前终止、赎回</w:t>
      </w:r>
      <w:r>
        <w:rPr>
          <w:rFonts w:hint="eastAsia" w:ascii="宋体" w:hAnsi="宋体" w:eastAsia="宋体" w:cs="TimesNewRomanPSMT"/>
          <w:sz w:val="18"/>
          <w:szCs w:val="18"/>
        </w:rPr>
        <w:t>/</w:t>
      </w:r>
      <w:r>
        <w:rPr>
          <w:rFonts w:hint="eastAsia" w:ascii="宋体" w:hAnsi="宋体" w:cs="宋体"/>
          <w:sz w:val="18"/>
          <w:szCs w:val="18"/>
        </w:rPr>
        <w:t>到期兑付和税收。提前终止</w:t>
      </w:r>
      <w:r>
        <w:rPr>
          <w:rFonts w:hint="eastAsia" w:ascii="宋体" w:hAnsi="宋体" w:cs="TimesNewRomanPSMT"/>
          <w:sz w:val="18"/>
          <w:szCs w:val="18"/>
        </w:rPr>
        <w:t>——</w:t>
      </w:r>
      <w:r>
        <w:rPr>
          <w:rFonts w:hint="eastAsia" w:ascii="宋体" w:hAnsi="宋体" w:cs="宋体"/>
          <w:sz w:val="18"/>
          <w:szCs w:val="18"/>
        </w:rPr>
        <w:t>当理财产品发生全部提前终止时，银行按照对应期次的《理财产品说明书》约定向客户告知。赎回</w:t>
      </w:r>
      <w:r>
        <w:rPr>
          <w:rFonts w:hint="eastAsia" w:ascii="宋体" w:hAnsi="宋体" w:eastAsia="宋体" w:cs="TimesNewRomanPSMT"/>
          <w:sz w:val="18"/>
          <w:szCs w:val="18"/>
        </w:rPr>
        <w:t>/</w:t>
      </w:r>
      <w:r>
        <w:rPr>
          <w:rFonts w:hint="eastAsia" w:ascii="宋体" w:hAnsi="宋体" w:cs="宋体"/>
          <w:sz w:val="18"/>
          <w:szCs w:val="18"/>
        </w:rPr>
        <w:t>到期兑付</w:t>
      </w:r>
      <w:r>
        <w:rPr>
          <w:rFonts w:hint="eastAsia" w:ascii="宋体" w:hAnsi="宋体" w:cs="TimesNewRomanPSMT"/>
          <w:sz w:val="18"/>
          <w:szCs w:val="18"/>
        </w:rPr>
        <w:t>——</w:t>
      </w:r>
      <w:r>
        <w:rPr>
          <w:rFonts w:hint="eastAsia" w:ascii="宋体" w:hAnsi="宋体" w:cs="宋体"/>
          <w:sz w:val="18"/>
          <w:szCs w:val="18"/>
        </w:rPr>
        <w:t>银行按照对应期次的《理财产品说明书》约定，将赎回兑付款项划入销售文件约定的客户授权指定账户。税收</w:t>
      </w:r>
      <w:r>
        <w:rPr>
          <w:rFonts w:hint="eastAsia" w:ascii="宋体" w:hAnsi="宋体" w:cs="TimesNewRomanPSMT"/>
          <w:sz w:val="18"/>
          <w:szCs w:val="18"/>
        </w:rPr>
        <w:t>——</w:t>
      </w:r>
      <w:r>
        <w:rPr>
          <w:rFonts w:hint="eastAsia" w:ascii="宋体" w:hAnsi="宋体" w:cs="宋体"/>
          <w:sz w:val="18"/>
          <w:szCs w:val="18"/>
        </w:rPr>
        <w:t>以对应期次的《理财产品说明书》约定为准，如遇国家政策调整则相应执行最新政策。</w:t>
      </w:r>
    </w:p>
    <w:p>
      <w:pPr>
        <w:spacing w:beforeLines="0" w:afterLines="0"/>
        <w:ind w:firstLine="360" w:firstLineChars="199"/>
        <w:rPr>
          <w:rFonts w:hint="eastAsia" w:ascii="宋体" w:hAnsi="宋体" w:eastAsia="宋体"/>
          <w:b/>
          <w:sz w:val="18"/>
          <w:szCs w:val="24"/>
        </w:rPr>
      </w:pPr>
      <w:r>
        <w:rPr>
          <w:rFonts w:hint="eastAsia" w:ascii="宋体" w:hAnsi="宋体"/>
          <w:b/>
          <w:sz w:val="18"/>
          <w:szCs w:val="24"/>
        </w:rPr>
        <w:t>（二）客户风险承受能力评估流程</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首次购买理财产品的客户须填写《紫金农商银行客户风险承受能力评估表》，风险属性测试的有效期为一年，如果您的风险承受能力的因素发生变化，请及时向理财销售人员说明，并重新完成风险承受能力评估。</w:t>
      </w:r>
    </w:p>
    <w:p>
      <w:pPr>
        <w:spacing w:beforeLines="0" w:afterLines="0"/>
        <w:ind w:firstLine="358" w:firstLineChars="199"/>
        <w:rPr>
          <w:rFonts w:hint="eastAsia" w:ascii="宋体" w:hAnsi="宋体" w:eastAsia="宋体"/>
          <w:b/>
          <w:sz w:val="18"/>
          <w:szCs w:val="24"/>
        </w:rPr>
      </w:pPr>
      <w:r>
        <w:rPr>
          <w:rFonts w:hint="eastAsia" w:ascii="宋体" w:hAnsi="宋体"/>
          <w:sz w:val="18"/>
          <w:szCs w:val="24"/>
        </w:rPr>
        <w:t>根据客户不同情况，我行将客户风险属性分为低、中低、中等、中高、高五个等级，与此同时，根据银行理财产品投资范围、风险收益特点、流动性等不同因素，我行理财产品分为低、中低、中等、中高、高风险五个等级。我行根据风险匹配原则，在客户风险属性和产品风险等级建立如下对应关系，建议您根据自身情况，选择合适自己风险属性的理财产品，详见下表：</w:t>
      </w:r>
    </w:p>
    <w:p>
      <w:pPr>
        <w:spacing w:before="10" w:beforeLines="0" w:afterLines="0" w:line="90" w:lineRule="exact"/>
        <w:rPr>
          <w:rFonts w:hint="eastAsia" w:ascii="仿宋_GB2312" w:hAnsi="宋体"/>
          <w:b/>
          <w:sz w:val="15"/>
          <w:szCs w:val="24"/>
        </w:rPr>
      </w:pP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34"/>
        <w:gridCol w:w="6804"/>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wBefore w:w="0" w:type="dxa"/>
          <w:wAfter w:w="0" w:type="dxa"/>
          <w:trHeight w:val="518" w:hRule="exact"/>
          <w:jc w:val="center"/>
        </w:trPr>
        <w:tc>
          <w:tcPr>
            <w:tcW w:w="1134" w:type="dxa"/>
            <w:tcBorders>
              <w:top w:val="single" w:color="000000" w:sz="6" w:space="0"/>
              <w:left w:val="single" w:color="000000" w:sz="6" w:space="0"/>
              <w:bottom w:val="single" w:color="000000" w:sz="2" w:space="0"/>
              <w:right w:val="single" w:color="000000" w:sz="2" w:space="0"/>
              <w:tl2br w:val="nil"/>
              <w:tr2bl w:val="nil"/>
            </w:tcBorders>
            <w:noWrap w:val="0"/>
            <w:vAlign w:val="center"/>
          </w:tcPr>
          <w:p>
            <w:pPr>
              <w:spacing w:beforeLines="0" w:afterLines="0"/>
              <w:jc w:val="center"/>
              <w:rPr>
                <w:rFonts w:hint="default"/>
                <w:b/>
                <w:sz w:val="18"/>
                <w:szCs w:val="24"/>
              </w:rPr>
            </w:pPr>
            <w:r>
              <w:rPr>
                <w:rFonts w:hint="eastAsia"/>
                <w:b/>
                <w:sz w:val="18"/>
                <w:szCs w:val="24"/>
              </w:rPr>
              <w:t>客户类型</w:t>
            </w:r>
          </w:p>
        </w:tc>
        <w:tc>
          <w:tcPr>
            <w:tcW w:w="6804" w:type="dxa"/>
            <w:tcBorders>
              <w:top w:val="single" w:color="000000" w:sz="6"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default"/>
                <w:b/>
                <w:sz w:val="18"/>
                <w:szCs w:val="24"/>
              </w:rPr>
            </w:pPr>
            <w:r>
              <w:rPr>
                <w:rFonts w:hint="eastAsia"/>
                <w:b/>
                <w:sz w:val="18"/>
                <w:szCs w:val="24"/>
              </w:rPr>
              <w:t>风险特征描述</w:t>
            </w:r>
          </w:p>
        </w:tc>
        <w:tc>
          <w:tcPr>
            <w:tcW w:w="1701" w:type="dxa"/>
            <w:tcBorders>
              <w:top w:val="single" w:color="000000" w:sz="6" w:space="0"/>
              <w:left w:val="single" w:color="000000" w:sz="2" w:space="0"/>
              <w:bottom w:val="single" w:color="000000" w:sz="2" w:space="0"/>
              <w:right w:val="single" w:color="000000" w:sz="6" w:space="0"/>
              <w:tl2br w:val="nil"/>
              <w:tr2bl w:val="nil"/>
            </w:tcBorders>
            <w:noWrap w:val="0"/>
            <w:vAlign w:val="center"/>
          </w:tcPr>
          <w:p>
            <w:pPr>
              <w:spacing w:beforeLines="0" w:afterLines="0"/>
              <w:jc w:val="center"/>
              <w:rPr>
                <w:rFonts w:hint="default"/>
                <w:b/>
                <w:sz w:val="18"/>
                <w:szCs w:val="24"/>
              </w:rPr>
            </w:pPr>
            <w:r>
              <w:rPr>
                <w:rFonts w:hint="eastAsia"/>
                <w:b/>
                <w:sz w:val="18"/>
                <w:szCs w:val="24"/>
              </w:rPr>
              <w:t>适合产品类型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wBefore w:w="0" w:type="dxa"/>
          <w:wAfter w:w="0" w:type="dxa"/>
          <w:trHeight w:val="714" w:hRule="exact"/>
          <w:jc w:val="center"/>
        </w:trPr>
        <w:tc>
          <w:tcPr>
            <w:tcW w:w="1134" w:type="dxa"/>
            <w:tcBorders>
              <w:top w:val="single" w:color="000000" w:sz="2" w:space="0"/>
              <w:left w:val="single" w:color="000000" w:sz="6"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低风险</w:t>
            </w:r>
          </w:p>
        </w:tc>
        <w:tc>
          <w:tcPr>
            <w:tcW w:w="68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您属于可以承担低风险而作风谨慎类型的客户，适合投资以保本为主的投资工具，但您因此会牺牲资本升值的机会</w:t>
            </w:r>
          </w:p>
        </w:tc>
        <w:tc>
          <w:tcPr>
            <w:tcW w:w="1701" w:type="dxa"/>
            <w:tcBorders>
              <w:top w:val="single" w:color="000000" w:sz="2" w:space="0"/>
              <w:left w:val="single" w:color="000000" w:sz="2" w:space="0"/>
              <w:bottom w:val="single" w:color="000000" w:sz="2" w:space="0"/>
              <w:right w:val="single" w:color="000000" w:sz="6" w:space="0"/>
              <w:tl2br w:val="nil"/>
              <w:tr2bl w:val="nil"/>
            </w:tcBorders>
            <w:noWrap w:val="0"/>
            <w:vAlign w:val="center"/>
          </w:tcPr>
          <w:p>
            <w:pPr>
              <w:spacing w:beforeLines="0" w:afterLines="0"/>
              <w:jc w:val="center"/>
              <w:rPr>
                <w:rFonts w:hint="default"/>
                <w:sz w:val="18"/>
                <w:szCs w:val="24"/>
              </w:rPr>
            </w:pPr>
            <w:r>
              <w:rPr>
                <w:rFonts w:hint="eastAsia"/>
                <w:sz w:val="18"/>
                <w:szCs w:val="24"/>
              </w:rPr>
              <w:t>低风险产品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wBefore w:w="0" w:type="dxa"/>
          <w:wAfter w:w="0" w:type="dxa"/>
          <w:trHeight w:val="566" w:hRule="exact"/>
          <w:jc w:val="center"/>
        </w:trPr>
        <w:tc>
          <w:tcPr>
            <w:tcW w:w="1134" w:type="dxa"/>
            <w:tcBorders>
              <w:top w:val="single" w:color="000000" w:sz="2" w:space="0"/>
              <w:left w:val="single" w:color="000000" w:sz="6"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中低风险</w:t>
            </w:r>
          </w:p>
        </w:tc>
        <w:tc>
          <w:tcPr>
            <w:tcW w:w="68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您属于可以承担较低及以下风险类型的客户，适合投资于能权衡保本而亦有若干升值能力的投资工具</w:t>
            </w:r>
          </w:p>
        </w:tc>
        <w:tc>
          <w:tcPr>
            <w:tcW w:w="1701" w:type="dxa"/>
            <w:tcBorders>
              <w:top w:val="single" w:color="000000" w:sz="2" w:space="0"/>
              <w:left w:val="single" w:color="000000" w:sz="2" w:space="0"/>
              <w:bottom w:val="single" w:color="000000" w:sz="2" w:space="0"/>
              <w:right w:val="single" w:color="000000" w:sz="6" w:space="0"/>
              <w:tl2br w:val="nil"/>
              <w:tr2bl w:val="nil"/>
            </w:tcBorders>
            <w:noWrap w:val="0"/>
            <w:vAlign w:val="center"/>
          </w:tcPr>
          <w:p>
            <w:pPr>
              <w:spacing w:beforeLines="0" w:afterLines="0"/>
              <w:jc w:val="center"/>
              <w:rPr>
                <w:rFonts w:hint="default"/>
                <w:sz w:val="18"/>
                <w:szCs w:val="24"/>
              </w:rPr>
            </w:pPr>
            <w:r>
              <w:rPr>
                <w:rFonts w:hint="eastAsia"/>
                <w:sz w:val="18"/>
                <w:szCs w:val="24"/>
              </w:rPr>
              <w:t>中低风险产品</w:t>
            </w:r>
          </w:p>
          <w:p>
            <w:pPr>
              <w:spacing w:beforeLines="0" w:afterLines="0"/>
              <w:jc w:val="center"/>
              <w:rPr>
                <w:rFonts w:hint="default"/>
                <w:sz w:val="18"/>
                <w:szCs w:val="24"/>
              </w:rPr>
            </w:pPr>
            <w:r>
              <w:rPr>
                <w:rFonts w:hint="eastAsia"/>
                <w:sz w:val="18"/>
                <w:szCs w:val="24"/>
              </w:rPr>
              <w:t>低风险产品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wBefore w:w="0" w:type="dxa"/>
          <w:wAfter w:w="0" w:type="dxa"/>
          <w:trHeight w:val="862" w:hRule="exact"/>
          <w:jc w:val="center"/>
        </w:trPr>
        <w:tc>
          <w:tcPr>
            <w:tcW w:w="1134" w:type="dxa"/>
            <w:tcBorders>
              <w:top w:val="single" w:color="000000" w:sz="2" w:space="0"/>
              <w:left w:val="single" w:color="000000" w:sz="6"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中风险</w:t>
            </w:r>
          </w:p>
        </w:tc>
        <w:tc>
          <w:tcPr>
            <w:tcW w:w="68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您属于可以承担中等及以下风险类型的客户，适合投资于能够为您提供温和升值能力，而投资价值有温和波动的投资工具</w:t>
            </w:r>
          </w:p>
        </w:tc>
        <w:tc>
          <w:tcPr>
            <w:tcW w:w="1701" w:type="dxa"/>
            <w:tcBorders>
              <w:top w:val="single" w:color="000000" w:sz="2" w:space="0"/>
              <w:left w:val="single" w:color="000000" w:sz="2" w:space="0"/>
              <w:bottom w:val="single" w:color="000000" w:sz="2" w:space="0"/>
              <w:right w:val="single" w:color="000000" w:sz="6" w:space="0"/>
              <w:tl2br w:val="nil"/>
              <w:tr2bl w:val="nil"/>
            </w:tcBorders>
            <w:noWrap w:val="0"/>
            <w:vAlign w:val="center"/>
          </w:tcPr>
          <w:p>
            <w:pPr>
              <w:spacing w:beforeLines="0" w:afterLines="0"/>
              <w:jc w:val="center"/>
              <w:rPr>
                <w:rFonts w:hint="default"/>
                <w:sz w:val="18"/>
                <w:szCs w:val="24"/>
              </w:rPr>
            </w:pPr>
            <w:r>
              <w:rPr>
                <w:rFonts w:hint="eastAsia"/>
                <w:sz w:val="18"/>
                <w:szCs w:val="24"/>
              </w:rPr>
              <w:t>中风险产品</w:t>
            </w:r>
          </w:p>
          <w:p>
            <w:pPr>
              <w:spacing w:beforeLines="0" w:afterLines="0"/>
              <w:jc w:val="center"/>
              <w:rPr>
                <w:rFonts w:hint="default"/>
                <w:sz w:val="18"/>
                <w:szCs w:val="24"/>
              </w:rPr>
            </w:pPr>
            <w:r>
              <w:rPr>
                <w:rFonts w:hint="eastAsia"/>
                <w:sz w:val="18"/>
                <w:szCs w:val="24"/>
              </w:rPr>
              <w:t>中低风险产品</w:t>
            </w:r>
          </w:p>
          <w:p>
            <w:pPr>
              <w:spacing w:beforeLines="0" w:afterLines="0"/>
              <w:jc w:val="center"/>
              <w:rPr>
                <w:rFonts w:hint="default"/>
                <w:sz w:val="18"/>
                <w:szCs w:val="24"/>
              </w:rPr>
            </w:pPr>
            <w:r>
              <w:rPr>
                <w:rFonts w:hint="eastAsia"/>
                <w:sz w:val="18"/>
                <w:szCs w:val="24"/>
              </w:rPr>
              <w:t>低风险产品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wBefore w:w="0" w:type="dxa"/>
          <w:wAfter w:w="0" w:type="dxa"/>
          <w:trHeight w:val="963" w:hRule="atLeast"/>
          <w:jc w:val="center"/>
        </w:trPr>
        <w:tc>
          <w:tcPr>
            <w:tcW w:w="1134" w:type="dxa"/>
            <w:tcBorders>
              <w:top w:val="single" w:color="000000" w:sz="2" w:space="0"/>
              <w:left w:val="single" w:color="000000" w:sz="6"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中高风险</w:t>
            </w:r>
          </w:p>
        </w:tc>
        <w:tc>
          <w:tcPr>
            <w:tcW w:w="68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您属于可以承担较高及以下风险类型的客户，适合投资于能够为您提供升值能力，而投资价值有波动的投资工具</w:t>
            </w:r>
          </w:p>
        </w:tc>
        <w:tc>
          <w:tcPr>
            <w:tcW w:w="1701" w:type="dxa"/>
            <w:tcBorders>
              <w:top w:val="single" w:color="000000" w:sz="2" w:space="0"/>
              <w:left w:val="single" w:color="000000" w:sz="2" w:space="0"/>
              <w:bottom w:val="single" w:color="000000" w:sz="2" w:space="0"/>
              <w:right w:val="single" w:color="000000" w:sz="6" w:space="0"/>
              <w:tl2br w:val="nil"/>
              <w:tr2bl w:val="nil"/>
            </w:tcBorders>
            <w:noWrap w:val="0"/>
            <w:vAlign w:val="center"/>
          </w:tcPr>
          <w:p>
            <w:pPr>
              <w:spacing w:beforeLines="0" w:afterLines="0"/>
              <w:jc w:val="center"/>
              <w:rPr>
                <w:rFonts w:hint="default"/>
                <w:sz w:val="18"/>
                <w:szCs w:val="24"/>
              </w:rPr>
            </w:pPr>
            <w:r>
              <w:rPr>
                <w:rFonts w:hint="eastAsia"/>
                <w:sz w:val="18"/>
                <w:szCs w:val="24"/>
              </w:rPr>
              <w:t>中高风险产品</w:t>
            </w:r>
          </w:p>
          <w:p>
            <w:pPr>
              <w:spacing w:beforeLines="0" w:afterLines="0"/>
              <w:jc w:val="center"/>
              <w:rPr>
                <w:rFonts w:hint="default"/>
                <w:sz w:val="18"/>
                <w:szCs w:val="24"/>
              </w:rPr>
            </w:pPr>
            <w:r>
              <w:rPr>
                <w:rFonts w:hint="eastAsia"/>
                <w:sz w:val="18"/>
                <w:szCs w:val="24"/>
              </w:rPr>
              <w:t>中风险产品</w:t>
            </w:r>
          </w:p>
          <w:p>
            <w:pPr>
              <w:spacing w:beforeLines="0" w:afterLines="0"/>
              <w:jc w:val="center"/>
              <w:rPr>
                <w:rFonts w:hint="default"/>
                <w:sz w:val="18"/>
                <w:szCs w:val="24"/>
              </w:rPr>
            </w:pPr>
            <w:r>
              <w:rPr>
                <w:rFonts w:hint="eastAsia"/>
                <w:sz w:val="18"/>
                <w:szCs w:val="24"/>
              </w:rPr>
              <w:t>中低风险产品</w:t>
            </w:r>
          </w:p>
          <w:p>
            <w:pPr>
              <w:spacing w:beforeLines="0" w:afterLines="0"/>
              <w:jc w:val="center"/>
              <w:rPr>
                <w:rFonts w:hint="default"/>
                <w:sz w:val="18"/>
                <w:szCs w:val="24"/>
              </w:rPr>
            </w:pPr>
            <w:r>
              <w:rPr>
                <w:rFonts w:hint="eastAsia"/>
                <w:sz w:val="18"/>
                <w:szCs w:val="24"/>
              </w:rPr>
              <w:t>低风险产品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wBefore w:w="0" w:type="dxa"/>
          <w:wAfter w:w="0" w:type="dxa"/>
          <w:trHeight w:val="1171" w:hRule="exact"/>
          <w:jc w:val="center"/>
        </w:trPr>
        <w:tc>
          <w:tcPr>
            <w:tcW w:w="1134" w:type="dxa"/>
            <w:tcBorders>
              <w:top w:val="single" w:color="000000" w:sz="2" w:space="0"/>
              <w:left w:val="single" w:color="000000" w:sz="6" w:space="0"/>
              <w:bottom w:val="single" w:color="000000" w:sz="6"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高风险</w:t>
            </w:r>
          </w:p>
        </w:tc>
        <w:tc>
          <w:tcPr>
            <w:tcW w:w="6804" w:type="dxa"/>
            <w:tcBorders>
              <w:top w:val="single" w:color="000000" w:sz="2" w:space="0"/>
              <w:left w:val="single" w:color="000000" w:sz="2" w:space="0"/>
              <w:bottom w:val="single" w:color="000000" w:sz="6" w:space="0"/>
              <w:right w:val="single" w:color="000000" w:sz="2" w:space="0"/>
              <w:tl2br w:val="nil"/>
              <w:tr2bl w:val="nil"/>
            </w:tcBorders>
            <w:noWrap w:val="0"/>
            <w:vAlign w:val="center"/>
          </w:tcPr>
          <w:p>
            <w:pPr>
              <w:spacing w:beforeLines="0" w:afterLines="0"/>
              <w:jc w:val="center"/>
              <w:rPr>
                <w:rFonts w:hint="default"/>
                <w:sz w:val="18"/>
                <w:szCs w:val="24"/>
              </w:rPr>
            </w:pPr>
            <w:r>
              <w:rPr>
                <w:rFonts w:hint="eastAsia"/>
                <w:sz w:val="18"/>
                <w:szCs w:val="24"/>
              </w:rPr>
              <w:t>您属于可以承受高及以下风险类型的客户，适合投资于能够为您提供高升值能力而投资价值波动大的投资工具。最坏的情况下，您可能失去全部投资本金并需对您投资所导致的任何亏损承担责任</w:t>
            </w:r>
          </w:p>
        </w:tc>
        <w:tc>
          <w:tcPr>
            <w:tcW w:w="1701" w:type="dxa"/>
            <w:tcBorders>
              <w:top w:val="single" w:color="000000" w:sz="2" w:space="0"/>
              <w:left w:val="single" w:color="000000" w:sz="2" w:space="0"/>
              <w:bottom w:val="single" w:color="000000" w:sz="6" w:space="0"/>
              <w:right w:val="single" w:color="000000" w:sz="6" w:space="0"/>
              <w:tl2br w:val="nil"/>
              <w:tr2bl w:val="nil"/>
            </w:tcBorders>
            <w:noWrap w:val="0"/>
            <w:vAlign w:val="center"/>
          </w:tcPr>
          <w:p>
            <w:pPr>
              <w:spacing w:beforeLines="0" w:afterLines="0"/>
              <w:jc w:val="center"/>
              <w:rPr>
                <w:rFonts w:hint="default"/>
                <w:sz w:val="18"/>
                <w:szCs w:val="24"/>
              </w:rPr>
            </w:pPr>
            <w:r>
              <w:rPr>
                <w:rFonts w:hint="eastAsia"/>
                <w:sz w:val="18"/>
                <w:szCs w:val="24"/>
              </w:rPr>
              <w:t>高风险产品</w:t>
            </w:r>
          </w:p>
          <w:p>
            <w:pPr>
              <w:spacing w:beforeLines="0" w:afterLines="0"/>
              <w:jc w:val="center"/>
              <w:rPr>
                <w:rFonts w:hint="default"/>
                <w:sz w:val="18"/>
                <w:szCs w:val="24"/>
              </w:rPr>
            </w:pPr>
            <w:r>
              <w:rPr>
                <w:rFonts w:hint="eastAsia"/>
                <w:sz w:val="18"/>
                <w:szCs w:val="24"/>
              </w:rPr>
              <w:t>中高风险产品</w:t>
            </w:r>
          </w:p>
          <w:p>
            <w:pPr>
              <w:spacing w:beforeLines="0" w:afterLines="0"/>
              <w:jc w:val="center"/>
              <w:rPr>
                <w:rFonts w:hint="default"/>
                <w:sz w:val="18"/>
                <w:szCs w:val="24"/>
              </w:rPr>
            </w:pPr>
            <w:r>
              <w:rPr>
                <w:rFonts w:hint="eastAsia"/>
                <w:sz w:val="18"/>
                <w:szCs w:val="24"/>
              </w:rPr>
              <w:t>中风险产品</w:t>
            </w:r>
          </w:p>
          <w:p>
            <w:pPr>
              <w:spacing w:beforeLines="0" w:afterLines="0"/>
              <w:jc w:val="center"/>
              <w:rPr>
                <w:rFonts w:hint="default"/>
                <w:sz w:val="18"/>
                <w:szCs w:val="24"/>
              </w:rPr>
            </w:pPr>
            <w:r>
              <w:rPr>
                <w:rFonts w:hint="eastAsia"/>
                <w:sz w:val="18"/>
                <w:szCs w:val="24"/>
              </w:rPr>
              <w:t>中低风险产品低风险产品</w:t>
            </w:r>
          </w:p>
        </w:tc>
      </w:tr>
    </w:tbl>
    <w:p>
      <w:pPr>
        <w:spacing w:beforeLines="0" w:afterLines="0"/>
        <w:ind w:firstLine="360" w:firstLineChars="199"/>
        <w:rPr>
          <w:rFonts w:hint="eastAsia" w:ascii="宋体" w:hAnsi="宋体" w:eastAsia="宋体"/>
          <w:b/>
          <w:sz w:val="18"/>
          <w:szCs w:val="24"/>
        </w:rPr>
      </w:pPr>
      <w:r>
        <w:rPr>
          <w:rFonts w:hint="eastAsia" w:ascii="宋体" w:hAnsi="宋体"/>
          <w:b/>
          <w:sz w:val="18"/>
          <w:szCs w:val="24"/>
        </w:rPr>
        <w:t>（三）信息披露</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我行按照对应期次《理财产品说明书》的约定，通过银行网站等电子渠道，发布理财产品的成立、运作、到期清算或提前</w:t>
      </w:r>
      <w:r>
        <w:rPr>
          <w:rFonts w:hint="eastAsia" w:ascii="宋体" w:hAnsi="宋体" w:eastAsia="宋体"/>
          <w:sz w:val="18"/>
          <w:szCs w:val="24"/>
        </w:rPr>
        <w:t>/</w:t>
      </w:r>
      <w:r>
        <w:rPr>
          <w:rFonts w:hint="eastAsia" w:ascii="宋体" w:hAnsi="宋体"/>
          <w:sz w:val="18"/>
          <w:szCs w:val="24"/>
        </w:rPr>
        <w:t>延期终止等信息公告。投资人因自身原因或不可抗力导致未及时获知本理财产品的运作或收益分配情况，银行不承担任何责任。</w:t>
      </w:r>
    </w:p>
    <w:p>
      <w:pPr>
        <w:spacing w:before="5" w:beforeLines="0" w:afterLines="0"/>
        <w:ind w:right="113" w:firstLine="354" w:firstLineChars="196"/>
        <w:rPr>
          <w:rFonts w:hint="eastAsia" w:ascii="宋体" w:hAnsi="宋体" w:eastAsia="宋体"/>
          <w:b/>
          <w:sz w:val="18"/>
          <w:szCs w:val="24"/>
        </w:rPr>
      </w:pPr>
      <w:r>
        <w:rPr>
          <w:rFonts w:hint="eastAsia" w:ascii="宋体" w:hAnsi="宋体"/>
          <w:b/>
          <w:sz w:val="18"/>
          <w:szCs w:val="24"/>
        </w:rPr>
        <w:t>（四）客户信息保护</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我行承诺依法履行客户信息保密义务，防范客户信息被不当采集、使用、传输和泄露，保护客户的信息安全，监管另有规定的情形除外。</w:t>
      </w:r>
    </w:p>
    <w:p>
      <w:pPr>
        <w:spacing w:before="5" w:beforeLines="0" w:afterLines="0"/>
        <w:ind w:right="113" w:firstLine="354" w:firstLineChars="196"/>
        <w:rPr>
          <w:rFonts w:hint="eastAsia" w:ascii="宋体" w:hAnsi="宋体" w:eastAsia="宋体"/>
          <w:b/>
          <w:sz w:val="18"/>
          <w:szCs w:val="24"/>
        </w:rPr>
      </w:pPr>
      <w:r>
        <w:rPr>
          <w:rFonts w:hint="eastAsia" w:ascii="宋体" w:hAnsi="宋体"/>
          <w:b/>
          <w:sz w:val="18"/>
          <w:szCs w:val="24"/>
        </w:rPr>
        <w:t>（五）投诉方式</w:t>
      </w:r>
    </w:p>
    <w:p>
      <w:pPr>
        <w:spacing w:beforeLines="0" w:afterLines="0"/>
        <w:ind w:firstLine="358" w:firstLineChars="199"/>
        <w:rPr>
          <w:rFonts w:hint="eastAsia" w:ascii="宋体" w:hAnsi="宋体" w:eastAsia="宋体"/>
          <w:sz w:val="18"/>
          <w:szCs w:val="24"/>
        </w:rPr>
      </w:pPr>
      <w:r>
        <w:rPr>
          <w:rFonts w:hint="eastAsia" w:ascii="宋体" w:hAnsi="宋体"/>
          <w:sz w:val="18"/>
          <w:szCs w:val="24"/>
        </w:rPr>
        <w:t>1</w:t>
      </w:r>
      <w:r>
        <w:rPr>
          <w:rFonts w:hint="eastAsia" w:ascii="宋体" w:hAnsi="宋体"/>
          <w:sz w:val="15"/>
          <w:szCs w:val="24"/>
        </w:rPr>
        <w:t>．</w:t>
      </w:r>
      <w:r>
        <w:rPr>
          <w:rFonts w:hint="eastAsia" w:ascii="宋体" w:hAnsi="宋体"/>
          <w:sz w:val="18"/>
          <w:szCs w:val="24"/>
        </w:rPr>
        <w:t>投资者若需投诉，请随时拨打我行统一客户服务热线025-96008进行投诉。</w:t>
      </w:r>
    </w:p>
    <w:p>
      <w:pPr>
        <w:spacing w:beforeLines="0" w:afterLines="0"/>
        <w:ind w:firstLine="358" w:firstLineChars="199"/>
        <w:rPr>
          <w:rFonts w:hint="eastAsia" w:ascii="宋体" w:hAnsi="宋体" w:eastAsia="宋体"/>
          <w:sz w:val="30"/>
          <w:szCs w:val="24"/>
        </w:rPr>
      </w:pPr>
      <w:r>
        <w:rPr>
          <w:rFonts w:hint="eastAsia" w:ascii="宋体" w:hAnsi="宋体"/>
          <w:sz w:val="18"/>
          <w:szCs w:val="24"/>
        </w:rPr>
        <w:t>2</w:t>
      </w:r>
      <w:r>
        <w:rPr>
          <w:rFonts w:hint="eastAsia" w:ascii="宋体" w:hAnsi="宋体"/>
          <w:sz w:val="15"/>
          <w:szCs w:val="24"/>
        </w:rPr>
        <w:t>．</w:t>
      </w:r>
      <w:r>
        <w:rPr>
          <w:rFonts w:hint="eastAsia" w:ascii="宋体" w:hAnsi="宋体"/>
          <w:sz w:val="18"/>
          <w:szCs w:val="24"/>
        </w:rPr>
        <w:t>投资者的投诉将被记录，</w:t>
      </w:r>
      <w:r>
        <w:rPr>
          <w:rFonts w:hint="eastAsia" w:ascii="宋体" w:hAnsi="宋体" w:eastAsia="宋体"/>
          <w:sz w:val="18"/>
          <w:szCs w:val="24"/>
        </w:rPr>
        <w:t xml:space="preserve"> </w:t>
      </w:r>
      <w:r>
        <w:rPr>
          <w:rFonts w:hint="eastAsia" w:ascii="宋体" w:hAnsi="宋体"/>
          <w:sz w:val="18"/>
          <w:szCs w:val="24"/>
        </w:rPr>
        <w:t>并在银行内部形成投诉处理工作单，银行相关部门和人员将在接到投资者的投诉后，按照相关流程进行处理。</w:t>
      </w:r>
    </w:p>
    <w:p>
      <w:pPr>
        <w:spacing w:beforeLines="0" w:afterLines="0"/>
        <w:rPr>
          <w:rFonts w:hint="eastAsia" w:ascii="华文中宋" w:hAnsi="华文中宋" w:eastAsia="华文中宋"/>
          <w:sz w:val="28"/>
          <w:szCs w:val="24"/>
        </w:rPr>
        <w:sectPr>
          <w:pgSz w:w="12240" w:h="15840"/>
          <w:pgMar w:top="1440" w:right="1800" w:bottom="1440" w:left="1800" w:header="720" w:footer="720" w:gutter="0"/>
          <w:lnNumType w:countBy="0" w:distance="360"/>
          <w:cols w:space="720" w:num="1"/>
          <w:docGrid w:type="lines" w:linePitch="312" w:charSpace="0"/>
        </w:sect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 w:name="TimesNewRomanPSMT">
    <w:altName w:val="方正舒体"/>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yNDgwZjBkOWY5YWRjYTA4Zjk3MDE4M2EzN2U2MGUifQ=="/>
  </w:docVars>
  <w:rsids>
    <w:rsidRoot w:val="00172A27"/>
    <w:rsid w:val="23D533A0"/>
    <w:rsid w:val="678F3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default" w:ascii="Times New Roman" w:hAnsi="Times New Roman" w:eastAsia="仿宋_GB2312"/>
      <w:kern w:val="2"/>
      <w:sz w:val="30"/>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spacing w:beforeLines="0" w:afterLines="0"/>
      <w:jc w:val="left"/>
    </w:pPr>
    <w:rPr>
      <w:rFonts w:hint="default"/>
      <w:sz w:val="18"/>
      <w:szCs w:val="24"/>
    </w:rPr>
  </w:style>
  <w:style w:type="paragraph" w:styleId="3">
    <w:name w:val="Subtitle"/>
    <w:basedOn w:val="1"/>
    <w:next w:val="1"/>
    <w:unhideWhenUsed/>
    <w:qFormat/>
    <w:uiPriority w:val="11"/>
    <w:pPr>
      <w:spacing w:before="240" w:beforeLines="0" w:after="60" w:afterLines="0" w:line="312" w:lineRule="auto"/>
      <w:jc w:val="center"/>
      <w:outlineLvl w:val="1"/>
    </w:pPr>
    <w:rPr>
      <w:rFonts w:hint="default" w:ascii="Cambria" w:hAnsi="Cambria" w:cs="Times New Roman"/>
      <w:b/>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2023-02-16T10:53:56Z</dcterms:created>
  <dc:creator>永远相信美好的事情即将发生</dc:creator>
  <cp:lastModifiedBy>王晓波1388144747</cp:lastModifiedBy>
  <dcterms:modified xsi:type="dcterms:W3CDTF">2023-02-16T10:58:59Z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BFBE5A25C0724DD6BBF757CD03465E4F</vt:lpwstr>
  </property>
</Properties>
</file>