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7200"/>
        </w:tabs>
        <w:spacing w:beforeLines="0" w:afterLines="0" w:line="520" w:lineRule="exact"/>
        <w:jc w:val="center"/>
        <w:rPr>
          <w:rFonts w:hint="eastAsia" w:ascii="华文中宋" w:hAnsi="华文中宋" w:eastAsia="华文中宋"/>
          <w:b/>
          <w:sz w:val="44"/>
          <w:szCs w:val="24"/>
        </w:rPr>
      </w:pPr>
      <w:r>
        <w:rPr>
          <w:rFonts w:hint="eastAsia" w:ascii="华文中宋" w:hAnsi="华文中宋" w:eastAsia="华文中宋"/>
          <w:b/>
          <w:sz w:val="44"/>
          <w:szCs w:val="24"/>
        </w:rPr>
        <w:t>紫金农商银行“紫金财富分享盈1年持有”</w:t>
      </w:r>
    </w:p>
    <w:p>
      <w:pPr>
        <w:pStyle w:val="2"/>
        <w:tabs>
          <w:tab w:val="left" w:pos="7200"/>
        </w:tabs>
        <w:spacing w:beforeLines="0" w:afterLines="0" w:line="520" w:lineRule="exact"/>
        <w:jc w:val="center"/>
        <w:rPr>
          <w:rFonts w:hint="eastAsia" w:ascii="华文中宋" w:hAnsi="华文中宋" w:eastAsia="华文中宋"/>
          <w:b/>
          <w:sz w:val="44"/>
          <w:szCs w:val="24"/>
        </w:rPr>
      </w:pPr>
      <w:r>
        <w:rPr>
          <w:rFonts w:hint="eastAsia" w:ascii="华文中宋" w:hAnsi="华文中宋" w:eastAsia="华文中宋"/>
          <w:b/>
          <w:sz w:val="44"/>
          <w:szCs w:val="24"/>
        </w:rPr>
        <w:t>理财产品说明书</w:t>
      </w:r>
    </w:p>
    <w:p>
      <w:pPr>
        <w:spacing w:beforeLines="0" w:afterLines="0"/>
        <w:jc w:val="center"/>
        <w:rPr>
          <w:rFonts w:hint="eastAsia" w:ascii="华文楷体" w:hAnsi="华文楷体" w:eastAsia="华文楷体"/>
          <w:b/>
          <w:sz w:val="32"/>
          <w:szCs w:val="24"/>
          <w:u w:val="single"/>
        </w:rPr>
      </w:pPr>
      <w:r>
        <w:rPr>
          <w:rFonts w:hint="eastAsia" w:ascii="华文楷体" w:hAnsi="华文楷体" w:eastAsia="华文楷体"/>
          <w:b/>
          <w:sz w:val="32"/>
          <w:szCs w:val="24"/>
          <w:u w:val="single"/>
        </w:rPr>
        <w:t>理财非存款、产品有风险、投资须谨慎！</w:t>
      </w:r>
    </w:p>
    <w:p>
      <w:pPr>
        <w:pStyle w:val="2"/>
        <w:tabs>
          <w:tab w:val="left" w:pos="7200"/>
        </w:tabs>
        <w:spacing w:beforeLines="0" w:afterLines="0" w:line="560" w:lineRule="exac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重要提示</w:t>
      </w:r>
    </w:p>
    <w:p>
      <w:pPr>
        <w:numPr>
          <w:ilvl w:val="0"/>
          <w:numId w:val="0"/>
        </w:numPr>
        <w:spacing w:beforeLines="0" w:afterLines="0" w:line="560" w:lineRule="exact"/>
        <w:ind w:firstLine="462"/>
        <w:rPr>
          <w:rFonts w:hint="eastAsia" w:ascii="仿宋_GB2312" w:hAnsi="仿宋_GB2312" w:cs="仿宋_GB2312"/>
          <w:b/>
          <w:sz w:val="32"/>
          <w:szCs w:val="32"/>
          <w:u w:val="single"/>
        </w:rPr>
      </w:pPr>
      <w:r>
        <w:rPr>
          <w:rFonts w:hint="eastAsia" w:ascii="仿宋_GB2312" w:hAnsi="仿宋_GB2312" w:cs="仿宋_GB2312"/>
          <w:b/>
          <w:sz w:val="32"/>
          <w:szCs w:val="32"/>
          <w:u w:val="single"/>
        </w:rPr>
        <w:t>1.在您选择购买理财产品前，请仔细阅读本理财产品完整销售文件（包括《理财产品风险揭示书》、《理财产品说明书》、《客户权益须知》和《理财产品销售协议书》），充分认识投资风险，谨慎投资。</w:t>
      </w:r>
    </w:p>
    <w:p>
      <w:pPr>
        <w:numPr>
          <w:ilvl w:val="0"/>
          <w:numId w:val="0"/>
        </w:numPr>
        <w:spacing w:beforeLines="0" w:afterLines="0" w:line="560" w:lineRule="exact"/>
        <w:ind w:firstLine="640" w:firstLineChars="200"/>
        <w:rPr>
          <w:rFonts w:hint="eastAsia" w:ascii="仿宋_GB2312" w:hAnsi="仿宋_GB2312" w:cs="仿宋_GB2312"/>
          <w:color w:val="auto"/>
          <w:sz w:val="32"/>
          <w:szCs w:val="32"/>
        </w:rPr>
      </w:pPr>
      <w:r>
        <w:rPr>
          <w:rFonts w:hint="eastAsia" w:ascii="仿宋_GB2312" w:hAnsi="仿宋_GB2312" w:cs="仿宋_GB2312"/>
          <w:sz w:val="32"/>
          <w:szCs w:val="32"/>
        </w:rPr>
        <w:t>2.</w:t>
      </w:r>
      <w:r>
        <w:rPr>
          <w:rFonts w:hint="eastAsia" w:ascii="仿宋_GB2312" w:hAnsi="仿宋_GB2312" w:cs="仿宋_GB2312"/>
          <w:color w:val="auto"/>
          <w:sz w:val="32"/>
          <w:szCs w:val="32"/>
        </w:rPr>
        <w:t>在购买本理财产品后，投资者应随时关注该理财产品的信息披露情况，及时获取相关信息。</w:t>
      </w:r>
    </w:p>
    <w:p>
      <w:pPr>
        <w:spacing w:beforeLines="0" w:afterLines="0" w:line="560" w:lineRule="exact"/>
        <w:ind w:firstLine="462"/>
        <w:rPr>
          <w:rFonts w:hint="eastAsia" w:ascii="仿宋_GB2312" w:hAnsi="仿宋_GB2312" w:cs="仿宋_GB2312"/>
          <w:sz w:val="32"/>
          <w:szCs w:val="32"/>
        </w:rPr>
      </w:pPr>
      <w:r>
        <w:rPr>
          <w:rFonts w:hint="eastAsia" w:ascii="仿宋_GB2312" w:hAnsi="仿宋_GB2312" w:cs="仿宋_GB2312"/>
          <w:sz w:val="32"/>
          <w:szCs w:val="32"/>
        </w:rPr>
        <w:t>3.本理财产品不纳入我行开具存款证明受理产品范围内。本理财产品说明书在法律许可的范围内由紫金农商银行负责解释。若您对本理财产品说明书的内容有任何疑问或异议，请至各营业网点咨询、投诉。</w:t>
      </w:r>
    </w:p>
    <w:p>
      <w:pPr>
        <w:autoSpaceDE w:val="0"/>
        <w:autoSpaceDN w:val="0"/>
        <w:adjustRightInd w:val="0"/>
        <w:spacing w:beforeLines="0" w:afterLines="0" w:line="560" w:lineRule="exact"/>
        <w:ind w:firstLine="643" w:firstLineChars="200"/>
        <w:rPr>
          <w:rFonts w:hint="eastAsia" w:ascii="仿宋_GB2312" w:hAnsi="仿宋_GB2312" w:cs="仿宋_GB2312"/>
          <w:b/>
          <w:sz w:val="32"/>
          <w:szCs w:val="32"/>
          <w:u w:val="single"/>
        </w:rPr>
      </w:pPr>
      <w:r>
        <w:rPr>
          <w:rFonts w:hint="eastAsia" w:ascii="仿宋_GB2312" w:hAnsi="仿宋_GB2312" w:cs="仿宋_GB2312"/>
          <w:b/>
          <w:sz w:val="32"/>
          <w:szCs w:val="32"/>
          <w:u w:val="single"/>
        </w:rPr>
        <w:t>4.本理财产品不保证本金及收益，您的本金可能因市场变动或者交易违约等事项而蒙受相应损失，投资者应充分认识投资风险，谨慎投资；本理财产品过往业绩不代表其未来表现，不等于理财产品实际收益，投资须谨慎；理财非存款、产品有风险、投资须谨慎。</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5.管理人有权按照法律法规和监管要求获知（包括但不限于直接获知、从代销机构获知等）并根据法律法规规定和有权机关要求提供或报送投资者身份、持有理财产品、理财产品交易等信息。投资者特此授权并同意，在合法、合理、必要原则的基础上，管理人可按照法律法规、有权机关要求和理财业务需要，收集、存储、共享或合理使用投资者身份、持有理财产品、理财产品交易等信息，并要求其他机构履行投资者信息保密义务。</w:t>
      </w:r>
    </w:p>
    <w:p>
      <w:pPr>
        <w:pStyle w:val="7"/>
        <w:spacing w:beforeLines="0" w:afterLines="0" w:line="560"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6.在本产品存续期内，如因监管政策或法律法规发生变化，在不损害投资者利益的前提下，紫金农商银行有权单方对本产品条款进行修订，并按本理财产品说明书约定的信息披露方式予以披露。</w:t>
      </w:r>
    </w:p>
    <w:p>
      <w:pPr>
        <w:pStyle w:val="2"/>
        <w:tabs>
          <w:tab w:val="left" w:pos="7200"/>
        </w:tabs>
        <w:spacing w:beforeLines="0" w:afterLines="0" w:line="56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一、产品基本要素</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9"/>
        <w:gridCol w:w="1408"/>
        <w:gridCol w:w="1134"/>
        <w:gridCol w:w="4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产品名称</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紫金财富分享盈1年持有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理财登记中心编码</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C1158923000001</w:t>
            </w:r>
            <w:bookmarkStart w:id="0" w:name="_GoBack"/>
            <w:bookmarkEnd w:id="0"/>
            <w:r>
              <w:rPr>
                <w:rFonts w:hint="eastAsia" w:ascii="仿宋" w:hAnsi="仿宋" w:eastAsia="仿宋" w:cs="仿宋"/>
                <w:sz w:val="21"/>
                <w:szCs w:val="21"/>
              </w:rPr>
              <w:t>,投资者可依据该编码在中国理财网www.chinawealth.com.cn查询产品信息。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产品类型</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b/>
                <w:sz w:val="21"/>
                <w:szCs w:val="21"/>
              </w:rPr>
              <w:t>固定收益类、公募、开放式、净值型、非保本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产品代码</w:t>
            </w:r>
          </w:p>
        </w:tc>
        <w:tc>
          <w:tcPr>
            <w:tcW w:w="140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ZJFXY1Y</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b/>
                <w:sz w:val="21"/>
                <w:szCs w:val="21"/>
              </w:rPr>
            </w:pPr>
            <w:r>
              <w:rPr>
                <w:rFonts w:hint="eastAsia" w:ascii="仿宋" w:hAnsi="仿宋" w:eastAsia="仿宋" w:cs="仿宋"/>
                <w:b/>
                <w:sz w:val="21"/>
                <w:szCs w:val="21"/>
              </w:rPr>
              <w:t>销售渠道</w:t>
            </w:r>
          </w:p>
        </w:tc>
        <w:tc>
          <w:tcPr>
            <w:tcW w:w="47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紫金农商银行下属各营业网点和电子渠道（包括但不限于紫金农商银行柜面、手机银行等渠道）、紫金农商银行指定的第三方银行业金融机构代销渠道（如有）。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币种</w:t>
            </w:r>
          </w:p>
        </w:tc>
        <w:tc>
          <w:tcPr>
            <w:tcW w:w="140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人民币</w:t>
            </w:r>
          </w:p>
        </w:tc>
        <w:tc>
          <w:tcPr>
            <w:tcW w:w="1134"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b/>
                <w:sz w:val="21"/>
                <w:szCs w:val="21"/>
              </w:rPr>
            </w:pPr>
            <w:r>
              <w:rPr>
                <w:rFonts w:hint="eastAsia" w:ascii="仿宋" w:hAnsi="仿宋" w:eastAsia="仿宋" w:cs="仿宋"/>
                <w:b/>
                <w:sz w:val="21"/>
                <w:szCs w:val="21"/>
              </w:rPr>
              <w:t>销售范围</w:t>
            </w:r>
          </w:p>
        </w:tc>
        <w:tc>
          <w:tcPr>
            <w:tcW w:w="476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江苏省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销售对象</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面向个人和机构投资者销售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募集期</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2023年2月17日-2023年2月21日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成立日</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2023年2月22日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申购确认日</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b/>
                <w:sz w:val="21"/>
                <w:szCs w:val="21"/>
              </w:rPr>
            </w:pPr>
            <w:r>
              <w:rPr>
                <w:rFonts w:hint="eastAsia" w:ascii="仿宋" w:hAnsi="仿宋" w:eastAsia="仿宋" w:cs="仿宋"/>
                <w:b/>
                <w:sz w:val="21"/>
                <w:szCs w:val="21"/>
              </w:rPr>
              <w:t>本理财产品申购确认日为每周三</w:t>
            </w:r>
            <w:r>
              <w:rPr>
                <w:rFonts w:hint="eastAsia" w:ascii="仿宋" w:hAnsi="仿宋" w:eastAsia="仿宋" w:cs="仿宋"/>
                <w:sz w:val="21"/>
                <w:szCs w:val="21"/>
              </w:rPr>
              <w:t>，</w:t>
            </w:r>
            <w:r>
              <w:rPr>
                <w:rFonts w:hint="eastAsia" w:ascii="仿宋" w:hAnsi="仿宋" w:eastAsia="仿宋" w:cs="仿宋"/>
                <w:b/>
                <w:sz w:val="21"/>
                <w:szCs w:val="21"/>
              </w:rPr>
              <w:t>如遇非工作日则顺延至下一个确认日。</w:t>
            </w:r>
          </w:p>
          <w:p>
            <w:pPr>
              <w:spacing w:beforeLines="0" w:afterLines="0"/>
              <w:rPr>
                <w:rFonts w:hint="eastAsia" w:ascii="仿宋" w:hAnsi="仿宋" w:eastAsia="仿宋" w:cs="仿宋"/>
                <w:sz w:val="21"/>
                <w:szCs w:val="21"/>
              </w:rPr>
            </w:pPr>
            <w:r>
              <w:rPr>
                <w:rFonts w:hint="eastAsia" w:ascii="仿宋" w:hAnsi="仿宋" w:eastAsia="仿宋" w:cs="仿宋"/>
                <w:sz w:val="21"/>
                <w:szCs w:val="21"/>
              </w:rPr>
              <w:t>紫金农商银行有权调整上述规则确定的申购确认日，并在调整之前2个工作日公告。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开放计划</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募集期结束后，每日开放申购。</w:t>
            </w:r>
          </w:p>
          <w:p>
            <w:pPr>
              <w:autoSpaceDE w:val="0"/>
              <w:autoSpaceDN w:val="0"/>
              <w:adjustRightInd w:val="0"/>
              <w:spacing w:beforeLines="0" w:afterLines="0"/>
              <w:rPr>
                <w:rFonts w:hint="eastAsia" w:ascii="仿宋" w:hAnsi="仿宋" w:eastAsia="仿宋" w:cs="仿宋"/>
                <w:sz w:val="21"/>
                <w:szCs w:val="21"/>
              </w:rPr>
            </w:pPr>
          </w:p>
          <w:tbl>
            <w:tblPr>
              <w:tblStyle w:val="5"/>
              <w:tblW w:w="0" w:type="auto"/>
              <w:tblInd w:w="5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5"/>
              <w:gridCol w:w="1559"/>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5"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b/>
                      <w:sz w:val="21"/>
                      <w:szCs w:val="21"/>
                    </w:rPr>
                  </w:pPr>
                  <w:r>
                    <w:rPr>
                      <w:rFonts w:hint="eastAsia" w:ascii="仿宋" w:hAnsi="仿宋" w:eastAsia="仿宋" w:cs="仿宋"/>
                      <w:b/>
                      <w:sz w:val="21"/>
                      <w:szCs w:val="21"/>
                    </w:rPr>
                    <w:t>申购提交时间</w:t>
                  </w:r>
                </w:p>
              </w:tc>
              <w:tc>
                <w:tcPr>
                  <w:tcW w:w="1559"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b/>
                      <w:sz w:val="21"/>
                      <w:szCs w:val="21"/>
                    </w:rPr>
                  </w:pPr>
                  <w:r>
                    <w:rPr>
                      <w:rFonts w:hint="eastAsia" w:ascii="仿宋" w:hAnsi="仿宋" w:eastAsia="仿宋" w:cs="仿宋"/>
                      <w:b/>
                      <w:sz w:val="21"/>
                      <w:szCs w:val="21"/>
                    </w:rPr>
                    <w:t>受理时间</w:t>
                  </w:r>
                </w:p>
              </w:tc>
              <w:tc>
                <w:tcPr>
                  <w:tcW w:w="1701"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b/>
                      <w:sz w:val="21"/>
                      <w:szCs w:val="21"/>
                    </w:rPr>
                  </w:pPr>
                  <w:r>
                    <w:rPr>
                      <w:rFonts w:hint="eastAsia" w:ascii="仿宋" w:hAnsi="仿宋" w:eastAsia="仿宋" w:cs="仿宋"/>
                      <w:b/>
                      <w:sz w:val="21"/>
                      <w:szCs w:val="21"/>
                    </w:rPr>
                    <w:t>确认日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5"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周日15:00-周一15:00</w:t>
                  </w:r>
                </w:p>
              </w:tc>
              <w:tc>
                <w:tcPr>
                  <w:tcW w:w="1559"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周一</w:t>
                  </w:r>
                </w:p>
              </w:tc>
              <w:tc>
                <w:tcPr>
                  <w:tcW w:w="1701"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本周三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5"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周一15:00-周二15:00</w:t>
                  </w:r>
                </w:p>
              </w:tc>
              <w:tc>
                <w:tcPr>
                  <w:tcW w:w="1559"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周二</w:t>
                  </w:r>
                </w:p>
              </w:tc>
              <w:tc>
                <w:tcPr>
                  <w:tcW w:w="1701"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本周三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5"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周二15:00-周三15:00</w:t>
                  </w:r>
                </w:p>
              </w:tc>
              <w:tc>
                <w:tcPr>
                  <w:tcW w:w="1559"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周三</w:t>
                  </w:r>
                </w:p>
              </w:tc>
              <w:tc>
                <w:tcPr>
                  <w:tcW w:w="1701"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下周三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5"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周三15:00-周四15:00</w:t>
                  </w:r>
                </w:p>
              </w:tc>
              <w:tc>
                <w:tcPr>
                  <w:tcW w:w="1559"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周四</w:t>
                  </w:r>
                </w:p>
              </w:tc>
              <w:tc>
                <w:tcPr>
                  <w:tcW w:w="1701"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下周三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5"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周四15:00-周五15:00</w:t>
                  </w:r>
                </w:p>
              </w:tc>
              <w:tc>
                <w:tcPr>
                  <w:tcW w:w="1559"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周五</w:t>
                  </w:r>
                </w:p>
              </w:tc>
              <w:tc>
                <w:tcPr>
                  <w:tcW w:w="1701"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下周三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5"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周五15:00-周日15:00</w:t>
                  </w:r>
                </w:p>
              </w:tc>
              <w:tc>
                <w:tcPr>
                  <w:tcW w:w="1559"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下周一</w:t>
                  </w:r>
                </w:p>
              </w:tc>
              <w:tc>
                <w:tcPr>
                  <w:tcW w:w="1701" w:type="dxa"/>
                  <w:tcBorders>
                    <w:top w:val="single" w:color="auto" w:sz="4"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下周三</w:t>
                  </w:r>
                </w:p>
              </w:tc>
            </w:tr>
          </w:tbl>
          <w:p>
            <w:pPr>
              <w:autoSpaceDE w:val="0"/>
              <w:autoSpaceDN w:val="0"/>
              <w:adjustRightInd w:val="0"/>
              <w:spacing w:beforeLines="0" w:afterLines="0"/>
              <w:rPr>
                <w:rFonts w:hint="eastAsia" w:ascii="仿宋" w:hAnsi="仿宋" w:eastAsia="仿宋" w:cs="仿宋"/>
                <w:b/>
                <w:sz w:val="21"/>
                <w:szCs w:val="21"/>
              </w:rPr>
            </w:pPr>
            <w:r>
              <w:rPr>
                <w:rFonts w:hint="eastAsia" w:ascii="仿宋" w:hAnsi="仿宋" w:eastAsia="仿宋" w:cs="仿宋"/>
                <w:sz w:val="21"/>
                <w:szCs w:val="21"/>
              </w:rPr>
              <w:t>注：申购申请遇节假日，受理时间顺延至下一工作日；确认日遇节假日顺延至下一确认日。</w:t>
            </w:r>
          </w:p>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紫金农商银行有权调整上述规则确定的开放日，并在调整之前2个工作日公告。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名义到期日</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 xml:space="preserve">2033年2月22日（如遇节假日，顺延至下一工作日） </w:t>
            </w:r>
          </w:p>
          <w:p>
            <w:pPr>
              <w:spacing w:beforeLines="0" w:afterLines="0"/>
              <w:rPr>
                <w:rFonts w:hint="eastAsia" w:ascii="仿宋" w:hAnsi="仿宋" w:eastAsia="仿宋" w:cs="仿宋"/>
                <w:sz w:val="21"/>
                <w:szCs w:val="21"/>
              </w:rPr>
            </w:pPr>
            <w:r>
              <w:rPr>
                <w:rFonts w:hint="eastAsia" w:ascii="仿宋" w:hAnsi="仿宋" w:eastAsia="仿宋" w:cs="仿宋"/>
                <w:sz w:val="21"/>
                <w:szCs w:val="21"/>
              </w:rPr>
              <w:t>在符合本理财产品说明书约定的条件下，管理人有权提前终止该产品，产品到期日受制于提前终止条款。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发行规模</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初始募集规模上限20,000万份，存量规模上限500,000万份，紫金农商银行可根据产品申购情况调整存量规模上限。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单户限额</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10000万元，紫金农商银行可根据产品申赎情况调整单户限额。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购买起点/追加金额</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个人客户购买起点金额1万元人民币，追加金额为1000元的整数倍。</w:t>
            </w:r>
          </w:p>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机构客户购买起点金额20万元人民币，追加金额为10000元的整数倍。</w:t>
            </w:r>
          </w:p>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在符合监管政策规定的条件下，紫金农商银行有权对上述购买起点金额和追加金额进行调整。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产品净值</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产品单位净值=（理财产品资产总值-产品负债总额）/理财产品总份额。资产总值包括理财产品项下所有资产价值总和。产品负债总额指以产品名义借入的资金及产品应付费用（管理费、托管费、运营服务费、投资顾问费、应缴税款等）。</w:t>
            </w:r>
          </w:p>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每份产品初始单位净值为1，产品成立后我行将每日披露产品单位净值，并于到期公告披露产品最终单位净值（产品净值的计算按四舍五入法保留六位小数）。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认购份额计算方式</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认购份额=认购金额/募集期产品每份额净值，本产品募集期产品每份额净值为1。（按四舍五入法保留两位小数）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申购及</w:t>
            </w:r>
          </w:p>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申购资金清算</w:t>
            </w:r>
          </w:p>
          <w:p>
            <w:pPr>
              <w:spacing w:beforeLines="0" w:afterLines="0"/>
              <w:jc w:val="center"/>
              <w:rPr>
                <w:rFonts w:hint="eastAsia" w:ascii="仿宋" w:hAnsi="仿宋" w:eastAsia="仿宋" w:cs="仿宋"/>
                <w:b/>
                <w:sz w:val="21"/>
                <w:szCs w:val="21"/>
              </w:rPr>
            </w:pP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1、产品从成立日起进入存续期，存续期客户可进行申购申请。</w:t>
            </w:r>
          </w:p>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2、存续期内，客户于开放日</w:t>
            </w:r>
            <w:r>
              <w:rPr>
                <w:rFonts w:hint="eastAsia" w:ascii="仿宋" w:hAnsi="仿宋" w:eastAsia="仿宋" w:cs="仿宋"/>
                <w:b/>
                <w:sz w:val="21"/>
                <w:szCs w:val="21"/>
              </w:rPr>
              <w:t>15:00以前</w:t>
            </w:r>
            <w:r>
              <w:rPr>
                <w:rFonts w:hint="eastAsia" w:ascii="仿宋" w:hAnsi="仿宋" w:eastAsia="仿宋" w:cs="仿宋"/>
                <w:sz w:val="21"/>
                <w:szCs w:val="21"/>
              </w:rPr>
              <w:t xml:space="preserve">提交的申购或追加申购申请，申购或追加申购金额将会被冻结，申购份额将于申购确认日确认并扣划申购或追加申购金额。 </w:t>
            </w:r>
          </w:p>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3、存续期内，客户于开放日</w:t>
            </w:r>
            <w:r>
              <w:rPr>
                <w:rFonts w:hint="eastAsia" w:ascii="仿宋" w:hAnsi="仿宋" w:eastAsia="仿宋" w:cs="仿宋"/>
                <w:b/>
                <w:sz w:val="21"/>
                <w:szCs w:val="21"/>
              </w:rPr>
              <w:t>15:00以后</w:t>
            </w:r>
            <w:r>
              <w:rPr>
                <w:rFonts w:hint="eastAsia" w:ascii="仿宋" w:hAnsi="仿宋" w:eastAsia="仿宋" w:cs="仿宋"/>
                <w:sz w:val="21"/>
                <w:szCs w:val="21"/>
              </w:rPr>
              <w:t xml:space="preserve">提交的申购或追加申购申请为预约申请，申购或追加申购金额将会被冻结，在下一开放日实时受理，申购份额将于申购确认日确认并扣划申购或追加申购金额。 </w:t>
            </w:r>
          </w:p>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4、客户应在系统扣款前保证资金账户中拥有足够可用余额。因客户资金账户余额不足、司法冻结、不可抗力因素或其他不可归责于紫金农商银行的事由出现，造成扣款失败，申购申请未被确认的，紫金农商银行不承担法律责任。</w:t>
            </w:r>
          </w:p>
          <w:p>
            <w:pPr>
              <w:autoSpaceDE w:val="0"/>
              <w:autoSpaceDN w:val="0"/>
              <w:adjustRightInd w:val="0"/>
              <w:spacing w:beforeLines="0" w:afterLines="0"/>
              <w:rPr>
                <w:rFonts w:hint="eastAsia" w:ascii="仿宋" w:hAnsi="仿宋" w:eastAsia="仿宋" w:cs="仿宋"/>
                <w:sz w:val="21"/>
                <w:szCs w:val="21"/>
              </w:rPr>
            </w:pPr>
            <w:r>
              <w:rPr>
                <w:rFonts w:hint="eastAsia" w:ascii="仿宋" w:hAnsi="仿宋" w:eastAsia="仿宋" w:cs="仿宋"/>
                <w:sz w:val="21"/>
                <w:szCs w:val="21"/>
              </w:rPr>
              <w:t>5、</w:t>
            </w:r>
            <w:r>
              <w:rPr>
                <w:rFonts w:hint="eastAsia" w:ascii="仿宋" w:hAnsi="仿宋" w:eastAsia="仿宋" w:cs="仿宋"/>
                <w:b/>
                <w:sz w:val="21"/>
                <w:szCs w:val="21"/>
              </w:rPr>
              <w:t>申购份额=确认申购金额/确认日前一日单位净值（按四舍五入法保留两位小数）</w:t>
            </w:r>
          </w:p>
          <w:p>
            <w:pPr>
              <w:autoSpaceDE w:val="0"/>
              <w:autoSpaceDN w:val="0"/>
              <w:adjustRightInd w:val="0"/>
              <w:spacing w:beforeLines="0" w:afterLines="0"/>
              <w:rPr>
                <w:rFonts w:hint="eastAsia" w:ascii="仿宋" w:hAnsi="仿宋" w:eastAsia="仿宋" w:cs="仿宋"/>
                <w:b/>
                <w:sz w:val="21"/>
                <w:szCs w:val="21"/>
              </w:rPr>
            </w:pPr>
            <w:r>
              <w:rPr>
                <w:rFonts w:hint="eastAsia" w:ascii="仿宋" w:hAnsi="仿宋" w:eastAsia="仿宋" w:cs="仿宋"/>
                <w:b/>
                <w:sz w:val="21"/>
                <w:szCs w:val="21"/>
              </w:rPr>
              <w:t>申购遵循“未知价”原则，客户于开放日进行申购申请，申购价格以确认日前一自然日产品份额净值为基准计算。</w:t>
            </w:r>
          </w:p>
          <w:p>
            <w:pPr>
              <w:autoSpaceDE w:val="0"/>
              <w:autoSpaceDN w:val="0"/>
              <w:adjustRightInd w:val="0"/>
              <w:spacing w:beforeLines="0" w:after="42" w:afterLines="0"/>
              <w:rPr>
                <w:rFonts w:hint="eastAsia" w:ascii="仿宋" w:hAnsi="仿宋" w:eastAsia="仿宋" w:cs="仿宋"/>
                <w:sz w:val="21"/>
                <w:szCs w:val="21"/>
              </w:rPr>
            </w:pPr>
            <w:r>
              <w:rPr>
                <w:rFonts w:hint="eastAsia" w:ascii="仿宋" w:hAnsi="仿宋" w:eastAsia="仿宋" w:cs="仿宋"/>
                <w:b/>
                <w:sz w:val="21"/>
                <w:szCs w:val="21"/>
              </w:rPr>
              <w:t>计算示例见下文“五、产品运作”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赎回及</w:t>
            </w:r>
          </w:p>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赎回资金清算</w:t>
            </w:r>
          </w:p>
          <w:p>
            <w:pPr>
              <w:spacing w:beforeLines="0" w:afterLines="0"/>
              <w:jc w:val="center"/>
              <w:rPr>
                <w:rFonts w:hint="eastAsia" w:ascii="仿宋" w:hAnsi="仿宋" w:eastAsia="仿宋" w:cs="仿宋"/>
                <w:b/>
                <w:sz w:val="21"/>
                <w:szCs w:val="21"/>
              </w:rPr>
            </w:pP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rPr>
                <w:rFonts w:hint="eastAsia" w:ascii="仿宋" w:hAnsi="仿宋" w:eastAsia="仿宋" w:cs="仿宋"/>
                <w:b/>
                <w:sz w:val="21"/>
                <w:szCs w:val="21"/>
              </w:rPr>
            </w:pPr>
            <w:r>
              <w:rPr>
                <w:rFonts w:hint="eastAsia" w:ascii="仿宋" w:hAnsi="仿宋" w:eastAsia="仿宋" w:cs="仿宋"/>
                <w:b/>
                <w:sz w:val="21"/>
                <w:szCs w:val="21"/>
              </w:rPr>
              <w:t>1、自动赎回时间：本产品以364天为1个投资周期，客户份额持有时间达到364天，系统自动发起赎回。投资周期终止日如遇非交易日，则自动顺延至下一交易日，该投资周期天数相应延长。自动赎回时按实际赎回日前一日产品单位净值计算客户赎回兑付金额。如产品终止时投资者持有份额的天数小于1个投资周期，则该笔份额的投资周期天数按实际持有天数计算。</w:t>
            </w:r>
          </w:p>
          <w:p>
            <w:pPr>
              <w:widowControl/>
              <w:spacing w:beforeLines="0" w:afterLines="0"/>
              <w:rPr>
                <w:rFonts w:hint="eastAsia" w:ascii="仿宋" w:hAnsi="仿宋" w:eastAsia="仿宋" w:cs="仿宋"/>
                <w:b/>
                <w:sz w:val="21"/>
                <w:szCs w:val="21"/>
              </w:rPr>
            </w:pPr>
            <w:r>
              <w:rPr>
                <w:rFonts w:hint="eastAsia" w:ascii="仿宋" w:hAnsi="仿宋" w:eastAsia="仿宋" w:cs="仿宋"/>
                <w:b/>
                <w:sz w:val="21"/>
                <w:szCs w:val="21"/>
              </w:rPr>
              <w:t>2.赎回原则</w:t>
            </w:r>
          </w:p>
          <w:p>
            <w:pPr>
              <w:widowControl/>
              <w:spacing w:beforeLines="0" w:afterLines="0"/>
              <w:rPr>
                <w:rFonts w:hint="eastAsia" w:ascii="仿宋" w:hAnsi="仿宋" w:eastAsia="仿宋" w:cs="仿宋"/>
                <w:b/>
                <w:sz w:val="21"/>
                <w:szCs w:val="21"/>
              </w:rPr>
            </w:pPr>
            <w:r>
              <w:rPr>
                <w:rFonts w:hint="eastAsia" w:ascii="仿宋" w:hAnsi="仿宋" w:eastAsia="仿宋" w:cs="仿宋"/>
                <w:b/>
                <w:sz w:val="21"/>
                <w:szCs w:val="21"/>
              </w:rPr>
              <w:t>（1）“未知价”原则：投资者赎回本理财产品时，采用“未知价”原则，自动赎回时按实际赎回日前一日产品单位净值计算赎回兑付金额。</w:t>
            </w:r>
          </w:p>
          <w:p>
            <w:pPr>
              <w:widowControl/>
              <w:spacing w:beforeLines="0" w:afterLines="0"/>
              <w:rPr>
                <w:rFonts w:hint="eastAsia" w:ascii="仿宋" w:hAnsi="仿宋" w:eastAsia="仿宋" w:cs="仿宋"/>
                <w:b/>
                <w:sz w:val="21"/>
                <w:szCs w:val="21"/>
              </w:rPr>
            </w:pPr>
            <w:r>
              <w:rPr>
                <w:rFonts w:hint="eastAsia" w:ascii="仿宋" w:hAnsi="仿宋" w:eastAsia="仿宋" w:cs="仿宋"/>
                <w:b/>
                <w:sz w:val="21"/>
                <w:szCs w:val="21"/>
              </w:rPr>
              <w:t>（2）“份额赎回”原则：本理财产品赎回以份额赎回，赎回金额=赎回份额×产品单位净值。</w:t>
            </w:r>
          </w:p>
          <w:p>
            <w:pPr>
              <w:widowControl/>
              <w:spacing w:beforeLines="0" w:afterLines="0"/>
              <w:rPr>
                <w:rFonts w:hint="eastAsia" w:ascii="仿宋" w:hAnsi="仿宋" w:eastAsia="仿宋" w:cs="仿宋"/>
                <w:b/>
                <w:sz w:val="21"/>
                <w:szCs w:val="21"/>
              </w:rPr>
            </w:pPr>
            <w:r>
              <w:rPr>
                <w:rFonts w:hint="eastAsia" w:ascii="仿宋" w:hAnsi="仿宋" w:eastAsia="仿宋" w:cs="仿宋"/>
                <w:b/>
                <w:sz w:val="21"/>
                <w:szCs w:val="21"/>
              </w:rPr>
              <w:t>（3）赎回资金到账：实际赎回日后2个工作日内到达投资者资金账户。</w:t>
            </w:r>
          </w:p>
          <w:p>
            <w:pPr>
              <w:autoSpaceDE w:val="0"/>
              <w:autoSpaceDN w:val="0"/>
              <w:adjustRightInd w:val="0"/>
              <w:spacing w:beforeLines="0" w:after="42" w:afterLines="0"/>
              <w:rPr>
                <w:rFonts w:hint="eastAsia" w:ascii="仿宋" w:hAnsi="仿宋" w:eastAsia="仿宋" w:cs="仿宋"/>
                <w:sz w:val="21"/>
                <w:szCs w:val="21"/>
              </w:rPr>
            </w:pPr>
            <w:r>
              <w:rPr>
                <w:rFonts w:hint="eastAsia" w:ascii="仿宋" w:hAnsi="仿宋" w:eastAsia="仿宋" w:cs="仿宋"/>
                <w:b/>
                <w:sz w:val="21"/>
                <w:szCs w:val="21"/>
              </w:rPr>
              <w:t>计算示例见下文“五、产品运作”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撤单</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rPr>
                <w:rFonts w:hint="eastAsia" w:ascii="仿宋" w:hAnsi="仿宋" w:eastAsia="仿宋" w:cs="仿宋"/>
                <w:sz w:val="21"/>
                <w:szCs w:val="21"/>
              </w:rPr>
            </w:pPr>
            <w:r>
              <w:rPr>
                <w:rFonts w:hint="eastAsia" w:ascii="仿宋" w:hAnsi="仿宋" w:eastAsia="仿宋" w:cs="仿宋"/>
                <w:sz w:val="21"/>
                <w:szCs w:val="21"/>
              </w:rPr>
              <w:t>客户于开放日提交的申购申请，在份额确认之前可进行撤单。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6"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风险等级</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根据紫金农商银行内部风险评级，本产品内部风险评级为：</w:t>
            </w:r>
            <w:r>
              <w:rPr>
                <w:rFonts w:hint="eastAsia" w:ascii="仿宋" w:hAnsi="仿宋" w:eastAsia="仿宋" w:cs="仿宋"/>
                <w:b/>
                <w:sz w:val="21"/>
                <w:szCs w:val="21"/>
              </w:rPr>
              <w:t>二级</w:t>
            </w:r>
            <w:r>
              <w:rPr>
                <w:rFonts w:hint="eastAsia" w:ascii="仿宋" w:hAnsi="仿宋" w:eastAsia="仿宋" w:cs="仿宋"/>
                <w:sz w:val="21"/>
                <w:szCs w:val="21"/>
              </w:rPr>
              <w:t>。本风险等级为我行内部风险评估结果，仅供参考，我行不对前述风险评估结果的准确性做出任何形式的保证，也不承担任何法律责任。</w:t>
            </w:r>
          </w:p>
          <w:p>
            <w:pPr>
              <w:spacing w:beforeLines="0" w:afterLines="0"/>
              <w:rPr>
                <w:rFonts w:hint="eastAsia" w:ascii="仿宋" w:hAnsi="仿宋" w:eastAsia="仿宋" w:cs="仿宋"/>
                <w:sz w:val="21"/>
                <w:szCs w:val="21"/>
              </w:rPr>
            </w:pPr>
            <w:r>
              <w:rPr>
                <w:rFonts w:hint="eastAsia" w:ascii="仿宋" w:hAnsi="仿宋" w:eastAsia="仿宋" w:cs="仿宋"/>
                <w:sz w:val="21"/>
                <w:szCs w:val="21"/>
              </w:rPr>
              <w:t>投资者在购买本产品时需完成投资者风险承受能力评估，我行在遵循投资者适当性原则的前提下进行产品销售。</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71"/>
              <w:gridCol w:w="2152"/>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77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产品风险等级</w:t>
                  </w:r>
                </w:p>
              </w:tc>
              <w:tc>
                <w:tcPr>
                  <w:tcW w:w="215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产品风险程度</w:t>
                  </w:r>
                </w:p>
              </w:tc>
              <w:tc>
                <w:tcPr>
                  <w:tcW w:w="2152"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rPr>
                      <w:rFonts w:hint="eastAsia" w:ascii="仿宋" w:hAnsi="仿宋" w:eastAsia="仿宋" w:cs="仿宋"/>
                      <w:sz w:val="21"/>
                      <w:szCs w:val="21"/>
                    </w:rPr>
                  </w:pPr>
                  <w:r>
                    <w:rPr>
                      <w:rFonts w:hint="eastAsia" w:ascii="仿宋" w:hAnsi="仿宋" w:eastAsia="仿宋" w:cs="仿宋"/>
                      <w:sz w:val="21"/>
                      <w:szCs w:val="21"/>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7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一级</w:t>
                  </w:r>
                </w:p>
              </w:tc>
              <w:tc>
                <w:tcPr>
                  <w:tcW w:w="215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低</w:t>
                  </w:r>
                </w:p>
              </w:tc>
              <w:tc>
                <w:tcPr>
                  <w:tcW w:w="215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低风险、中低风险、中等风险、中高风险、高风险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7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b/>
                      <w:sz w:val="21"/>
                      <w:szCs w:val="21"/>
                    </w:rPr>
                  </w:pPr>
                  <w:r>
                    <w:rPr>
                      <w:rFonts w:hint="eastAsia" w:ascii="仿宋" w:hAnsi="仿宋" w:eastAsia="仿宋" w:cs="仿宋"/>
                      <w:b/>
                      <w:sz w:val="21"/>
                      <w:szCs w:val="21"/>
                    </w:rPr>
                    <w:t>二级</w:t>
                  </w:r>
                </w:p>
              </w:tc>
              <w:tc>
                <w:tcPr>
                  <w:tcW w:w="215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b/>
                      <w:sz w:val="21"/>
                      <w:szCs w:val="21"/>
                    </w:rPr>
                  </w:pPr>
                  <w:r>
                    <w:rPr>
                      <w:rFonts w:hint="eastAsia" w:ascii="仿宋" w:hAnsi="仿宋" w:eastAsia="仿宋" w:cs="仿宋"/>
                      <w:b/>
                      <w:sz w:val="21"/>
                      <w:szCs w:val="21"/>
                    </w:rPr>
                    <w:t>中低</w:t>
                  </w:r>
                </w:p>
              </w:tc>
              <w:tc>
                <w:tcPr>
                  <w:tcW w:w="215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b/>
                      <w:sz w:val="21"/>
                      <w:szCs w:val="21"/>
                    </w:rPr>
                  </w:pPr>
                  <w:r>
                    <w:rPr>
                      <w:rFonts w:hint="eastAsia" w:ascii="仿宋" w:hAnsi="仿宋" w:eastAsia="仿宋" w:cs="仿宋"/>
                      <w:b/>
                      <w:sz w:val="21"/>
                      <w:szCs w:val="21"/>
                    </w:rPr>
                    <w:t>中低风险、中等风险、中高风险、高风险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7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三级</w:t>
                  </w:r>
                </w:p>
              </w:tc>
              <w:tc>
                <w:tcPr>
                  <w:tcW w:w="215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中等</w:t>
                  </w:r>
                </w:p>
              </w:tc>
              <w:tc>
                <w:tcPr>
                  <w:tcW w:w="215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中等风险、中高风险、高风险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7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四级</w:t>
                  </w:r>
                </w:p>
              </w:tc>
              <w:tc>
                <w:tcPr>
                  <w:tcW w:w="215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中高</w:t>
                  </w:r>
                </w:p>
              </w:tc>
              <w:tc>
                <w:tcPr>
                  <w:tcW w:w="215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中高风险、高风险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7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五级</w:t>
                  </w:r>
                </w:p>
              </w:tc>
              <w:tc>
                <w:tcPr>
                  <w:tcW w:w="215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高</w:t>
                  </w:r>
                </w:p>
              </w:tc>
              <w:tc>
                <w:tcPr>
                  <w:tcW w:w="2152"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高风险</w:t>
                  </w:r>
                </w:p>
              </w:tc>
            </w:tr>
          </w:tbl>
          <w:p>
            <w:pPr>
              <w:spacing w:beforeLines="0" w:afterLines="0"/>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业绩比较基准（年化）</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仿宋" w:hAnsi="仿宋" w:eastAsia="仿宋" w:cs="仿宋"/>
                <w:b/>
                <w:kern w:val="0"/>
                <w:sz w:val="21"/>
                <w:szCs w:val="21"/>
              </w:rPr>
            </w:pPr>
            <w:r>
              <w:rPr>
                <w:rFonts w:hint="eastAsia" w:ascii="仿宋" w:hAnsi="仿宋" w:eastAsia="仿宋" w:cs="仿宋"/>
                <w:sz w:val="21"/>
                <w:szCs w:val="21"/>
              </w:rPr>
              <w:t>2.8%-4.0%（业绩基准测算依据：产品重点投资于信用债、同业存单等资产，根据当前市场环境，预投资产收益率平均在4.0%左右，同时根据流动性管理需要和监管要求配置占比不低于5%的高流动性资产。综合来看，扣除相关税费成本后业绩基准为2.8%-4.0%。）。本产品为净值型产品，业绩表现将随市场波动，具有不确定性。业绩比较基准不代表理财产品未来表现，不等于理财产品实际收益，不作为产品收益的业绩保证，投资者的实际收益由产品净值表现决定。产品存续期内管理人有权根据市场情况调整业绩比较基准，如有调整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产品不成立</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当募集期结束，因监管政策导致产品不能成立时，紫金农商银行有权提前终止本产品发行并宣告产品不成立，并宣布不成立日后1个工作日内将理财资金返还客户指定账户。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ind w:left="567" w:hanging="527" w:hangingChars="250"/>
              <w:jc w:val="center"/>
              <w:rPr>
                <w:rFonts w:hint="eastAsia" w:ascii="仿宋" w:hAnsi="仿宋" w:eastAsia="仿宋" w:cs="仿宋"/>
                <w:sz w:val="21"/>
                <w:szCs w:val="21"/>
              </w:rPr>
            </w:pPr>
            <w:r>
              <w:rPr>
                <w:rFonts w:hint="eastAsia" w:ascii="仿宋" w:hAnsi="仿宋" w:eastAsia="仿宋" w:cs="仿宋"/>
                <w:b/>
                <w:sz w:val="21"/>
                <w:szCs w:val="21"/>
              </w:rPr>
              <w:t>管理人及职责</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本理财产品管理人为江苏紫金农村商业银行股份有限公司。主要职责如下：</w:t>
            </w:r>
          </w:p>
          <w:p>
            <w:pPr>
              <w:spacing w:beforeLines="0" w:afterLines="0"/>
              <w:rPr>
                <w:rFonts w:hint="eastAsia" w:ascii="仿宋" w:hAnsi="仿宋" w:eastAsia="仿宋" w:cs="仿宋"/>
                <w:sz w:val="21"/>
                <w:szCs w:val="21"/>
              </w:rPr>
            </w:pPr>
            <w:r>
              <w:rPr>
                <w:rFonts w:hint="eastAsia" w:ascii="仿宋" w:hAnsi="仿宋" w:eastAsia="仿宋" w:cs="仿宋"/>
                <w:sz w:val="21"/>
                <w:szCs w:val="21"/>
              </w:rPr>
              <w:t>1.按照法律法规、监管规定及理财产品销售文件的约定，发行并管理理财产品；</w:t>
            </w:r>
          </w:p>
          <w:p>
            <w:pPr>
              <w:spacing w:beforeLines="0" w:afterLines="0"/>
              <w:rPr>
                <w:rFonts w:hint="eastAsia" w:ascii="仿宋" w:hAnsi="仿宋" w:eastAsia="仿宋" w:cs="仿宋"/>
                <w:sz w:val="21"/>
                <w:szCs w:val="21"/>
              </w:rPr>
            </w:pPr>
            <w:r>
              <w:rPr>
                <w:rFonts w:hint="eastAsia" w:ascii="仿宋" w:hAnsi="仿宋" w:eastAsia="仿宋" w:cs="仿宋"/>
                <w:sz w:val="21"/>
                <w:szCs w:val="21"/>
              </w:rPr>
              <w:t>2.根据理财产品的投资组合、同类产品过往业绩和风险状况等因素，对理财产品进行评级；</w:t>
            </w:r>
          </w:p>
          <w:p>
            <w:pPr>
              <w:spacing w:beforeLines="0" w:afterLines="0"/>
              <w:rPr>
                <w:rFonts w:hint="eastAsia" w:ascii="仿宋" w:hAnsi="仿宋" w:eastAsia="仿宋" w:cs="仿宋"/>
                <w:sz w:val="21"/>
                <w:szCs w:val="21"/>
              </w:rPr>
            </w:pPr>
            <w:r>
              <w:rPr>
                <w:rFonts w:hint="eastAsia" w:ascii="仿宋" w:hAnsi="仿宋" w:eastAsia="仿宋" w:cs="仿宋"/>
                <w:sz w:val="21"/>
                <w:szCs w:val="21"/>
              </w:rPr>
              <w:t>3.按照法律法规、监管规定及与投资者约定的信息披露渠道及时披露理财产品相关信息；</w:t>
            </w:r>
          </w:p>
          <w:p>
            <w:pPr>
              <w:spacing w:beforeLines="0" w:afterLines="0"/>
              <w:rPr>
                <w:rFonts w:hint="eastAsia" w:ascii="仿宋" w:hAnsi="仿宋" w:eastAsia="仿宋" w:cs="仿宋"/>
                <w:sz w:val="21"/>
                <w:szCs w:val="21"/>
              </w:rPr>
            </w:pPr>
            <w:r>
              <w:rPr>
                <w:rFonts w:hint="eastAsia" w:ascii="仿宋" w:hAnsi="仿宋" w:eastAsia="仿宋" w:cs="仿宋"/>
                <w:sz w:val="21"/>
                <w:szCs w:val="21"/>
              </w:rPr>
              <w:t>4.按照理财产品销售文件约定的投资范围和权限，负责理财产品资金的运用和管理，向投资者进行收益分配；</w:t>
            </w:r>
          </w:p>
          <w:p>
            <w:pPr>
              <w:spacing w:beforeLines="0" w:afterLines="0"/>
              <w:rPr>
                <w:rFonts w:hint="eastAsia" w:ascii="仿宋" w:hAnsi="仿宋" w:eastAsia="仿宋" w:cs="仿宋"/>
                <w:sz w:val="21"/>
                <w:szCs w:val="21"/>
              </w:rPr>
            </w:pPr>
            <w:r>
              <w:rPr>
                <w:rFonts w:hint="eastAsia" w:ascii="仿宋" w:hAnsi="仿宋" w:eastAsia="仿宋" w:cs="仿宋"/>
                <w:sz w:val="21"/>
                <w:szCs w:val="21"/>
              </w:rPr>
              <w:t>5.国务院银行业监督管理机构规定及本理财产品销售文件中约定的其他职责。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sz w:val="21"/>
                <w:szCs w:val="21"/>
              </w:rPr>
            </w:pPr>
            <w:r>
              <w:rPr>
                <w:rFonts w:hint="eastAsia" w:ascii="仿宋" w:hAnsi="仿宋" w:eastAsia="仿宋" w:cs="仿宋"/>
                <w:b/>
                <w:sz w:val="21"/>
                <w:szCs w:val="21"/>
              </w:rPr>
              <w:t>托管人及职责</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本理财产品托管人为中国建设银行股份有限公司。主要职责如下：</w:t>
            </w:r>
          </w:p>
          <w:p>
            <w:pPr>
              <w:spacing w:beforeLines="0" w:afterLines="0"/>
              <w:rPr>
                <w:rFonts w:hint="eastAsia" w:ascii="仿宋" w:hAnsi="仿宋" w:eastAsia="仿宋" w:cs="仿宋"/>
                <w:sz w:val="21"/>
                <w:szCs w:val="21"/>
              </w:rPr>
            </w:pPr>
            <w:r>
              <w:rPr>
                <w:rFonts w:hint="eastAsia" w:ascii="仿宋" w:hAnsi="仿宋" w:eastAsia="仿宋" w:cs="仿宋"/>
                <w:sz w:val="21"/>
                <w:szCs w:val="21"/>
              </w:rPr>
              <w:t>1.安全保管理财产品财产；</w:t>
            </w:r>
          </w:p>
          <w:p>
            <w:pPr>
              <w:spacing w:beforeLines="0" w:afterLines="0"/>
              <w:rPr>
                <w:rFonts w:hint="eastAsia" w:ascii="仿宋" w:hAnsi="仿宋" w:eastAsia="仿宋" w:cs="仿宋"/>
                <w:sz w:val="21"/>
                <w:szCs w:val="21"/>
              </w:rPr>
            </w:pPr>
            <w:r>
              <w:rPr>
                <w:rFonts w:hint="eastAsia" w:ascii="仿宋" w:hAnsi="仿宋" w:eastAsia="仿宋" w:cs="仿宋"/>
                <w:sz w:val="21"/>
                <w:szCs w:val="21"/>
              </w:rPr>
              <w:t>2.为理财产品开立银行托管账户、证券账户等；</w:t>
            </w:r>
          </w:p>
          <w:p>
            <w:pPr>
              <w:spacing w:beforeLines="0" w:afterLines="0"/>
              <w:rPr>
                <w:rFonts w:hint="eastAsia" w:ascii="仿宋" w:hAnsi="仿宋" w:eastAsia="仿宋" w:cs="仿宋"/>
                <w:sz w:val="21"/>
                <w:szCs w:val="21"/>
              </w:rPr>
            </w:pPr>
            <w:r>
              <w:rPr>
                <w:rFonts w:hint="eastAsia" w:ascii="仿宋" w:hAnsi="仿宋" w:eastAsia="仿宋" w:cs="仿宋"/>
                <w:sz w:val="21"/>
                <w:szCs w:val="21"/>
              </w:rPr>
              <w:t>3.确认与执行理财产品资金划拨指令，办理理财产品资金的收付，核对理财产品资金划拨记录；</w:t>
            </w:r>
          </w:p>
          <w:p>
            <w:pPr>
              <w:spacing w:beforeLines="0" w:afterLines="0"/>
              <w:rPr>
                <w:rFonts w:hint="eastAsia" w:ascii="仿宋" w:hAnsi="仿宋" w:eastAsia="仿宋" w:cs="仿宋"/>
                <w:sz w:val="21"/>
                <w:szCs w:val="21"/>
              </w:rPr>
            </w:pPr>
            <w:r>
              <w:rPr>
                <w:rFonts w:hint="eastAsia" w:ascii="仿宋" w:hAnsi="仿宋" w:eastAsia="仿宋" w:cs="仿宋"/>
                <w:sz w:val="21"/>
                <w:szCs w:val="21"/>
              </w:rPr>
              <w:t>4.建立与理财产品管理人的对账机制，复核理财产品资产净值、理财产品份额申购、赎回价格，及时核查投资资金的支付和到账情况；</w:t>
            </w:r>
          </w:p>
          <w:p>
            <w:pPr>
              <w:spacing w:beforeLines="0" w:afterLines="0"/>
              <w:rPr>
                <w:rFonts w:hint="eastAsia" w:ascii="仿宋" w:hAnsi="仿宋" w:eastAsia="仿宋" w:cs="仿宋"/>
                <w:sz w:val="21"/>
                <w:szCs w:val="21"/>
              </w:rPr>
            </w:pPr>
            <w:r>
              <w:rPr>
                <w:rFonts w:hint="eastAsia" w:ascii="仿宋" w:hAnsi="仿宋" w:eastAsia="仿宋" w:cs="仿宋"/>
                <w:sz w:val="21"/>
                <w:szCs w:val="21"/>
              </w:rPr>
              <w:t>5.监督理财产品投资运作；</w:t>
            </w:r>
          </w:p>
          <w:p>
            <w:pPr>
              <w:spacing w:beforeLines="0" w:afterLines="0"/>
              <w:rPr>
                <w:rFonts w:hint="eastAsia" w:ascii="仿宋" w:hAnsi="仿宋" w:eastAsia="仿宋" w:cs="仿宋"/>
                <w:sz w:val="21"/>
                <w:szCs w:val="21"/>
              </w:rPr>
            </w:pPr>
            <w:r>
              <w:rPr>
                <w:rFonts w:hint="eastAsia" w:ascii="仿宋" w:hAnsi="仿宋" w:eastAsia="仿宋" w:cs="仿宋"/>
                <w:sz w:val="21"/>
                <w:szCs w:val="21"/>
              </w:rPr>
              <w:t>6.办理与理财产品托管业务活动相关的信息披露事项；</w:t>
            </w:r>
          </w:p>
          <w:p>
            <w:pPr>
              <w:spacing w:beforeLines="0" w:afterLines="0"/>
              <w:rPr>
                <w:rFonts w:hint="eastAsia" w:ascii="仿宋" w:hAnsi="仿宋" w:eastAsia="仿宋" w:cs="仿宋"/>
                <w:sz w:val="21"/>
                <w:szCs w:val="21"/>
              </w:rPr>
            </w:pPr>
            <w:r>
              <w:rPr>
                <w:rFonts w:hint="eastAsia" w:ascii="仿宋" w:hAnsi="仿宋" w:eastAsia="仿宋" w:cs="仿宋"/>
                <w:sz w:val="21"/>
                <w:szCs w:val="21"/>
              </w:rPr>
              <w:t>7.保存理财产品托管业务活动的记录、账册、报表和其他相关材料；</w:t>
            </w:r>
          </w:p>
          <w:p>
            <w:pPr>
              <w:spacing w:beforeLines="0" w:afterLines="0"/>
              <w:rPr>
                <w:rFonts w:hint="eastAsia" w:ascii="仿宋" w:hAnsi="仿宋" w:eastAsia="仿宋" w:cs="仿宋"/>
                <w:sz w:val="21"/>
                <w:szCs w:val="21"/>
              </w:rPr>
            </w:pPr>
            <w:r>
              <w:rPr>
                <w:rFonts w:hint="eastAsia" w:ascii="仿宋" w:hAnsi="仿宋" w:eastAsia="仿宋" w:cs="仿宋"/>
                <w:sz w:val="21"/>
                <w:szCs w:val="21"/>
              </w:rPr>
              <w:t>8.对理财产品投资信息和相关资料承担保密责任；</w:t>
            </w:r>
          </w:p>
          <w:p>
            <w:pPr>
              <w:spacing w:beforeLines="0" w:afterLines="0"/>
              <w:rPr>
                <w:rFonts w:hint="eastAsia" w:ascii="仿宋" w:hAnsi="仿宋" w:eastAsia="仿宋" w:cs="仿宋"/>
                <w:sz w:val="21"/>
                <w:szCs w:val="21"/>
              </w:rPr>
            </w:pPr>
            <w:r>
              <w:rPr>
                <w:rFonts w:hint="eastAsia" w:ascii="仿宋" w:hAnsi="仿宋" w:eastAsia="仿宋" w:cs="仿宋"/>
                <w:sz w:val="21"/>
                <w:szCs w:val="21"/>
              </w:rPr>
              <w:t>9.国务院银行业监督管理机构规定的其他职责。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运营服务合作方及职责</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本理财产品运营服务合作方为华泰证券股份有限公司。主要职责为本理财产品提供相关运营服务。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投资顾问及职责</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本理财产品投资顾问为华泰证券（上海）资产管理有限公司。主要职责为本理财产品提供投资顾问服务。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风险事件说明</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本理财产品存在债券到期不能兑付，货币市场工具到期不能收取本息，固定收益类资产管理计划、金融资产交易所委托债权投资项目等到期不能清算，理财期末所持有固定收益产品的价格发生不利变动等风险事件的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产品费用</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本产品费用包括管理费、托管费、运营服务费、投资顾问费以及产品运作和清算中产生的其他费用等。</w:t>
            </w:r>
          </w:p>
          <w:p>
            <w:pPr>
              <w:spacing w:beforeLines="0" w:afterLines="0"/>
              <w:rPr>
                <w:rFonts w:hint="eastAsia" w:ascii="仿宋" w:hAnsi="仿宋" w:eastAsia="仿宋" w:cs="仿宋"/>
                <w:sz w:val="21"/>
                <w:szCs w:val="21"/>
              </w:rPr>
            </w:pPr>
            <w:r>
              <w:rPr>
                <w:rFonts w:hint="eastAsia" w:ascii="仿宋" w:hAnsi="仿宋" w:eastAsia="仿宋" w:cs="仿宋"/>
                <w:sz w:val="21"/>
                <w:szCs w:val="21"/>
              </w:rPr>
              <w:t>认购费：本理财产品暂不收取认购费。</w:t>
            </w:r>
          </w:p>
          <w:p>
            <w:pPr>
              <w:spacing w:beforeLines="0" w:afterLines="0"/>
              <w:rPr>
                <w:rFonts w:hint="eastAsia" w:ascii="仿宋" w:hAnsi="仿宋" w:eastAsia="仿宋" w:cs="仿宋"/>
                <w:sz w:val="21"/>
                <w:szCs w:val="21"/>
              </w:rPr>
            </w:pPr>
            <w:r>
              <w:rPr>
                <w:rFonts w:hint="eastAsia" w:ascii="仿宋" w:hAnsi="仿宋" w:eastAsia="仿宋" w:cs="仿宋"/>
                <w:sz w:val="21"/>
                <w:szCs w:val="21"/>
              </w:rPr>
              <w:t>申购费: 本理财产品暂不收取申购费。</w:t>
            </w:r>
          </w:p>
          <w:p>
            <w:pPr>
              <w:spacing w:beforeLines="0" w:afterLines="0"/>
              <w:rPr>
                <w:rFonts w:hint="eastAsia" w:ascii="仿宋" w:hAnsi="仿宋" w:eastAsia="仿宋" w:cs="仿宋"/>
                <w:sz w:val="21"/>
                <w:szCs w:val="21"/>
              </w:rPr>
            </w:pPr>
            <w:r>
              <w:rPr>
                <w:rFonts w:hint="eastAsia" w:ascii="仿宋" w:hAnsi="仿宋" w:eastAsia="仿宋" w:cs="仿宋"/>
                <w:sz w:val="21"/>
                <w:szCs w:val="21"/>
              </w:rPr>
              <w:t>赎回费：本理财产品暂不收取赎回费。</w:t>
            </w:r>
          </w:p>
          <w:p>
            <w:pPr>
              <w:spacing w:beforeLines="0" w:afterLines="0"/>
              <w:rPr>
                <w:rFonts w:hint="eastAsia" w:ascii="仿宋" w:hAnsi="仿宋" w:eastAsia="仿宋" w:cs="仿宋"/>
                <w:sz w:val="21"/>
                <w:szCs w:val="21"/>
              </w:rPr>
            </w:pPr>
            <w:r>
              <w:rPr>
                <w:rFonts w:hint="eastAsia" w:ascii="仿宋" w:hAnsi="仿宋" w:eastAsia="仿宋" w:cs="仿宋"/>
                <w:sz w:val="21"/>
                <w:szCs w:val="21"/>
              </w:rPr>
              <w:t>托管费：0.01%/年，从产品成立次日起每日计提，按季支付，由托管人收取，每日应计提的托管费＝前一日的产品资产净值×托管费率÷365，按四舍五入法保留两位小数。</w:t>
            </w:r>
          </w:p>
          <w:p>
            <w:pPr>
              <w:spacing w:beforeLines="0" w:afterLines="0"/>
              <w:rPr>
                <w:rFonts w:hint="eastAsia" w:ascii="仿宋" w:hAnsi="仿宋" w:eastAsia="仿宋" w:cs="仿宋"/>
                <w:sz w:val="21"/>
                <w:szCs w:val="21"/>
              </w:rPr>
            </w:pPr>
            <w:r>
              <w:rPr>
                <w:rFonts w:hint="eastAsia" w:ascii="仿宋" w:hAnsi="仿宋" w:eastAsia="仿宋" w:cs="仿宋"/>
                <w:sz w:val="21"/>
                <w:szCs w:val="21"/>
              </w:rPr>
              <w:t>运营服务费：0.005%/年，从产品成立次日起每日计提，按季支付，由运营服务合作方收取，每日应计提的运营服务费＝前一日的产品资产净值×运营服务费率÷365，按四舍五入法保留两位小数。</w:t>
            </w:r>
          </w:p>
          <w:p>
            <w:pPr>
              <w:spacing w:beforeLines="0" w:afterLines="0"/>
              <w:rPr>
                <w:rFonts w:hint="eastAsia" w:ascii="仿宋" w:hAnsi="仿宋" w:eastAsia="仿宋" w:cs="仿宋"/>
                <w:sz w:val="21"/>
                <w:szCs w:val="21"/>
              </w:rPr>
            </w:pPr>
            <w:r>
              <w:rPr>
                <w:rFonts w:hint="eastAsia" w:ascii="仿宋" w:hAnsi="仿宋" w:eastAsia="仿宋" w:cs="仿宋"/>
                <w:sz w:val="21"/>
                <w:szCs w:val="21"/>
              </w:rPr>
              <w:t>管理费：0.2%/年，从产品成立次日起每日计提，按季支付，由管理人收取，每日应计提的管理费＝前一日的产品资产净值×管理费率÷365，按四舍五入法保留两位小数。</w:t>
            </w:r>
          </w:p>
          <w:p>
            <w:pPr>
              <w:spacing w:beforeLines="0" w:afterLines="0"/>
              <w:rPr>
                <w:rFonts w:hint="eastAsia" w:ascii="仿宋" w:hAnsi="仿宋" w:eastAsia="仿宋" w:cs="仿宋"/>
                <w:sz w:val="21"/>
                <w:szCs w:val="21"/>
              </w:rPr>
            </w:pPr>
            <w:r>
              <w:rPr>
                <w:rFonts w:hint="eastAsia" w:ascii="仿宋" w:hAnsi="仿宋" w:eastAsia="仿宋" w:cs="仿宋"/>
                <w:sz w:val="21"/>
                <w:szCs w:val="21"/>
              </w:rPr>
              <w:t>投资顾问费：0.2%/年，从产品成立次日起每日计提，按季支付，由投资顾问收取，每日应计提的投资顾问费＝前一日的产品资产净值×投资顾问费率÷365，按四舍五入法保留两位小数。</w:t>
            </w:r>
          </w:p>
          <w:p>
            <w:pPr>
              <w:spacing w:beforeLines="0" w:afterLines="0"/>
              <w:rPr>
                <w:rFonts w:hint="eastAsia" w:ascii="仿宋" w:hAnsi="仿宋" w:eastAsia="仿宋" w:cs="仿宋"/>
                <w:sz w:val="21"/>
                <w:szCs w:val="21"/>
              </w:rPr>
            </w:pPr>
            <w:r>
              <w:rPr>
                <w:rFonts w:hint="eastAsia" w:ascii="仿宋" w:hAnsi="仿宋" w:eastAsia="仿宋" w:cs="仿宋"/>
                <w:sz w:val="21"/>
                <w:szCs w:val="21"/>
              </w:rPr>
              <w:t>其他费用：产品运作和清算中产生的其他资金汇划费、交易手续费、注册登记费、账户服务费、审计费、及其他应由本产品承担的费用，按照实际发生时从产品中列支。</w:t>
            </w:r>
          </w:p>
          <w:p>
            <w:pPr>
              <w:spacing w:beforeLines="0" w:afterLines="0"/>
              <w:rPr>
                <w:rFonts w:hint="eastAsia" w:ascii="仿宋" w:hAnsi="仿宋" w:eastAsia="仿宋" w:cs="仿宋"/>
                <w:sz w:val="21"/>
                <w:szCs w:val="21"/>
              </w:rPr>
            </w:pPr>
            <w:r>
              <w:rPr>
                <w:rFonts w:hint="eastAsia" w:ascii="仿宋" w:hAnsi="仿宋" w:eastAsia="仿宋" w:cs="仿宋"/>
                <w:sz w:val="21"/>
                <w:szCs w:val="21"/>
              </w:rPr>
              <w:t xml:space="preserve">产品存续期内，紫金农商银行可对管理费率、托管费率、运营服务费率、投资顾问费率等费用进行调整并提前2个工作日进行公告。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对账单</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left"/>
              <w:rPr>
                <w:rFonts w:hint="eastAsia" w:ascii="仿宋" w:hAnsi="仿宋" w:eastAsia="仿宋" w:cs="仿宋"/>
                <w:sz w:val="21"/>
                <w:szCs w:val="21"/>
              </w:rPr>
            </w:pPr>
            <w:r>
              <w:rPr>
                <w:rFonts w:hint="eastAsia" w:ascii="仿宋" w:hAnsi="仿宋" w:eastAsia="仿宋" w:cs="仿宋"/>
                <w:sz w:val="21"/>
                <w:szCs w:val="21"/>
              </w:rPr>
              <w:t>投资者可通过我行电子银行渠道查询相关产品持有信息。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税务处理</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根据财政部、国家税务总局相关税收监管政策的规定，理财产品运营过程中发生的增值税应税行为，以投资管理人为增值税纳税人，计算并缴纳增值税及附加税费。紫金农商银行作为理财产品投资管理人，将按照相关规定计算应缴纳的税费，并从理财产品财产中支付。后续国家法律法规如对相关税收政策进行调整，紫金农商银行有权根据税收政策相应调整理财产品运营过程中发生的税费的承担方式。理财收益的应纳税款由客户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提前终止</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left"/>
              <w:rPr>
                <w:rFonts w:hint="eastAsia" w:ascii="仿宋" w:hAnsi="仿宋" w:eastAsia="仿宋" w:cs="仿宋"/>
                <w:sz w:val="21"/>
                <w:szCs w:val="21"/>
              </w:rPr>
            </w:pPr>
            <w:r>
              <w:rPr>
                <w:rFonts w:hint="eastAsia" w:ascii="仿宋" w:hAnsi="仿宋" w:eastAsia="仿宋" w:cs="仿宋"/>
                <w:sz w:val="21"/>
                <w:szCs w:val="21"/>
              </w:rPr>
              <w:t>在理财产品投资运作期间内，投资者无权要求提前终止该理财产品。在理财产品投资运作期间内，当出现下列情形之一时，产品管理人有权部分或全部终止本产品：</w:t>
            </w:r>
          </w:p>
          <w:p>
            <w:pPr>
              <w:autoSpaceDE w:val="0"/>
              <w:autoSpaceDN w:val="0"/>
              <w:adjustRightInd w:val="0"/>
              <w:spacing w:beforeLines="0" w:afterLines="0"/>
              <w:jc w:val="left"/>
              <w:rPr>
                <w:rFonts w:hint="eastAsia" w:ascii="仿宋" w:hAnsi="仿宋" w:eastAsia="仿宋" w:cs="仿宋"/>
                <w:sz w:val="21"/>
                <w:szCs w:val="21"/>
              </w:rPr>
            </w:pPr>
            <w:r>
              <w:rPr>
                <w:rFonts w:hint="eastAsia" w:ascii="仿宋" w:hAnsi="仿宋" w:eastAsia="仿宋" w:cs="仿宋"/>
                <w:sz w:val="21"/>
                <w:szCs w:val="21"/>
              </w:rPr>
              <w:t>（1）因不可抗力原因导致理财产品无法继续运作。</w:t>
            </w:r>
          </w:p>
          <w:p>
            <w:pPr>
              <w:autoSpaceDE w:val="0"/>
              <w:autoSpaceDN w:val="0"/>
              <w:adjustRightInd w:val="0"/>
              <w:spacing w:beforeLines="0" w:afterLines="0"/>
              <w:jc w:val="left"/>
              <w:rPr>
                <w:rFonts w:hint="eastAsia" w:ascii="仿宋" w:hAnsi="仿宋" w:eastAsia="仿宋" w:cs="仿宋"/>
                <w:sz w:val="21"/>
                <w:szCs w:val="21"/>
              </w:rPr>
            </w:pPr>
            <w:r>
              <w:rPr>
                <w:rFonts w:hint="eastAsia" w:ascii="仿宋" w:hAnsi="仿宋" w:eastAsia="仿宋" w:cs="仿宋"/>
                <w:sz w:val="21"/>
                <w:szCs w:val="21"/>
              </w:rPr>
              <w:t>（2）遇有市场出现剧烈波动、异常风险事件等情形导致理财产品收益出现大幅波动或严重影响理财产品的资产安全。</w:t>
            </w:r>
          </w:p>
          <w:p>
            <w:pPr>
              <w:autoSpaceDE w:val="0"/>
              <w:autoSpaceDN w:val="0"/>
              <w:adjustRightInd w:val="0"/>
              <w:spacing w:beforeLines="0" w:afterLines="0"/>
              <w:jc w:val="left"/>
              <w:rPr>
                <w:rFonts w:hint="eastAsia" w:ascii="仿宋" w:hAnsi="仿宋" w:eastAsia="仿宋" w:cs="仿宋"/>
                <w:sz w:val="21"/>
                <w:szCs w:val="21"/>
              </w:rPr>
            </w:pPr>
            <w:r>
              <w:rPr>
                <w:rFonts w:hint="eastAsia" w:ascii="仿宋" w:hAnsi="仿宋" w:eastAsia="仿宋" w:cs="仿宋"/>
                <w:sz w:val="21"/>
                <w:szCs w:val="21"/>
              </w:rPr>
              <w:t>（3）因法律法规变化或国家金融政策调整、紧急措施出台影响产品继续正常运作。</w:t>
            </w:r>
          </w:p>
          <w:p>
            <w:pPr>
              <w:autoSpaceDE w:val="0"/>
              <w:autoSpaceDN w:val="0"/>
              <w:adjustRightInd w:val="0"/>
              <w:spacing w:beforeLines="0" w:afterLines="0"/>
              <w:jc w:val="left"/>
              <w:rPr>
                <w:rFonts w:hint="eastAsia" w:ascii="仿宋" w:hAnsi="仿宋" w:eastAsia="仿宋" w:cs="仿宋"/>
                <w:sz w:val="21"/>
                <w:szCs w:val="21"/>
              </w:rPr>
            </w:pPr>
            <w:r>
              <w:rPr>
                <w:rFonts w:hint="eastAsia" w:ascii="仿宋" w:hAnsi="仿宋" w:eastAsia="仿宋" w:cs="仿宋"/>
                <w:sz w:val="21"/>
                <w:szCs w:val="21"/>
              </w:rPr>
              <w:t>（4）提前终止产品比维持产品运作更有利于保护投资者权益。</w:t>
            </w:r>
          </w:p>
          <w:p>
            <w:pPr>
              <w:autoSpaceDE w:val="0"/>
              <w:autoSpaceDN w:val="0"/>
              <w:adjustRightInd w:val="0"/>
              <w:spacing w:beforeLines="0" w:afterLines="0"/>
              <w:jc w:val="left"/>
              <w:rPr>
                <w:rFonts w:hint="eastAsia" w:ascii="仿宋" w:hAnsi="仿宋" w:eastAsia="仿宋" w:cs="仿宋"/>
                <w:sz w:val="21"/>
                <w:szCs w:val="21"/>
              </w:rPr>
            </w:pPr>
            <w:r>
              <w:rPr>
                <w:rFonts w:hint="eastAsia" w:ascii="仿宋" w:hAnsi="仿宋" w:eastAsia="仿宋" w:cs="仿宋"/>
                <w:sz w:val="21"/>
                <w:szCs w:val="21"/>
              </w:rPr>
              <w:t>（5）法律法规规定或监管部门认定的其他情形。</w:t>
            </w:r>
          </w:p>
          <w:p>
            <w:pPr>
              <w:autoSpaceDE w:val="0"/>
              <w:autoSpaceDN w:val="0"/>
              <w:adjustRightInd w:val="0"/>
              <w:spacing w:beforeLines="0" w:afterLines="0"/>
              <w:jc w:val="left"/>
              <w:rPr>
                <w:rFonts w:hint="eastAsia" w:ascii="仿宋" w:hAnsi="仿宋" w:eastAsia="仿宋" w:cs="仿宋"/>
                <w:sz w:val="21"/>
                <w:szCs w:val="21"/>
              </w:rPr>
            </w:pPr>
            <w:r>
              <w:rPr>
                <w:rFonts w:hint="eastAsia" w:ascii="仿宋" w:hAnsi="仿宋" w:eastAsia="仿宋" w:cs="仿宋"/>
                <w:sz w:val="21"/>
                <w:szCs w:val="21"/>
              </w:rPr>
              <w:t>如理财产品管理人提前终止本理财产品，将至少提前2个工作日（含）按本理财产品说明书约定的信息披露方式予以披露。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989"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仿宋"/>
                <w:b/>
                <w:sz w:val="21"/>
                <w:szCs w:val="21"/>
              </w:rPr>
            </w:pPr>
            <w:r>
              <w:rPr>
                <w:rFonts w:hint="eastAsia" w:ascii="仿宋" w:hAnsi="仿宋" w:eastAsia="仿宋" w:cs="仿宋"/>
                <w:b/>
                <w:sz w:val="21"/>
                <w:szCs w:val="21"/>
              </w:rPr>
              <w:t>质押条款</w:t>
            </w:r>
          </w:p>
        </w:tc>
        <w:tc>
          <w:tcPr>
            <w:tcW w:w="7302"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rPr>
                <w:rFonts w:hint="eastAsia" w:ascii="仿宋" w:hAnsi="仿宋" w:eastAsia="仿宋" w:cs="仿宋"/>
                <w:sz w:val="21"/>
                <w:szCs w:val="21"/>
              </w:rPr>
            </w:pPr>
            <w:r>
              <w:rPr>
                <w:rFonts w:hint="eastAsia" w:ascii="仿宋" w:hAnsi="仿宋" w:eastAsia="仿宋" w:cs="仿宋"/>
                <w:sz w:val="21"/>
                <w:szCs w:val="21"/>
              </w:rPr>
              <w:t>不可在紫金农商银行各营业网点办理质押贷款。</w:t>
            </w:r>
          </w:p>
        </w:tc>
      </w:tr>
    </w:tbl>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二、名词释义</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在本理财产品说明书中，除非上下文另有明确约定，下列用词将具有如下含义：</w:t>
      </w:r>
    </w:p>
    <w:p>
      <w:pPr>
        <w:autoSpaceDE w:val="0"/>
        <w:autoSpaceDN w:val="0"/>
        <w:adjustRightInd w:val="0"/>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（一）参与主体用语</w:t>
      </w:r>
    </w:p>
    <w:p>
      <w:pPr>
        <w:autoSpaceDE w:val="0"/>
        <w:autoSpaceDN w:val="0"/>
        <w:adjustRightInd w:val="0"/>
        <w:spacing w:beforeLines="0" w:afterLines="0" w:line="560" w:lineRule="exact"/>
        <w:ind w:firstLine="640" w:firstLineChars="200"/>
        <w:rPr>
          <w:rFonts w:hint="eastAsia" w:ascii="仿宋_GB2312" w:hAnsi="仿宋_GB2312" w:cs="仿宋_GB2312"/>
          <w:b/>
          <w:sz w:val="32"/>
          <w:szCs w:val="32"/>
        </w:rPr>
      </w:pPr>
      <w:r>
        <w:rPr>
          <w:rFonts w:hint="eastAsia" w:ascii="仿宋_GB2312" w:hAnsi="仿宋_GB2312" w:cs="仿宋_GB2312"/>
          <w:sz w:val="32"/>
          <w:szCs w:val="32"/>
        </w:rPr>
        <w:t>1.我行/管理人/理财产品管理人：指紫金农商银行（或江苏紫金农村商业银行股份有限公司）。</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2.托管人：指根据管理人委托，对理财产品财产进行托管的机构。</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3.认购/申购人：指在募集期/开放期期间签署本理财产品销售文件并向理财产品管理人交付认购/申购资金的投资者。</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4.理财产品份额持有人/持有人：指其认购或申购申请，经过管理人确认认购或申购成功，从而持有理财产品份额的投资者。</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5.投资者：指购买紫金农商银行发行的相关理财产品的符合相关法律法规及监管要求的个人或机构。</w:t>
      </w:r>
    </w:p>
    <w:p>
      <w:pPr>
        <w:autoSpaceDE w:val="0"/>
        <w:autoSpaceDN w:val="0"/>
        <w:adjustRightInd w:val="0"/>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（二）法律文件用语</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1.销售协议书：指本理财产品对应的《理财产品销售协议书》以及对该文件的有效修改或补充。</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2.产品说明书/本理财产品说明书：指本《理财产品说明书》以及对本《理财产品说明书》的有效修改或补充。</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3.风险揭示书：指本理财产品对应的《理财产品风险揭示书》，以及对该文件的有效修改或补充。</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4.投资者权益须知：指本理财产品对应的《投资者权益须知》，以及对该文件的有效修改或补充。</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5.销售文件：指本理财产品对应的产品说明书、风险揭示书、投资者权益须知、销售协议书等。上述文件共同构成本理财产品完整且不可分割的销售文件。</w:t>
      </w:r>
    </w:p>
    <w:p>
      <w:pPr>
        <w:autoSpaceDE w:val="0"/>
        <w:autoSpaceDN w:val="0"/>
        <w:adjustRightInd w:val="0"/>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（三）期间与日期</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1.募集期：指管理人确定的接受投资者认购本理财产品的起止期限。</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2.开放期：指管理人确定的除募集期外接受投资者申购、赎回本理财产品的起止期限。</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3.提前终止权行使日：指管理人行使提前终止权的日期，即本理财产品被提前终止、开始停止计算收益的日期。</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4.延期终止日：指管理人根据本理财产品说明书约定延长理财产品存续期后本理财产品的终止日，即本理财产品被延期终止、开始停止计算收益的日期。</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5.认购、申购、赎回确认日：指投资者认购、申购、赎回理财产品最终确认日期。</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6.认购、申购冷静期（私募产品适用）：指根据法律法规的规定，理财产品管理人对私募理财产品投资者设定的自签署理财产品销售文件或提交认购、申购申请起的至少二十四小时的期间，在此期间内投资者有权解除理财产品销售文件或撤销认购、申购申请。</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7.产品存续期：指理财产品成立至终止的期间。</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8.名义到期日：指在管理人未对本理财产品提前终止或延期终止的情况下本理财产品的到期日期。</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9.到期日/终止日：指管理人实际开始停止计算本理财产品收益的日期。若本理财产品未提前终止或延期终止，则到期日/终止日即为名义到期日；若本理财产品被提前终止，则到期日/终止日为提前终止权行使日；若本理财产品被延期终止，则实际到期日为延期终止日。</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10.工作日：指除国家法定节假日和休息日（包括周六、周日）外的日期。</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11.交易日：指上海证券交易所和深圳证券交易所的正常开盘交易日。</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12.投资周期：指投资者持有理财产品份额所对应的理财资金由产品管理人进行投资运作的一段完整期间，每一个投资周期为该投资周期起始日至该投资周期终止日的理财期间。投资周期起始日指每一个投资周期开始的日期。投资周期终止日指每一个投资周期结束的日期。</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13.赎回或到期清算分配资金到账日：指赎回或到期清算分配资金划入销售文件约定的投资者授权指定账户之日。</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14.清算期：指自本理财产品终止日至投资者理财本金及收益到账日之间的期间。</w:t>
      </w:r>
    </w:p>
    <w:p>
      <w:pPr>
        <w:autoSpaceDE w:val="0"/>
        <w:autoSpaceDN w:val="0"/>
        <w:adjustRightInd w:val="0"/>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（四）理财产品用语</w:t>
      </w:r>
    </w:p>
    <w:p>
      <w:pPr>
        <w:autoSpaceDE w:val="0"/>
        <w:autoSpaceDN w:val="0"/>
        <w:adjustRightInd w:val="0"/>
        <w:spacing w:beforeLines="0" w:afterLines="0" w:line="560" w:lineRule="exact"/>
        <w:ind w:firstLine="640" w:firstLineChars="200"/>
        <w:rPr>
          <w:rFonts w:hint="eastAsia" w:ascii="仿宋_GB2312" w:hAnsi="仿宋_GB2312" w:cs="仿宋_GB2312"/>
          <w:b/>
          <w:sz w:val="32"/>
          <w:szCs w:val="32"/>
        </w:rPr>
      </w:pPr>
      <w:r>
        <w:rPr>
          <w:rFonts w:hint="eastAsia" w:ascii="仿宋_GB2312" w:hAnsi="仿宋_GB2312" w:cs="仿宋_GB2312"/>
          <w:sz w:val="32"/>
          <w:szCs w:val="32"/>
        </w:rPr>
        <w:t>1.本理财产品/理财产品：</w:t>
      </w:r>
      <w:r>
        <w:rPr>
          <w:rFonts w:hint="eastAsia" w:ascii="仿宋_GB2312" w:hAnsi="仿宋_GB2312" w:cs="仿宋_GB2312"/>
          <w:b/>
          <w:sz w:val="32"/>
          <w:szCs w:val="32"/>
          <w:u w:val="single"/>
        </w:rPr>
        <w:t>“紫金财富分享盈1年持有”理财产品。</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2.认购金额/申购金额/投资本金：指投资者认购或申购本理财产品的本金金额。为避免疑义，认购金额/申购金额/投资本金的称谓仅为方便计算理财产品投资收益而创设的，并非对投资者投资本金不受损失的承诺。</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3.投资收益：指投资者投资理财产品份额获得的投资收益，该收益为其获得分配的全部理财产品赎回资金或到期清算分配资金中扣除投资本金的部分。</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4.理财产品份额/产品份额：指投资者持有本理财产品的单位数额。投资者基于其所持有的理财产品单位数额享有理财产品利益、承担理财产品风险。</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5.产品资产净值=产品资产总值-产品负债总值。产品资产总值是指理财产品拥有的各类有价证券、银行存款、应收款项及其他资产的价值总和。产品负债总值是指理财产品运作及融资时形成的负债价值总和，包括融资资金本息、应付各项费用（包括管理费、托管费、运营服务费、投资顾问费以及产品运作和清算中产生的其他费用等）、应付税金及其他应付款项等。</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6.单位净值/产品每份额净值：指理财产品每单位份额的净值，即每1 份理财产品份额以人民币计价的价格。产品份额净值=产品资产净值/产品总份额。投资者按该份额净值进行理财产品认购、申购和赎回、获得到期/终止时分配。产品份额净值按四舍五入法保留四位小数。</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7.理财产品估值/估值：指计算评估理财产品资产以确定理财产品份额单位净值的过程。</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8.业绩比较基准：指管理人基于过往投资经验及对产品存续期投资市场波动的预判而对本理财产品所设定的投资目标，业绩比较基准不代表本理财产品的未来表现和实际收益，或管理人对本理财产品进行的收益承诺。</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9.认购：指投资者根据产品说明书约定在募集期内申请购买本理财产品的理财产品份额的行为。</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10.申购、赎回申请：指在理财产品的开放期内，投资者向理财产品管理人提出申请对理财产品份额进行购买或卖出的行为。</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11.提前终止/延期终止权：指在本理财产品存续期内，管理人单方面根据本理财产品销售文件的约定提前终止/延期终止本理财产品的权利。</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12.授权指定账户：指投资者用于支付理财产品的认购或申购资金，并用于接收理财产品分红或赎回或到期清算分配款项的银行账户。</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13.固定收益类理财产品：指投资于存款、债券等债权类资产的比例不低于80%的理财产品。</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14.权益类理财产品：指投资于权益类资产的比例不低于80%的理财产品。</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15.商品及金融衍生品类理财产品：指投资于商品及金融衍生品的比例不低于80%的理财产品。</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16.混合类理财产品：指投资于债权类资产、权益类资产、商品及金融衍生品类资产且任一资产的投资比例均未达到80%的理财产品。</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17.公募理财产品：指面向不特定社会公众公开发行的理财产品。</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18.私募理财产品：指面向合格投资者非公开发行的理财产品。</w:t>
      </w:r>
    </w:p>
    <w:p>
      <w:pPr>
        <w:autoSpaceDE w:val="0"/>
        <w:autoSpaceDN w:val="0"/>
        <w:adjustRightInd w:val="0"/>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（五）其他</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1.不可抗力：指理财产品各方不能预见、不能避免且不能克服的客观情况，该事件妨碍、影响或延误任何一方依相关理财产品销售文件的约定履行其全部或部分义务。该事件包括但不限于：</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（1）自然灾害、地震、台风、海啸、洪水、火灾、停电、突发性公共卫生事件；</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（2）罢工、内战、战争、军事行动、任何种类的恐怖活动、暴动、公众示威及／或抗议；</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（3）新的适用法律或国家政策的颁布或实施、对原适用法律或国家政策的修改；</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（4）任何政府机关或其他机关的行为（不论是在法律上或是在事实上）、法律、法规、条例、规则、规定、裁决、命令或指令（包括国有化或对外限制、外汇管制）、诉讼或威胁；</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（5）中国境内或全球金融外汇市场发生致使甲方无法进行货币兑换、划转等的异常变化；</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（6）因理财产品各方和/或其关联方运营网络系统遭受黑客攻击、电信部门技术调整或故障等原因而造成的理财产品各方和/或其关联方之服务、营业的中断或者延迟。</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2.中国：指中华人民共和国（为本理财产品销售文件之目的，不包括香港特别行政区、澳门特别行政区和台湾地区）。</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3.元：指人民币元。</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4.适用法律：指在销售文件签署日和履行过程中，中国任何立法机构、政府部门、银行间交易商协会、证券交易所、证券登记结算机构、基金业协会依法颁布的，适用于本理财产品相关事宜的法律、行政法规、地方法规、部委规章、地方政府规章、规范性文件规则、通知、须知、业务指南、指引或操作规程，及其有效的修改、更新或补充。</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三、投资管理</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（一）投资范围和比例</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本理财产品投资范围主要为：</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1.现金类资产：包括活期存款、定期存款、同业存款、同业拆借、货币市场基金等。</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2.回购类资产：包括银行间债券正回购、银行间债券逆回购、交易所场内正回购与逆回购、交易所质押式协议回购等。</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债券类资产：包括国债、地方政府债、政策性金融债、铁道债、商业银行金融债、企业债、公司债、短期融资券、超短期融资券、中期票据、非银行金融机构债、同业存单、可转债、可交换债、资产支持证券优先级、银行间PPN、债券借贷、公募证券投资基金、券商资产管理计划、信托计划等固定收益类资产。</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4.符合监管要求的其他资产。</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本理财产品投资比例：本理财产品固定收益类资产配置比例为100%，权益资产配置比例为0%、衍生品配置比例为0%。本理财产品设立从产品成立日起6个月内为建仓期。建仓期的投资活动，应符合本理财产品约定的投资范围、风险收益特征及相关监管规定。建仓期结束后，资产组合应当符合法律、行政法规、中国银保监会规定和理财产品约定的投资范围和投资比例限制。</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（二）投资集中度限制</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本产品持有单只证券或者单只公募证券投资基金的市值不得超过产品净资产的10%（投资国债、地方政府债券、中央银行票据、政府机构债券、政策性金融债券以及完全按照有关指数的构成比例进行投资的除外）。</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2.管理人全部公募产品持有单只证券或单只公募证券投资基金的市值，不得超过该证券市值或该公募证券投资基金市值的30%。</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3.管理人全部产品持有单一上市公司发行的股票，不得超过该上市公司可流通股票的30%。</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金融监督管理部门另有规定的除外。</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非因管理人主观因素导致突破上述比例限制的，产品管理人在流动性受限资产可出售、可转让或者恢复交易的10个交易日内调整至符合要求。</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（三）投资范围调整</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若法律法规、国家监管政策或市场情况发生变化，管理人在不改变产品类型的情况下，可对本说明书中已约定的投资范围、投资资产种类、投资比例以及收费项目、条件、标准和方式进行调整。该调整事项将于生效前2个工作日按说明书约定的信息披露方式予以披露。</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（四）投资策略</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采取自上而下的投资策略，通过对宏观经济形势以及财政货币政策的深入分析，确定资产配置的指导原则，在此基础上依照收益率与风险特征对不同金融产品的投资比例进行合理配置，对不同类型固定收益品种的信用风险、流动性风险等进行跟踪分析，并随投资环境的变化及时做出调整。力争在控制利率风险与信用风险的同时获取稳定收益。</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四、理财产品估值</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（一）估值对象</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本产品所拥有的所有资产及负债。</w:t>
      </w:r>
    </w:p>
    <w:p>
      <w:pPr>
        <w:spacing w:beforeLines="0" w:afterLines="0" w:line="560" w:lineRule="exact"/>
        <w:ind w:firstLine="643" w:firstLineChars="200"/>
        <w:rPr>
          <w:rFonts w:hint="eastAsia" w:ascii="仿宋_GB2312" w:hAnsi="仿宋_GB2312" w:cs="仿宋_GB2312"/>
          <w:sz w:val="32"/>
          <w:szCs w:val="32"/>
        </w:rPr>
      </w:pPr>
      <w:r>
        <w:rPr>
          <w:rFonts w:hint="eastAsia" w:ascii="仿宋_GB2312" w:hAnsi="仿宋_GB2312" w:cs="仿宋_GB2312"/>
          <w:b/>
          <w:sz w:val="32"/>
          <w:szCs w:val="32"/>
        </w:rPr>
        <w:t>（二）估值目的</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客观、准确的反映资产净值，确定理财产品资产净值，并为理财产品的兑付提供计价依据。</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（三）估值方法</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1.债券的估值</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（1）同一债券同时在两个或两个以上市场交易的，按债券所处的市场分别估值。</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（2）交易所上市实行净价交易的债券选取估值日第三方估值机构（如中证指数）提供的相应品种对应的估值净价估值。</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3）交易所上市交易的可转换债券按估值日收盘价减去债券收盘价中所含的债券应收利息得到的净价进行估值；估值日没有报价且最近交易日后未发生影响公允价值计量的重大变化的，按最近交易日债券收盘价减去债券收盘价中所含的债券应收利息得到的净价进行估值。如最近交易日后发生了影响公允价值计量的重大变化的，可参考类似投资品种的现行市价及重大变化因素，调整最近交易市价，确定公允价格。</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（4）交易所上市实行全价交易的债券（可转债除外），选取估值日第三方估值机构（如中证指数）提供的估值全价减去估值全价中所含的债券应收利息得到的净价进行估值。</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（5）在全国银行间债券市场交易的债券、同业存单等固定收益品种，采用第三方估值机构中央国债登记结算有限责任公司提供的估值价格数据进行估值。</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6）对于非公开发行的可转债、可交债，可采用第三方估值机构（如中证指数）提供的价格数据确定公允价值。非公开发行公司债、交易所资产支持证券（优先级）、银行间资产支持证券（优先级）、资产支持票据（优先级）、中小企业私募债、非公开定向债务融资工具等固定收益品种在难以可靠计量公允价值的情况下，按第三方估值机构提供的价格数据确定公允价值。</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2.银行存款按照约定利率在持有期内逐日计提应收利息，在利息到账日以实收利息入账。</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3.债券回购以成本列示，按实际利率在回购期间内逐日计提应收或应付利息。</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4.公募基金按如下方法估值</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（1）境内货币市场基金，如基金管理人披露份额净值，则按所投资基金估值日前一日的份额净值估值；如基金管理人披露万份收益，则按所投资基金截至估值日前一日期间的万份收益计提估值日基金收益。</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2）境内上市交易型货币市场基金，如所投资基金披露份额净值，则按所投资基金估值日前一日的份额净值估值；如所投资基金披露万份（百份）收益，则按所投资基金截至估值日前一日的万份（百份）收益计提估值日基金收益。</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（3）非货币基金，如所投资基金上市交易的，则按所投资基金估值日的收盘价估值；如所投资基金披露份额净值，则按所投资基金估值日前一日的份额净值估值。</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4）如遇所投资基金不公布基金份额净值、进行折算或拆分、估值日无交易等特殊情况，资产管理人与资产托管人根据基金份额净值或收盘价、单位基金份额分红金额、折算拆分比例、持仓份额等因素合理确定公允价值。</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5.期货以估值日的结算价估值，若估值当日无结算价的，且最近交易日后经济环境未发生重大变化的，采用最近交易日结算价估值。法律法规另有规定的，从其规定。</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6.如有确凿证据表明按上述方法进行估值不能客观反映其公允价值的，资产管理人可根据具体情况与资产托管人商定后，按最能反映公允价值的价格估值。</w:t>
      </w:r>
    </w:p>
    <w:p>
      <w:pPr>
        <w:autoSpaceDE w:val="0"/>
        <w:autoSpaceDN w:val="0"/>
        <w:adjustRightInd w:val="0"/>
        <w:spacing w:beforeLines="0" w:afterLines="0" w:line="560" w:lineRule="exact"/>
        <w:ind w:firstLine="420"/>
        <w:rPr>
          <w:rFonts w:hint="eastAsia" w:ascii="仿宋_GB2312" w:hAnsi="仿宋_GB2312" w:cs="仿宋_GB2312"/>
          <w:sz w:val="32"/>
          <w:szCs w:val="32"/>
        </w:rPr>
      </w:pPr>
      <w:r>
        <w:rPr>
          <w:rFonts w:hint="eastAsia" w:ascii="仿宋_GB2312" w:hAnsi="仿宋_GB2312" w:cs="仿宋_GB2312"/>
          <w:sz w:val="32"/>
          <w:szCs w:val="32"/>
        </w:rPr>
        <w:t>7.相关法律法规以及监管部门有强制规定的，从其规定。如有新增事项，按国家最新规定估值。</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（四）估值错误的处理</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由于管理人、托管人、运营服务合作方自身的过错造成估值错误，导致投资者遭受损失的，由估值错误责任方按照过错程度各自对该估值错误导致投资者遭受的直接损失给予赔偿，承担赔偿责任。</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因本理财产品估值所用的价格来源中出现错误，或因技术原因系同行业现有技术水平无法预见、无法避免，属于不可抗力原因造成的产品估值错误，管理人、托管人、运营服务合作方免除赔偿责任。但产品管理人和产品托管人应当积极采取必要的措施消除由此造成的影响，但因该差错取得不当得利的投资者仍应负有返还不当得利的义务。</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（五）暂停估值情形</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1.因不可抗力或其他情形致使理财产品管理人、理财产品托管人无法准确评估资产价值。</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2.当前一估值日理财产品资产净值50%以上的资产不具备活跃交易市场或者在活跃市场中无报价，且不能采用估值技术可靠计量公允价值。</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3.理财产品管理人、托管人有合理理由认为将影响本理财产品估值的其他情形发生。</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4.中国银保监会认定的导致无法准确估值的其它情形。</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暂停估值情形发生时，管理人可暂停产品的估值，并采取延缓支付赎回款项或暂停接受理财产品认购、赎回等措施，同时在3个工作日内告知本产品的投资者，并说明运用相关措施的原因、拟采取的应对安排等。估值条件恢复时，应按规定完成估值工作。</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五、产品运作</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(一)认购份额的计算</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认购份额=认购金额/产品成立时单位净值</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产品成立时单位净值为1元/份，认购份额以四舍五入法保留到小数点后两位。</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(二)申购份额的计算</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申购份额=申购金额/申购受理日产品单位净值</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申购份额以四舍五入法保留到小数点后两位。</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(三)自动赎回金额的计算</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自动赎回金额=赎回份额*自动赎回日前一日产品单位净值</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自动赎回金额以四舍五入法保留到小数点后两位。</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(四)计算示例</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以下示例均为假设情况，不代表本产品实际投资业绩。</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1.情景一</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某投资者于 2023年 9月4日15:00前申购10000元本产品， 2023年 9月5日产品单位净值为1.003511，客户份额于9月6日确认。</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客户确认份额=10000/1.003511=9965.01（份）</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客户份额对应的364天投资周期，自动赎回日为2024年9月4日。客户份额将在2024年9月4日自动赎回，客户赎回时根据2024年9月3日单位净值兑付，为1.039648。</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产品投资周期年化收益率=（1.039648/1.003511-1）/364*365=3.61%。</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投资者应得赎回资金＝9965.01*1.039648＝10360.10元</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客户持有期限实际年化收益率=（10360.10-10000）/10000*365/364=3.61%</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2.情景二</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某投资者于 2023年 9月4日15:00前申购10000元本产品， 2023年 9月5日产品单位净值为1.003511，客户份额于9月6日确认。</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客户确认份额=10000/1.003511=9965.01（份）</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客户份额对应的364天投资周期，自动赎回日为2024年9月4日。客户份额将在2024年9月4日自动赎回，客户赎回时根据2024年9月3日单位净值兑付，为0.992508。</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投资者应得赎回资金＝9965.01×0.992508＝9890.35元</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客户实际亏损109.65元，最不利的情形下，投资者可能损失100%本金。</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上述情况假设仅用于向投资者示例收益计算方法之用，并不代表管理人对实际投资情况的预期判断，也不代表以上所有情形或某一情形一定会发生，或管理人认为发生的可能性很大。投资者获得的最终收益以产品实际运作表现及管理人实际支付为准。</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六、产品终止与清算</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（一）产品的终止</w:t>
      </w:r>
    </w:p>
    <w:p>
      <w:pPr>
        <w:spacing w:beforeLines="0" w:afterLines="0" w:line="560" w:lineRule="exact"/>
        <w:ind w:firstLine="432"/>
        <w:rPr>
          <w:rFonts w:hint="eastAsia" w:ascii="仿宋_GB2312" w:hAnsi="仿宋_GB2312" w:cs="仿宋_GB2312"/>
          <w:sz w:val="32"/>
          <w:szCs w:val="32"/>
        </w:rPr>
      </w:pPr>
      <w:r>
        <w:rPr>
          <w:rFonts w:hint="eastAsia" w:ascii="仿宋_GB2312" w:hAnsi="仿宋_GB2312" w:cs="仿宋_GB2312"/>
          <w:sz w:val="32"/>
          <w:szCs w:val="32"/>
        </w:rPr>
        <w:t>1.提前终止</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在理财期限内，投资者无提前终止权，管理人视投资状况有提前终止权，管理人行使提前终止权时应提前至少2个工作日（含）按说明书约定的信息披露方式予以披露。</w:t>
      </w:r>
    </w:p>
    <w:p>
      <w:pPr>
        <w:spacing w:beforeLines="0" w:afterLines="0" w:line="560" w:lineRule="exact"/>
        <w:ind w:firstLine="432"/>
        <w:rPr>
          <w:rFonts w:hint="eastAsia" w:ascii="仿宋_GB2312" w:hAnsi="仿宋_GB2312" w:cs="仿宋_GB2312"/>
          <w:sz w:val="32"/>
          <w:szCs w:val="32"/>
        </w:rPr>
      </w:pPr>
      <w:r>
        <w:rPr>
          <w:rFonts w:hint="eastAsia" w:ascii="仿宋_GB2312" w:hAnsi="仿宋_GB2312" w:cs="仿宋_GB2312"/>
          <w:sz w:val="32"/>
          <w:szCs w:val="32"/>
        </w:rPr>
        <w:t>2.延期兑付</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出现以下情况，产品管理人有权延长本理财产品的终止日：</w:t>
      </w:r>
    </w:p>
    <w:p>
      <w:pPr>
        <w:autoSpaceDE w:val="0"/>
        <w:autoSpaceDN w:val="0"/>
        <w:adjustRightInd w:val="0"/>
        <w:spacing w:beforeLines="0" w:afterLines="0" w:line="560" w:lineRule="exact"/>
        <w:ind w:firstLine="480" w:firstLineChars="150"/>
        <w:rPr>
          <w:rFonts w:hint="eastAsia" w:ascii="仿宋_GB2312" w:hAnsi="仿宋_GB2312" w:cs="仿宋_GB2312"/>
          <w:sz w:val="32"/>
          <w:szCs w:val="32"/>
        </w:rPr>
      </w:pPr>
      <w:r>
        <w:rPr>
          <w:rFonts w:hint="eastAsia" w:ascii="仿宋_GB2312" w:hAnsi="仿宋_GB2312" w:cs="仿宋_GB2312"/>
          <w:sz w:val="32"/>
          <w:szCs w:val="32"/>
        </w:rPr>
        <w:t>（1） 产品终止日遇非工作日则顺延至下一工作日，投资者清算资金到账日将相应调整；</w:t>
      </w:r>
    </w:p>
    <w:p>
      <w:pPr>
        <w:autoSpaceDE w:val="0"/>
        <w:autoSpaceDN w:val="0"/>
        <w:adjustRightInd w:val="0"/>
        <w:spacing w:beforeLines="0" w:afterLines="0" w:line="560" w:lineRule="exact"/>
        <w:ind w:firstLine="480" w:firstLineChars="150"/>
        <w:rPr>
          <w:rFonts w:hint="eastAsia" w:ascii="仿宋_GB2312" w:hAnsi="仿宋_GB2312" w:cs="仿宋_GB2312"/>
          <w:sz w:val="32"/>
          <w:szCs w:val="32"/>
        </w:rPr>
      </w:pPr>
      <w:r>
        <w:rPr>
          <w:rFonts w:hint="eastAsia" w:ascii="仿宋_GB2312" w:hAnsi="仿宋_GB2312" w:cs="仿宋_GB2312"/>
          <w:sz w:val="32"/>
          <w:szCs w:val="32"/>
        </w:rPr>
        <w:t>（2）因市场成交量不足、资产限制赎回、暂停交易、缺乏意愿交易对手等原因，导致产品项下对应的投资标的无法及时变现；</w:t>
      </w:r>
    </w:p>
    <w:p>
      <w:pPr>
        <w:autoSpaceDE w:val="0"/>
        <w:autoSpaceDN w:val="0"/>
        <w:adjustRightInd w:val="0"/>
        <w:spacing w:beforeLines="0" w:afterLines="0" w:line="560" w:lineRule="exact"/>
        <w:ind w:firstLine="480" w:firstLineChars="150"/>
        <w:rPr>
          <w:rFonts w:hint="eastAsia" w:ascii="仿宋_GB2312" w:hAnsi="仿宋_GB2312" w:cs="仿宋_GB2312"/>
          <w:sz w:val="32"/>
          <w:szCs w:val="32"/>
        </w:rPr>
      </w:pPr>
      <w:r>
        <w:rPr>
          <w:rFonts w:hint="eastAsia" w:ascii="仿宋_GB2312" w:hAnsi="仿宋_GB2312" w:cs="仿宋_GB2312"/>
          <w:sz w:val="32"/>
          <w:szCs w:val="32"/>
        </w:rPr>
        <w:t>（3）因资金在途等原因，导致未能及时收回资金；</w:t>
      </w:r>
    </w:p>
    <w:p>
      <w:pPr>
        <w:autoSpaceDE w:val="0"/>
        <w:autoSpaceDN w:val="0"/>
        <w:adjustRightInd w:val="0"/>
        <w:spacing w:beforeLines="0" w:afterLines="0" w:line="560" w:lineRule="exact"/>
        <w:ind w:firstLine="480" w:firstLineChars="150"/>
        <w:rPr>
          <w:rFonts w:hint="eastAsia" w:ascii="仿宋_GB2312" w:hAnsi="仿宋_GB2312" w:cs="仿宋_GB2312"/>
          <w:sz w:val="32"/>
          <w:szCs w:val="32"/>
        </w:rPr>
      </w:pPr>
      <w:r>
        <w:rPr>
          <w:rFonts w:hint="eastAsia" w:ascii="仿宋_GB2312" w:hAnsi="仿宋_GB2312" w:cs="仿宋_GB2312"/>
          <w:sz w:val="32"/>
          <w:szCs w:val="32"/>
        </w:rPr>
        <w:t>（4）其他产品管理人认为需要延期兑付的情形。</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产品管理人决定延期兑付的，将至少提前2个工作日（含）按说明书约定的信息披露方式予以披露。</w:t>
      </w:r>
    </w:p>
    <w:p>
      <w:pPr>
        <w:spacing w:beforeLines="0" w:afterLines="0" w:line="560" w:lineRule="exact"/>
        <w:ind w:firstLine="432"/>
        <w:rPr>
          <w:rFonts w:hint="eastAsia" w:ascii="仿宋_GB2312" w:hAnsi="仿宋_GB2312" w:cs="仿宋_GB2312"/>
          <w:sz w:val="32"/>
          <w:szCs w:val="32"/>
        </w:rPr>
      </w:pPr>
      <w:r>
        <w:rPr>
          <w:rFonts w:hint="eastAsia" w:ascii="仿宋_GB2312" w:hAnsi="仿宋_GB2312" w:cs="仿宋_GB2312"/>
          <w:sz w:val="32"/>
          <w:szCs w:val="32"/>
        </w:rPr>
        <w:t>3.收益分配</w:t>
      </w:r>
    </w:p>
    <w:p>
      <w:pPr>
        <w:autoSpaceDE w:val="0"/>
        <w:autoSpaceDN w:val="0"/>
        <w:adjustRightInd w:val="0"/>
        <w:spacing w:beforeLines="0" w:afterLines="0" w:line="560" w:lineRule="exact"/>
        <w:ind w:firstLine="480" w:firstLineChars="150"/>
        <w:rPr>
          <w:rFonts w:hint="eastAsia" w:ascii="仿宋_GB2312" w:hAnsi="仿宋_GB2312" w:cs="仿宋_GB2312"/>
          <w:sz w:val="32"/>
          <w:szCs w:val="32"/>
        </w:rPr>
      </w:pPr>
      <w:r>
        <w:rPr>
          <w:rFonts w:hint="eastAsia" w:ascii="仿宋_GB2312" w:hAnsi="仿宋_GB2312" w:cs="仿宋_GB2312"/>
          <w:sz w:val="32"/>
          <w:szCs w:val="32"/>
        </w:rPr>
        <w:t>根据理财资金所投资资产实际运作情况向客户支付到期款项。</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（二）产品的清算</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自本理财产品终止日至投资者理财本金及收益到账日之间为本理财产品的清算期。清算期不计算利息或投资收益。清算期原则上不得超过2个工作日，清算期超过2个工作日的，将依约定进行公告。</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 xml:space="preserve">七、信息披露  </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（一）信息披露方式</w:t>
      </w:r>
    </w:p>
    <w:p>
      <w:pPr>
        <w:autoSpaceDE w:val="0"/>
        <w:autoSpaceDN w:val="0"/>
        <w:adjustRightInd w:val="0"/>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本理财产品的信息披露方式包括但不限于紫金农商银行官网（www.zjrcbank.com）、短信、电子渠道和营业网点等，投资者可通过上述渠道查询产品相关信息。相关信息自信息披露之日即视为已送达投资者。如投资者因未适时查询等自身原因，或由于通讯故障、系统故障以及其他不可抗力等因素的影响使得投资者无法了解产品信息，并由此影响投资者的投资决策，因此产生责任和风险由投资者承担。</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（二）信息披露内容及时间</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1.产品成立公告</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本理财产品成立后5 个工作日内发布相关产品成立公告。</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2.净值披露</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每日披露产品单位净值、累计净值等。</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3.到期公告</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本理财产品终止后3个工作日内发布终止清算公告。</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4.定期公告</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每个季度结束之日起15个工作日内、上半年结束之日起60个工作日内、每年结束之日起90个工作日内披露本理财产品的季度、半年和年度报告，如果本理财产品成立不足90日或者剩余存续期不超过90日的，紫金农商银行可以不编制产品当期的季度、半年和年度报告。</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5.重大事项公告</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在发生可能对本理财产品投资者或者理财产品收益产生重大影响的事件后2个工作日内披露重大事项公告。</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6.临时公告</w:t>
      </w:r>
    </w:p>
    <w:p>
      <w:pPr>
        <w:pStyle w:val="7"/>
        <w:spacing w:beforeLines="0" w:afterLines="0" w:line="560" w:lineRule="exact"/>
        <w:ind w:firstLine="640" w:firstLineChars="200"/>
        <w:jc w:val="both"/>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及时披露国务院银行业监督管理机构规定的其他信息或除重大事项事件以外的其他信息。</w:t>
      </w:r>
    </w:p>
    <w:p>
      <w:pPr>
        <w:autoSpaceDE w:val="0"/>
        <w:autoSpaceDN w:val="0"/>
        <w:adjustRightInd w:val="0"/>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7.理财产品存续期间，管理人若根据市场情况需调整投资范围、投资资产种类或投资比例的或需对已约定的收费项目、条件、标准和方式进行调整的，在不违反法律、法规、规章和监管规定的强制性规范的前提下，有权提前进行公告，进行相关调整。</w:t>
      </w:r>
    </w:p>
    <w:p>
      <w:pPr>
        <w:autoSpaceDE w:val="0"/>
        <w:autoSpaceDN w:val="0"/>
        <w:adjustRightInd w:val="0"/>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8.理财产品存续期间，若因国家法律法规、监管规定发生变化，或出于维持本理财产品正常运营的需要，管理人有权单方面对产品说明书进行修订，并提前进行公告。投资者在此同意，修订后的产品说明书对投资者具有法律约束力。</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9.其它公告</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理财产品在运作管理过程中，管理人根据实际运作情况发布的其他公告。</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八、其他</w:t>
      </w:r>
    </w:p>
    <w:p>
      <w:pPr>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（一）法律适用和争议解决</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理财产品销售文件的订立、生效、履行、解释、修改和终止等事项的适用法律和争议解决方式按照销售协议书的相关约定执行。</w:t>
      </w:r>
    </w:p>
    <w:p>
      <w:pPr>
        <w:autoSpaceDE w:val="0"/>
        <w:autoSpaceDN w:val="0"/>
        <w:adjustRightInd w:val="0"/>
        <w:spacing w:beforeLines="0" w:afterLines="0" w:line="560" w:lineRule="exact"/>
        <w:ind w:firstLine="643" w:firstLineChars="200"/>
        <w:rPr>
          <w:rFonts w:hint="eastAsia" w:ascii="仿宋_GB2312" w:hAnsi="仿宋_GB2312" w:cs="仿宋_GB2312"/>
          <w:b/>
          <w:sz w:val="32"/>
          <w:szCs w:val="32"/>
        </w:rPr>
      </w:pPr>
      <w:r>
        <w:rPr>
          <w:rFonts w:hint="eastAsia" w:ascii="仿宋_GB2312" w:hAnsi="仿宋_GB2312" w:cs="仿宋_GB2312"/>
          <w:b/>
          <w:sz w:val="32"/>
          <w:szCs w:val="32"/>
        </w:rPr>
        <w:t>（二）信息安全</w:t>
      </w:r>
    </w:p>
    <w:p>
      <w:pPr>
        <w:spacing w:beforeLines="0" w:afterLines="0"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紫金农商银行将据相关法律、法规严格履行投资者信息保密责任，除监管机构或司法机关等有权机构外，不得对其他第三方提供任何投资者信息。投资者在此同意并授权，紫金农商银行可根据监管要求，为理财产品登记等需要，向登记部门或监管机构提供投资者相关信息。</w:t>
      </w:r>
    </w:p>
    <w:p>
      <w:pPr>
        <w:spacing w:beforeLines="0" w:afterLines="0"/>
        <w:rPr>
          <w:rFonts w:hint="eastAsia" w:ascii="黑体" w:hAnsi="黑体" w:eastAsia="黑体"/>
          <w:sz w:val="32"/>
          <w:szCs w:val="24"/>
        </w:rPr>
      </w:pP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TSong-Light">
    <w:altName w:val="Times New Roman"/>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jM2NlM2YxYWZkNmNmZjJmYjcyZjFiNmZkYzkxYmQifQ=="/>
  </w:docVars>
  <w:rsids>
    <w:rsidRoot w:val="00172A27"/>
    <w:rsid w:val="4FDA6181"/>
    <w:rsid w:val="68624102"/>
    <w:rsid w:val="766A3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spacing w:beforeLines="0" w:afterLines="0"/>
      <w:jc w:val="both"/>
    </w:pPr>
    <w:rPr>
      <w:rFonts w:hint="default" w:ascii="Times New Roman" w:hAnsi="Times New Roman" w:eastAsia="仿宋_GB2312" w:cstheme="minorBidi"/>
      <w:kern w:val="2"/>
      <w:sz w:val="30"/>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unhideWhenUsed/>
    <w:uiPriority w:val="0"/>
    <w:pPr>
      <w:snapToGrid w:val="0"/>
      <w:spacing w:beforeLines="0" w:afterLines="0" w:line="260" w:lineRule="exact"/>
    </w:pPr>
    <w:rPr>
      <w:rFonts w:hint="default" w:eastAsia="宋体"/>
      <w:sz w:val="21"/>
      <w:szCs w:val="24"/>
    </w:rPr>
  </w:style>
  <w:style w:type="paragraph" w:styleId="3">
    <w:name w:val="footer"/>
    <w:basedOn w:val="1"/>
    <w:unhideWhenUsed/>
    <w:uiPriority w:val="99"/>
    <w:pPr>
      <w:tabs>
        <w:tab w:val="center" w:pos="4153"/>
        <w:tab w:val="right" w:pos="8306"/>
      </w:tabs>
      <w:snapToGrid w:val="0"/>
      <w:spacing w:beforeLines="0" w:afterLines="0"/>
      <w:jc w:val="left"/>
    </w:pPr>
    <w:rPr>
      <w:rFonts w:hint="default"/>
      <w:sz w:val="18"/>
      <w:szCs w:val="24"/>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Default"/>
    <w:unhideWhenUsed/>
    <w:uiPriority w:val="0"/>
    <w:pPr>
      <w:widowControl w:val="0"/>
      <w:autoSpaceDE w:val="0"/>
      <w:autoSpaceDN w:val="0"/>
      <w:adjustRightInd w:val="0"/>
      <w:spacing w:beforeLines="0" w:afterLines="0"/>
    </w:pPr>
    <w:rPr>
      <w:rFonts w:hint="eastAsia" w:ascii="微软雅黑" w:hAnsi="Calibri" w:eastAsia="微软雅黑" w:cs="微软雅黑"/>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12675</Words>
  <Characters>13246</Characters>
  <Lines>0</Lines>
  <Paragraphs>0</Paragraphs>
  <TotalTime>4</TotalTime>
  <ScaleCrop>false</ScaleCrop>
  <LinksUpToDate>false</LinksUpToDate>
  <CharactersWithSpaces>13274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2023-02-16T10:53:00Z</dcterms:created>
  <dc:creator>永远相信美好的事情即将发生</dc:creator>
  <cp:lastModifiedBy>王晓波1388144747</cp:lastModifiedBy>
  <dcterms:modified xsi:type="dcterms:W3CDTF">2023-02-17T00:37:37Z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3940C29B45EB4A01BCAF94E8ADC5A879</vt:lpwstr>
  </property>
</Properties>
</file>