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季开放11号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管理人拟对“苏银理财恒源季开放11号”理财产品部分要素进行调整，具体如下：</w:t>
      </w:r>
    </w:p>
    <w:p>
      <w:pPr>
        <w:pStyle w:val="2"/>
        <w:ind w:firstLine="562" w:firstLineChars="200"/>
        <w:rPr>
          <w:rFonts w:hint="default"/>
          <w:b/>
          <w:bCs/>
          <w:lang w:val="en-US" w:eastAsia="zh-CN"/>
        </w:rPr>
      </w:pPr>
      <w:r>
        <w:rPr>
          <w:rFonts w:hint="eastAsia" w:ascii="楷体" w:hAnsi="楷体" w:eastAsia="楷体" w:cs="Times New Roman"/>
          <w:b/>
          <w:bCs/>
          <w:sz w:val="28"/>
          <w:szCs w:val="28"/>
          <w:lang w:val="en-US" w:eastAsia="zh-CN"/>
        </w:rPr>
        <w:t>一、销售对象调整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苏银理财恒源季开放11号E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J02807</w:t>
            </w:r>
          </w:p>
        </w:tc>
        <w:tc>
          <w:tcPr>
            <w:tcW w:w="273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面向</w:t>
            </w:r>
            <w:r>
              <w:rPr>
                <w:rFonts w:hint="eastAsia" w:ascii="楷体" w:hAnsi="楷体" w:eastAsia="楷体" w:cs="宋体"/>
                <w:spacing w:val="-2"/>
                <w:sz w:val="21"/>
                <w:szCs w:val="21"/>
                <w:highlight w:val="none"/>
              </w:rPr>
              <w:t>个人投资者销售</w:t>
            </w:r>
            <w:r>
              <w:rPr>
                <w:rFonts w:hint="eastAsia" w:ascii="楷体" w:hAnsi="楷体" w:eastAsia="楷体" w:cs="宋体"/>
                <w:spacing w:val="-2"/>
                <w:sz w:val="21"/>
                <w:szCs w:val="21"/>
              </w:rPr>
              <w:t>（销售机构江苏银行仅限私行客户购买</w:t>
            </w:r>
            <w:r>
              <w:rPr>
                <w:rFonts w:hint="eastAsia" w:ascii="楷体" w:hAnsi="楷体" w:eastAsia="楷体" w:cs="宋体"/>
                <w:spacing w:val="-2"/>
                <w:sz w:val="21"/>
                <w:szCs w:val="21"/>
                <w:lang w:val="en-US" w:eastAsia="zh-CN"/>
              </w:rPr>
              <w:t>，具体以销售机构设置为准</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rPr>
              <w:t>江苏银行私行客户指在江苏银行日均资产大于等于600万元的个人客户）</w:t>
            </w:r>
          </w:p>
        </w:tc>
        <w:tc>
          <w:tcPr>
            <w:tcW w:w="3027"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p>
        </w:tc>
      </w:tr>
    </w:tbl>
    <w:p>
      <w:pPr>
        <w:pStyle w:val="2"/>
        <w:numPr>
          <w:ilvl w:val="0"/>
          <w:numId w:val="1"/>
        </w:numPr>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苏银理财恒源季开放11号D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J02806</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苏银理财恒源季开放11号E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J02807</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21"/>
                <w:szCs w:val="21"/>
                <w:highlight w:val="none"/>
              </w:rPr>
              <w:t>认购起点</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0万元，追加金额为1万元的整数倍</w:t>
            </w:r>
            <w:r>
              <w:rPr>
                <w:rFonts w:hint="eastAsia" w:ascii="楷体" w:hAnsi="楷体" w:eastAsia="楷体" w:cs="宋体"/>
                <w:spacing w:val="-2"/>
                <w:sz w:val="21"/>
                <w:szCs w:val="21"/>
                <w:highlight w:val="none"/>
                <w:lang w:eastAsia="zh-CN"/>
              </w:rPr>
              <w:t>。</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21"/>
                <w:szCs w:val="21"/>
                <w:highlight w:val="none"/>
              </w:rPr>
              <w:t>认购起点</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0万元，追加金额为1万元的整数倍</w:t>
            </w:r>
            <w:r>
              <w:rPr>
                <w:rFonts w:hint="eastAsia" w:ascii="楷体" w:hAnsi="楷体" w:eastAsia="楷体" w:cs="宋体"/>
                <w:spacing w:val="-2"/>
                <w:sz w:val="21"/>
                <w:szCs w:val="21"/>
                <w:highlight w:val="none"/>
                <w:lang w:eastAsia="zh-CN"/>
              </w:rPr>
              <w:t>。</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苏银理财恒源季开放11号W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J02811</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0.90%/年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苏银理财恒源季开放11号W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J02811</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default" w:ascii="楷体" w:hAnsi="楷体" w:eastAsia="楷体" w:cs="Times New Roman"/>
          <w:sz w:val="28"/>
          <w:szCs w:val="28"/>
          <w:lang w:val="en-US" w:eastAsia="zh-CN"/>
        </w:rPr>
      </w:pPr>
      <w:bookmarkStart w:id="0" w:name="_GoBack"/>
      <w:bookmarkEnd w:id="0"/>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22</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E01A46"/>
    <w:rsid w:val="28183520"/>
    <w:rsid w:val="286E0463"/>
    <w:rsid w:val="290918A1"/>
    <w:rsid w:val="2A3744FF"/>
    <w:rsid w:val="2BC035CC"/>
    <w:rsid w:val="2EB879E5"/>
    <w:rsid w:val="2FD10999"/>
    <w:rsid w:val="31996E41"/>
    <w:rsid w:val="33346C59"/>
    <w:rsid w:val="34622BDD"/>
    <w:rsid w:val="34CF2843"/>
    <w:rsid w:val="34D26D17"/>
    <w:rsid w:val="35C75C95"/>
    <w:rsid w:val="39AE79B4"/>
    <w:rsid w:val="3ABF7DB8"/>
    <w:rsid w:val="3AFF4350"/>
    <w:rsid w:val="3E5206FE"/>
    <w:rsid w:val="45EB52C6"/>
    <w:rsid w:val="46185D1F"/>
    <w:rsid w:val="482B6C56"/>
    <w:rsid w:val="49AE47A5"/>
    <w:rsid w:val="4ACF7A75"/>
    <w:rsid w:val="4B43165C"/>
    <w:rsid w:val="4C675C96"/>
    <w:rsid w:val="4DE250C0"/>
    <w:rsid w:val="4F40507F"/>
    <w:rsid w:val="4F9C5574"/>
    <w:rsid w:val="4FF91545"/>
    <w:rsid w:val="52020F9B"/>
    <w:rsid w:val="527D382B"/>
    <w:rsid w:val="53E1377B"/>
    <w:rsid w:val="550E6F94"/>
    <w:rsid w:val="55170CA3"/>
    <w:rsid w:val="554B526C"/>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0</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2025-09-16T08:51:12Z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438960165A5449189983A368CB8C1048</vt:lpwstr>
  </property>
</Properties>
</file>