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w:t>
      </w:r>
      <w:r>
        <w:rPr>
          <w:rStyle w:val="27"/>
          <w:rFonts w:hint="eastAsia" w:ascii="黑体" w:hAnsi="黑体" w:eastAsia="黑体"/>
          <w:sz w:val="44"/>
          <w:szCs w:val="44"/>
          <w:lang w:eastAsia="zh-CN"/>
        </w:rPr>
        <w:t>稳利安盈封闭式</w:t>
      </w:r>
      <w:r>
        <w:rPr>
          <w:rStyle w:val="27"/>
          <w:rFonts w:hint="eastAsia" w:ascii="黑体" w:hAnsi="黑体" w:eastAsia="黑体"/>
          <w:sz w:val="44"/>
          <w:szCs w:val="44"/>
        </w:rPr>
        <w:t>】</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9</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【兴银理财稳利安盈封闭式2025年493期固收类理财产品】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【稳利安盈封闭式2025年493期B】</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B</w:t>
            </w:r>
            <w:r>
              <w:rPr>
                <w:rFonts w:hint="eastAsia" w:hAnsi="宋体"/>
                <w:sz w:val="18"/>
                <w:szCs w:val="18"/>
                <w:lang w:eastAsia="zh-CN"/>
              </w:rPr>
              <w:t>】类份额</w:t>
            </w:r>
            <w:r>
              <w:rPr>
                <w:rFonts w:hint="eastAsia" w:hAnsi="宋体"/>
                <w:sz w:val="18"/>
                <w:szCs w:val="18"/>
              </w:rPr>
              <w:t>）</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【稳利安盈封闭式2025年493期C】</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C</w:t>
            </w:r>
            <w:r>
              <w:rPr>
                <w:rFonts w:hint="eastAsia" w:hAnsi="宋体"/>
                <w:sz w:val="18"/>
                <w:szCs w:val="18"/>
                <w:lang w:eastAsia="zh-CN"/>
              </w:rPr>
              <w:t>】类份额</w:t>
            </w:r>
            <w:r>
              <w:rPr>
                <w:rFonts w:hint="eastAsia" w:hAnsi="宋体"/>
                <w:sz w:val="18"/>
                <w:szCs w:val="18"/>
              </w:rPr>
              <w:t>）</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【稳利安盈封闭式2025年493期D】</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D</w:t>
            </w:r>
            <w:r>
              <w:rPr>
                <w:rFonts w:hint="eastAsia" w:hAnsi="宋体"/>
                <w:sz w:val="18"/>
                <w:szCs w:val="18"/>
                <w:lang w:eastAsia="zh-CN"/>
              </w:rPr>
              <w:t>】类份额</w:t>
            </w:r>
            <w:r>
              <w:rPr>
                <w:rFonts w:hint="eastAsia" w:hAnsi="宋体"/>
                <w:sz w:val="18"/>
                <w:szCs w:val="18"/>
              </w:rPr>
              <w:t>）</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【稳利安盈封闭式2025年493期E】</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E</w:t>
            </w:r>
            <w:r>
              <w:rPr>
                <w:rFonts w:hint="eastAsia" w:hAnsi="宋体"/>
                <w:sz w:val="18"/>
                <w:szCs w:val="18"/>
                <w:lang w:eastAsia="zh-CN"/>
              </w:rPr>
              <w:t>】类份额</w:t>
            </w:r>
            <w:r>
              <w:rPr>
                <w:rFonts w:hint="eastAsia"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【Z7002025001359】</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9A254930】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w:t>
            </w:r>
            <w:r>
              <w:rPr>
                <w:rFonts w:hint="eastAsia" w:ascii="宋体" w:hAnsi="宋体"/>
                <w:bCs/>
                <w:sz w:val="18"/>
                <w:szCs w:val="18"/>
              </w:rPr>
              <w:t>9A25493B</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B</w:t>
            </w:r>
            <w:r>
              <w:rPr>
                <w:rFonts w:hint="eastAsia" w:hAnsi="宋体"/>
                <w:sz w:val="18"/>
                <w:szCs w:val="18"/>
                <w:lang w:eastAsia="zh-CN"/>
              </w:rPr>
              <w:t>】类份额</w:t>
            </w:r>
            <w:r>
              <w:rPr>
                <w:rFonts w:hint="eastAsia" w:hAnsi="宋体"/>
                <w:sz w:val="18"/>
                <w:szCs w:val="18"/>
              </w:rPr>
              <w:t>）</w:t>
            </w:r>
          </w:p>
          <w:p>
            <w:pPr>
              <w:spacing w:line="360" w:lineRule="auto"/>
              <w:jc w:val="left"/>
              <w:rPr>
                <w:rFonts w:hint="eastAsia" w:hAnsi="宋体"/>
                <w:sz w:val="18"/>
                <w:szCs w:val="18"/>
              </w:rPr>
            </w:pPr>
            <w:r>
              <w:rPr>
                <w:rFonts w:hint="eastAsia" w:hAnsi="宋体"/>
                <w:sz w:val="18"/>
                <w:szCs w:val="18"/>
              </w:rPr>
              <w:t>【</w:t>
            </w:r>
            <w:r>
              <w:rPr>
                <w:rFonts w:hint="eastAsia" w:ascii="宋体" w:hAnsi="宋体"/>
                <w:bCs/>
                <w:sz w:val="18"/>
                <w:szCs w:val="18"/>
              </w:rPr>
              <w:t>9A25493C</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C</w:t>
            </w:r>
            <w:r>
              <w:rPr>
                <w:rFonts w:hint="eastAsia" w:hAnsi="宋体"/>
                <w:sz w:val="18"/>
                <w:szCs w:val="18"/>
                <w:lang w:eastAsia="zh-CN"/>
              </w:rPr>
              <w:t>】类份额</w:t>
            </w:r>
            <w:r>
              <w:rPr>
                <w:rFonts w:hint="eastAsia" w:hAnsi="宋体"/>
                <w:sz w:val="18"/>
                <w:szCs w:val="18"/>
              </w:rPr>
              <w:t>）</w:t>
            </w:r>
          </w:p>
          <w:p>
            <w:pPr>
              <w:spacing w:line="360" w:lineRule="auto"/>
              <w:jc w:val="left"/>
              <w:rPr>
                <w:rFonts w:hint="eastAsia" w:hAnsi="宋体"/>
                <w:sz w:val="18"/>
                <w:szCs w:val="18"/>
              </w:rPr>
            </w:pPr>
            <w:r>
              <w:rPr>
                <w:rFonts w:hint="eastAsia" w:hAnsi="宋体"/>
                <w:sz w:val="18"/>
                <w:szCs w:val="18"/>
              </w:rPr>
              <w:t>【</w:t>
            </w:r>
            <w:r>
              <w:rPr>
                <w:rFonts w:hint="eastAsia" w:ascii="宋体" w:hAnsi="宋体"/>
                <w:bCs/>
                <w:sz w:val="18"/>
                <w:szCs w:val="18"/>
              </w:rPr>
              <w:t>9A25493D</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D</w:t>
            </w:r>
            <w:r>
              <w:rPr>
                <w:rFonts w:hint="eastAsia" w:hAnsi="宋体"/>
                <w:sz w:val="18"/>
                <w:szCs w:val="18"/>
                <w:lang w:eastAsia="zh-CN"/>
              </w:rPr>
              <w:t>】类份额</w:t>
            </w:r>
            <w:r>
              <w:rPr>
                <w:rFonts w:hint="eastAsia" w:hAnsi="宋体"/>
                <w:sz w:val="18"/>
                <w:szCs w:val="18"/>
              </w:rPr>
              <w:t>）</w:t>
            </w:r>
          </w:p>
          <w:p>
            <w:pPr>
              <w:spacing w:line="360" w:lineRule="auto"/>
              <w:jc w:val="left"/>
              <w:rPr>
                <w:rFonts w:hint="eastAsia" w:hAnsi="宋体"/>
                <w:sz w:val="18"/>
                <w:szCs w:val="18"/>
              </w:rPr>
            </w:pPr>
            <w:r>
              <w:rPr>
                <w:rFonts w:hint="eastAsia" w:hAnsi="宋体"/>
                <w:sz w:val="18"/>
                <w:szCs w:val="18"/>
              </w:rPr>
              <w:t>【</w:t>
            </w:r>
            <w:r>
              <w:rPr>
                <w:rFonts w:hint="eastAsia" w:ascii="宋体" w:hAnsi="宋体"/>
                <w:bCs/>
                <w:sz w:val="18"/>
                <w:szCs w:val="18"/>
              </w:rPr>
              <w:t>9A25493E</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E</w:t>
            </w:r>
            <w:r>
              <w:rPr>
                <w:rFonts w:hint="eastAsia" w:hAnsi="宋体"/>
                <w:sz w:val="18"/>
                <w:szCs w:val="18"/>
                <w:lang w:eastAsia="zh-CN"/>
              </w:rPr>
              <w:t>】类份额</w:t>
            </w:r>
            <w:r>
              <w:rPr>
                <w:rFonts w:hint="eastAsia"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B/C/D/E</w:t>
            </w:r>
            <w:r>
              <w:rPr>
                <w:rFonts w:hint="eastAsia" w:hAnsi="宋体"/>
                <w:sz w:val="18"/>
                <w:szCs w:val="18"/>
                <w:lang w:eastAsia="zh-CN"/>
              </w:rPr>
              <w:t>】类份额</w:t>
            </w:r>
            <w:r>
              <w:rPr>
                <w:rFonts w:hint="eastAsia" w:hAnsi="宋体"/>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10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121天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25</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13</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14</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D</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E</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w:t>
            </w:r>
            <w:r>
              <w:rPr>
                <w:rFonts w:hint="eastAsia" w:hAnsi="宋体"/>
                <w:bCs/>
                <w:sz w:val="18"/>
                <w:szCs w:val="18"/>
                <w:lang w:eastAsia="zh-CN"/>
              </w:rPr>
              <w:t>适用【</w:t>
            </w:r>
            <w:r>
              <w:rPr>
                <w:rFonts w:hint="eastAsia" w:hAnsi="宋体"/>
                <w:bCs/>
                <w:sz w:val="18"/>
                <w:szCs w:val="18"/>
                <w:lang w:val="en-US" w:eastAsia="zh-CN"/>
              </w:rPr>
              <w:t>/</w:t>
            </w:r>
            <w:r>
              <w:rPr>
                <w:rFonts w:hint="eastAsia" w:hAnsi="宋体"/>
                <w:bCs/>
                <w:sz w:val="18"/>
                <w:szCs w:val="18"/>
                <w:lang w:eastAsia="zh-CN"/>
              </w:rPr>
              <w:t>】类份额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【产品投资债权类资产不低于80%，根据当前市场环境下大类资产合理配置比例及大类资产收益情况，考虑杠杆和费率等因素，并结合产品投资策略，设定业绩比较基准。</w:t>
            </w:r>
            <w:r>
              <w:rPr>
                <w:rFonts w:ascii="宋体" w:hAnsi="宋体"/>
                <w:bCs/>
                <w:sz w:val="18"/>
                <w:szCs w:val="18"/>
              </w:rPr>
              <w:t>】</w:t>
            </w:r>
          </w:p>
          <w:p>
            <w:pPr>
              <w:autoSpaceDE w:val="0"/>
              <w:autoSpaceDN w:val="0"/>
              <w:adjustRightInd w:val="0"/>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autoSpaceDE w:val="0"/>
              <w:autoSpaceDN w:val="0"/>
              <w:adjustRightInd w:val="0"/>
              <w:spacing w:line="360" w:lineRule="auto"/>
              <w:jc w:val="left"/>
              <w:rPr>
                <w:rFonts w:hint="eastAsia" w:hAnsi="宋体"/>
                <w:sz w:val="18"/>
                <w:szCs w:val="18"/>
              </w:rPr>
            </w:pPr>
            <w:r>
              <w:rPr>
                <w:rFonts w:hint="eastAsia" w:asciiTheme="majorEastAsia" w:hAnsiTheme="majorEastAsia"/>
                <w:sz w:val="18"/>
                <w:lang w:val="en-US" w:eastAsia="zh-CN"/>
              </w:rPr>
              <w:t>年化</w:t>
            </w:r>
            <w:r>
              <w:rPr>
                <w:rFonts w:hint="eastAsia" w:ascii="宋体" w:hAnsi="宋体"/>
                <w:bCs/>
                <w:sz w:val="18"/>
                <w:szCs w:val="18"/>
              </w:rPr>
              <w:t>【</w:t>
            </w:r>
            <w:r>
              <w:rPr>
                <w:rFonts w:hint="eastAsia" w:ascii="宋体" w:hAnsi="宋体"/>
                <w:bCs/>
                <w:sz w:val="18"/>
                <w:szCs w:val="18"/>
                <w:lang w:val="en-US" w:eastAsia="zh-CN"/>
              </w:rPr>
              <w:t>2.03%-2.23%</w:t>
            </w:r>
            <w:r>
              <w:rPr>
                <w:rFonts w:ascii="宋体" w:hAnsi="宋体"/>
                <w:bCs/>
                <w:sz w:val="18"/>
                <w:szCs w:val="18"/>
              </w:rPr>
              <w:t>】</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B</w:t>
            </w:r>
            <w:r>
              <w:rPr>
                <w:rFonts w:hint="eastAsia" w:hAnsi="宋体"/>
                <w:sz w:val="18"/>
                <w:szCs w:val="18"/>
                <w:lang w:eastAsia="zh-CN"/>
              </w:rPr>
              <w:t>】类份额</w:t>
            </w:r>
            <w:r>
              <w:rPr>
                <w:rFonts w:hint="eastAsia" w:hAnsi="宋体"/>
                <w:sz w:val="18"/>
                <w:szCs w:val="18"/>
              </w:rPr>
              <w:t>）</w:t>
            </w:r>
          </w:p>
          <w:p>
            <w:pPr>
              <w:autoSpaceDE w:val="0"/>
              <w:autoSpaceDN w:val="0"/>
              <w:adjustRightInd w:val="0"/>
              <w:spacing w:line="360" w:lineRule="auto"/>
              <w:jc w:val="left"/>
              <w:rPr>
                <w:rFonts w:hint="eastAsia" w:hAnsi="宋体"/>
                <w:sz w:val="18"/>
                <w:szCs w:val="18"/>
              </w:rPr>
            </w:pPr>
            <w:r>
              <w:rPr>
                <w:rFonts w:hint="eastAsia" w:asciiTheme="majorEastAsia" w:hAnsiTheme="majorEastAsia"/>
                <w:sz w:val="18"/>
                <w:lang w:val="en-US" w:eastAsia="zh-CN"/>
              </w:rPr>
              <w:t>年化</w:t>
            </w:r>
            <w:r>
              <w:rPr>
                <w:rFonts w:hint="eastAsia" w:ascii="宋体" w:hAnsi="宋体"/>
                <w:bCs/>
                <w:sz w:val="18"/>
                <w:szCs w:val="18"/>
              </w:rPr>
              <w:t>【</w:t>
            </w:r>
            <w:r>
              <w:rPr>
                <w:rFonts w:hint="eastAsia" w:ascii="宋体" w:hAnsi="宋体"/>
                <w:bCs/>
                <w:sz w:val="18"/>
                <w:szCs w:val="18"/>
                <w:lang w:val="en-US" w:eastAsia="zh-CN"/>
              </w:rPr>
              <w:t>1.93%-2.13%</w:t>
            </w:r>
            <w:r>
              <w:rPr>
                <w:rFonts w:ascii="宋体" w:hAnsi="宋体"/>
                <w:bCs/>
                <w:sz w:val="18"/>
                <w:szCs w:val="18"/>
              </w:rPr>
              <w:t>】</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C</w:t>
            </w:r>
            <w:r>
              <w:rPr>
                <w:rFonts w:hint="eastAsia" w:hAnsi="宋体"/>
                <w:sz w:val="18"/>
                <w:szCs w:val="18"/>
                <w:lang w:eastAsia="zh-CN"/>
              </w:rPr>
              <w:t>】类份额</w:t>
            </w:r>
            <w:r>
              <w:rPr>
                <w:rFonts w:hint="eastAsia" w:hAnsi="宋体"/>
                <w:sz w:val="18"/>
                <w:szCs w:val="18"/>
              </w:rPr>
              <w:t>）</w:t>
            </w:r>
          </w:p>
          <w:p>
            <w:pPr>
              <w:autoSpaceDE w:val="0"/>
              <w:autoSpaceDN w:val="0"/>
              <w:adjustRightInd w:val="0"/>
              <w:spacing w:line="360" w:lineRule="auto"/>
              <w:jc w:val="left"/>
              <w:rPr>
                <w:rFonts w:hint="eastAsia" w:hAnsi="宋体"/>
                <w:sz w:val="18"/>
                <w:szCs w:val="18"/>
              </w:rPr>
            </w:pPr>
            <w:r>
              <w:rPr>
                <w:rFonts w:hint="eastAsia" w:asciiTheme="majorEastAsia" w:hAnsiTheme="majorEastAsia"/>
                <w:sz w:val="18"/>
                <w:lang w:val="en-US" w:eastAsia="zh-CN"/>
              </w:rPr>
              <w:t>年化</w:t>
            </w:r>
            <w:r>
              <w:rPr>
                <w:rFonts w:hint="eastAsia" w:ascii="宋体" w:hAnsi="宋体"/>
                <w:bCs/>
                <w:sz w:val="18"/>
                <w:szCs w:val="18"/>
              </w:rPr>
              <w:t>【</w:t>
            </w:r>
            <w:r>
              <w:rPr>
                <w:rFonts w:hint="eastAsia" w:ascii="宋体" w:hAnsi="宋体"/>
                <w:bCs/>
                <w:sz w:val="18"/>
                <w:szCs w:val="18"/>
                <w:lang w:val="en-US" w:eastAsia="zh-CN"/>
              </w:rPr>
              <w:t>1.88%-2.08%</w:t>
            </w:r>
            <w:r>
              <w:rPr>
                <w:rFonts w:ascii="宋体" w:hAnsi="宋体"/>
                <w:bCs/>
                <w:sz w:val="18"/>
                <w:szCs w:val="18"/>
              </w:rPr>
              <w:t>】</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D</w:t>
            </w:r>
            <w:r>
              <w:rPr>
                <w:rFonts w:hint="eastAsia" w:hAnsi="宋体"/>
                <w:sz w:val="18"/>
                <w:szCs w:val="18"/>
                <w:lang w:eastAsia="zh-CN"/>
              </w:rPr>
              <w:t>】类份额</w:t>
            </w:r>
            <w:r>
              <w:rPr>
                <w:rFonts w:hint="eastAsia" w:hAnsi="宋体"/>
                <w:sz w:val="18"/>
                <w:szCs w:val="18"/>
              </w:rPr>
              <w:t>）</w:t>
            </w:r>
          </w:p>
          <w:p>
            <w:pPr>
              <w:autoSpaceDE w:val="0"/>
              <w:autoSpaceDN w:val="0"/>
              <w:adjustRightInd w:val="0"/>
              <w:spacing w:line="360" w:lineRule="auto"/>
              <w:jc w:val="left"/>
              <w:rPr>
                <w:rFonts w:hint="eastAsia" w:hAnsi="宋体" w:eastAsia="宋体"/>
                <w:sz w:val="18"/>
                <w:szCs w:val="18"/>
                <w:lang w:val="en-US" w:eastAsia="zh-CN"/>
              </w:rPr>
            </w:pPr>
            <w:r>
              <w:rPr>
                <w:rFonts w:hint="eastAsia" w:asciiTheme="majorEastAsia" w:hAnsiTheme="majorEastAsia"/>
                <w:sz w:val="18"/>
                <w:lang w:val="en-US" w:eastAsia="zh-CN"/>
              </w:rPr>
              <w:t>年化</w:t>
            </w:r>
            <w:r>
              <w:rPr>
                <w:rFonts w:hint="eastAsia" w:ascii="宋体" w:hAnsi="宋体"/>
                <w:bCs/>
                <w:sz w:val="18"/>
                <w:szCs w:val="18"/>
              </w:rPr>
              <w:t>【</w:t>
            </w:r>
            <w:r>
              <w:rPr>
                <w:rFonts w:hint="eastAsia" w:ascii="宋体" w:hAnsi="宋体"/>
                <w:bCs/>
                <w:sz w:val="18"/>
                <w:szCs w:val="18"/>
                <w:lang w:val="en-US" w:eastAsia="zh-CN"/>
              </w:rPr>
              <w:t>1.83%-2.03%</w:t>
            </w:r>
            <w:r>
              <w:rPr>
                <w:rFonts w:ascii="宋体" w:hAnsi="宋体"/>
                <w:bCs/>
                <w:sz w:val="18"/>
                <w:szCs w:val="18"/>
              </w:rPr>
              <w:t>】</w:t>
            </w:r>
            <w:r>
              <w:rPr>
                <w:rFonts w:hint="eastAsia" w:hAnsi="宋体"/>
                <w:sz w:val="18"/>
                <w:szCs w:val="18"/>
              </w:rPr>
              <w:t>（</w:t>
            </w:r>
            <w:r>
              <w:rPr>
                <w:rFonts w:hint="eastAsia" w:hAnsi="宋体"/>
                <w:sz w:val="18"/>
                <w:szCs w:val="18"/>
                <w:lang w:eastAsia="zh-CN"/>
              </w:rPr>
              <w:t>适用【</w:t>
            </w:r>
            <w:r>
              <w:rPr>
                <w:rFonts w:hint="eastAsia" w:hAnsi="宋体"/>
                <w:sz w:val="18"/>
                <w:szCs w:val="18"/>
                <w:lang w:val="en-US" w:eastAsia="zh-CN"/>
              </w:rPr>
              <w:t>E</w:t>
            </w:r>
            <w:r>
              <w:rPr>
                <w:rFonts w:hint="eastAsia" w:hAnsi="宋体"/>
                <w:sz w:val="18"/>
                <w:szCs w:val="18"/>
                <w:lang w:eastAsia="zh-CN"/>
              </w:rPr>
              <w:t>】类份额</w:t>
            </w:r>
            <w:r>
              <w:rPr>
                <w:rFonts w:hint="eastAsia" w:hAnsi="宋体"/>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hint="eastAsia"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spacing w:line="360" w:lineRule="auto"/>
              <w:jc w:val="left"/>
              <w:rPr>
                <w:rFonts w:hint="eastAsia" w:hAnsi="宋体"/>
                <w:bCs/>
                <w:sz w:val="18"/>
                <w:szCs w:val="18"/>
              </w:rPr>
            </w:pPr>
            <w:r>
              <w:rPr>
                <w:rFonts w:hint="eastAsia" w:ascii="宋体" w:hAnsi="宋体"/>
                <w:bCs/>
                <w:sz w:val="18"/>
                <w:szCs w:val="18"/>
                <w:lang w:val="en-US" w:eastAsia="zh-CN"/>
              </w:rPr>
              <w:t>年化</w:t>
            </w:r>
            <w:r>
              <w:rPr>
                <w:rFonts w:hint="eastAsia" w:ascii="宋体" w:hAnsi="宋体"/>
                <w:bCs/>
                <w:sz w:val="18"/>
                <w:szCs w:val="18"/>
              </w:rPr>
              <w:t>【2.</w:t>
            </w:r>
            <w:r>
              <w:rPr>
                <w:rFonts w:hint="eastAsia" w:ascii="宋体" w:hAnsi="宋体"/>
                <w:bCs/>
                <w:sz w:val="18"/>
                <w:szCs w:val="18"/>
                <w:lang w:val="en-US" w:eastAsia="zh-CN"/>
              </w:rPr>
              <w:t>13%</w:t>
            </w:r>
            <w:r>
              <w:rPr>
                <w:rFonts w:hint="eastAsia" w:ascii="宋体" w:hAnsi="宋体"/>
                <w:bCs/>
                <w:sz w:val="18"/>
                <w:szCs w:val="18"/>
              </w:rPr>
              <w:t>】</w:t>
            </w:r>
            <w:r>
              <w:rPr>
                <w:rFonts w:hint="eastAsia" w:hAnsi="宋体"/>
                <w:bCs/>
                <w:sz w:val="18"/>
                <w:szCs w:val="18"/>
              </w:rPr>
              <w:t>（</w:t>
            </w:r>
            <w:r>
              <w:rPr>
                <w:rFonts w:hint="eastAsia" w:hAnsi="宋体"/>
                <w:bCs/>
                <w:sz w:val="18"/>
                <w:szCs w:val="18"/>
                <w:lang w:eastAsia="zh-CN"/>
              </w:rPr>
              <w:t>适用【</w:t>
            </w:r>
            <w:r>
              <w:rPr>
                <w:rFonts w:hint="eastAsia" w:hAnsi="宋体"/>
                <w:bCs/>
                <w:sz w:val="18"/>
                <w:szCs w:val="18"/>
                <w:lang w:val="en-US" w:eastAsia="zh-CN"/>
              </w:rPr>
              <w:t>B</w:t>
            </w:r>
            <w:r>
              <w:rPr>
                <w:rFonts w:hint="eastAsia" w:hAnsi="宋体"/>
                <w:bCs/>
                <w:sz w:val="18"/>
                <w:szCs w:val="18"/>
                <w:lang w:eastAsia="zh-CN"/>
              </w:rPr>
              <w:t>】类份额</w:t>
            </w:r>
            <w:r>
              <w:rPr>
                <w:rFonts w:hint="eastAsia" w:hAnsi="宋体"/>
                <w:bCs/>
                <w:sz w:val="18"/>
                <w:szCs w:val="18"/>
              </w:rPr>
              <w:t>）</w:t>
            </w:r>
          </w:p>
          <w:p>
            <w:pPr>
              <w:spacing w:line="360" w:lineRule="auto"/>
              <w:jc w:val="left"/>
              <w:rPr>
                <w:rFonts w:hint="eastAsia" w:hAnsi="宋体"/>
                <w:bCs/>
                <w:sz w:val="18"/>
                <w:szCs w:val="18"/>
              </w:rPr>
            </w:pPr>
            <w:r>
              <w:rPr>
                <w:rFonts w:hint="eastAsia" w:ascii="宋体" w:hAnsi="宋体"/>
                <w:bCs/>
                <w:sz w:val="18"/>
                <w:szCs w:val="18"/>
                <w:lang w:val="en-US" w:eastAsia="zh-CN"/>
              </w:rPr>
              <w:t>年化</w:t>
            </w:r>
            <w:r>
              <w:rPr>
                <w:rFonts w:hint="eastAsia" w:ascii="宋体" w:hAnsi="宋体"/>
                <w:bCs/>
                <w:sz w:val="18"/>
                <w:szCs w:val="18"/>
              </w:rPr>
              <w:t>【2.</w:t>
            </w:r>
            <w:r>
              <w:rPr>
                <w:rFonts w:hint="eastAsia" w:ascii="宋体" w:hAnsi="宋体"/>
                <w:bCs/>
                <w:sz w:val="18"/>
                <w:szCs w:val="18"/>
                <w:lang w:val="en-US" w:eastAsia="zh-CN"/>
              </w:rPr>
              <w:t>03%</w:t>
            </w:r>
            <w:r>
              <w:rPr>
                <w:rFonts w:hint="eastAsia" w:ascii="宋体" w:hAnsi="宋体"/>
                <w:bCs/>
                <w:sz w:val="18"/>
                <w:szCs w:val="18"/>
              </w:rPr>
              <w:t>】</w:t>
            </w:r>
            <w:r>
              <w:rPr>
                <w:rFonts w:hint="eastAsia" w:hAnsi="宋体"/>
                <w:bCs/>
                <w:sz w:val="18"/>
                <w:szCs w:val="18"/>
              </w:rPr>
              <w:t>（</w:t>
            </w:r>
            <w:r>
              <w:rPr>
                <w:rFonts w:hint="eastAsia" w:hAnsi="宋体"/>
                <w:bCs/>
                <w:sz w:val="18"/>
                <w:szCs w:val="18"/>
                <w:lang w:eastAsia="zh-CN"/>
              </w:rPr>
              <w:t>适用【</w:t>
            </w:r>
            <w:r>
              <w:rPr>
                <w:rFonts w:hint="eastAsia" w:hAnsi="宋体"/>
                <w:bCs/>
                <w:sz w:val="18"/>
                <w:szCs w:val="18"/>
                <w:lang w:val="en-US" w:eastAsia="zh-CN"/>
              </w:rPr>
              <w:t>C</w:t>
            </w:r>
            <w:r>
              <w:rPr>
                <w:rFonts w:hint="eastAsia" w:hAnsi="宋体"/>
                <w:bCs/>
                <w:sz w:val="18"/>
                <w:szCs w:val="18"/>
                <w:lang w:eastAsia="zh-CN"/>
              </w:rPr>
              <w:t>】类份额</w:t>
            </w:r>
            <w:r>
              <w:rPr>
                <w:rFonts w:hint="eastAsia" w:hAnsi="宋体"/>
                <w:bCs/>
                <w:sz w:val="18"/>
                <w:szCs w:val="18"/>
              </w:rPr>
              <w:t>）</w:t>
            </w:r>
          </w:p>
          <w:p>
            <w:pPr>
              <w:spacing w:line="360" w:lineRule="auto"/>
              <w:jc w:val="left"/>
              <w:rPr>
                <w:rFonts w:hint="eastAsia" w:hAnsi="宋体"/>
                <w:bCs/>
                <w:sz w:val="18"/>
                <w:szCs w:val="18"/>
              </w:rPr>
            </w:pPr>
            <w:r>
              <w:rPr>
                <w:rFonts w:hint="eastAsia" w:ascii="宋体" w:hAnsi="宋体"/>
                <w:bCs/>
                <w:sz w:val="18"/>
                <w:szCs w:val="18"/>
                <w:lang w:val="en-US" w:eastAsia="zh-CN"/>
              </w:rPr>
              <w:t>年化</w:t>
            </w:r>
            <w:r>
              <w:rPr>
                <w:rFonts w:hint="eastAsia" w:ascii="宋体" w:hAnsi="宋体"/>
                <w:bCs/>
                <w:sz w:val="18"/>
                <w:szCs w:val="18"/>
              </w:rPr>
              <w:t>【</w:t>
            </w:r>
            <w:r>
              <w:rPr>
                <w:rFonts w:hint="eastAsia" w:ascii="宋体" w:hAnsi="宋体"/>
                <w:bCs/>
                <w:sz w:val="18"/>
                <w:szCs w:val="18"/>
                <w:lang w:val="en-US" w:eastAsia="zh-CN"/>
              </w:rPr>
              <w:t>1.98%</w:t>
            </w:r>
            <w:r>
              <w:rPr>
                <w:rFonts w:hint="eastAsia" w:ascii="宋体" w:hAnsi="宋体"/>
                <w:bCs/>
                <w:sz w:val="18"/>
                <w:szCs w:val="18"/>
              </w:rPr>
              <w:t>】</w:t>
            </w:r>
            <w:r>
              <w:rPr>
                <w:rFonts w:hint="eastAsia" w:hAnsi="宋体"/>
                <w:bCs/>
                <w:sz w:val="18"/>
                <w:szCs w:val="18"/>
              </w:rPr>
              <w:t>（</w:t>
            </w:r>
            <w:r>
              <w:rPr>
                <w:rFonts w:hint="eastAsia" w:hAnsi="宋体"/>
                <w:bCs/>
                <w:sz w:val="18"/>
                <w:szCs w:val="18"/>
                <w:lang w:eastAsia="zh-CN"/>
              </w:rPr>
              <w:t>适用【</w:t>
            </w:r>
            <w:r>
              <w:rPr>
                <w:rFonts w:hint="eastAsia" w:hAnsi="宋体"/>
                <w:bCs/>
                <w:sz w:val="18"/>
                <w:szCs w:val="18"/>
                <w:lang w:val="en-US" w:eastAsia="zh-CN"/>
              </w:rPr>
              <w:t>D</w:t>
            </w:r>
            <w:r>
              <w:rPr>
                <w:rFonts w:hint="eastAsia" w:hAnsi="宋体"/>
                <w:bCs/>
                <w:sz w:val="18"/>
                <w:szCs w:val="18"/>
                <w:lang w:eastAsia="zh-CN"/>
              </w:rPr>
              <w:t>】类份额</w:t>
            </w:r>
            <w:r>
              <w:rPr>
                <w:rFonts w:hint="eastAsia" w:hAnsi="宋体"/>
                <w:bCs/>
                <w:sz w:val="18"/>
                <w:szCs w:val="18"/>
              </w:rPr>
              <w:t>）</w:t>
            </w:r>
          </w:p>
          <w:p>
            <w:pPr>
              <w:spacing w:line="360" w:lineRule="auto"/>
              <w:jc w:val="left"/>
              <w:rPr>
                <w:rFonts w:hint="eastAsia" w:hAnsi="宋体"/>
                <w:bCs/>
                <w:sz w:val="18"/>
                <w:szCs w:val="18"/>
              </w:rPr>
            </w:pPr>
            <w:r>
              <w:rPr>
                <w:rFonts w:hint="eastAsia" w:ascii="宋体" w:hAnsi="宋体"/>
                <w:bCs/>
                <w:sz w:val="18"/>
                <w:szCs w:val="18"/>
                <w:lang w:val="en-US" w:eastAsia="zh-CN"/>
              </w:rPr>
              <w:t>年化</w:t>
            </w:r>
            <w:r>
              <w:rPr>
                <w:rFonts w:hint="eastAsia" w:ascii="宋体" w:hAnsi="宋体"/>
                <w:bCs/>
                <w:sz w:val="18"/>
                <w:szCs w:val="18"/>
              </w:rPr>
              <w:t>【</w:t>
            </w:r>
            <w:r>
              <w:rPr>
                <w:rFonts w:hint="eastAsia" w:ascii="宋体" w:hAnsi="宋体"/>
                <w:bCs/>
                <w:sz w:val="18"/>
                <w:szCs w:val="18"/>
                <w:lang w:val="en-US" w:eastAsia="zh-CN"/>
              </w:rPr>
              <w:t>1</w:t>
            </w:r>
            <w:r>
              <w:rPr>
                <w:rFonts w:hint="eastAsia" w:ascii="宋体" w:hAnsi="宋体"/>
                <w:bCs/>
                <w:sz w:val="18"/>
                <w:szCs w:val="18"/>
              </w:rPr>
              <w:t>.</w:t>
            </w:r>
            <w:r>
              <w:rPr>
                <w:rFonts w:hint="eastAsia" w:ascii="宋体" w:hAnsi="宋体"/>
                <w:bCs/>
                <w:sz w:val="18"/>
                <w:szCs w:val="18"/>
                <w:lang w:val="en-US" w:eastAsia="zh-CN"/>
              </w:rPr>
              <w:t>93%</w:t>
            </w:r>
            <w:r>
              <w:rPr>
                <w:rFonts w:hint="eastAsia" w:ascii="宋体" w:hAnsi="宋体"/>
                <w:bCs/>
                <w:sz w:val="18"/>
                <w:szCs w:val="18"/>
              </w:rPr>
              <w:t>】</w:t>
            </w:r>
            <w:r>
              <w:rPr>
                <w:rFonts w:hint="eastAsia" w:hAnsi="宋体"/>
                <w:bCs/>
                <w:sz w:val="18"/>
                <w:szCs w:val="18"/>
              </w:rPr>
              <w:t>（</w:t>
            </w:r>
            <w:r>
              <w:rPr>
                <w:rFonts w:hint="eastAsia" w:hAnsi="宋体"/>
                <w:bCs/>
                <w:sz w:val="18"/>
                <w:szCs w:val="18"/>
                <w:lang w:eastAsia="zh-CN"/>
              </w:rPr>
              <w:t>适用【</w:t>
            </w:r>
            <w:r>
              <w:rPr>
                <w:rFonts w:hint="eastAsia" w:hAnsi="宋体"/>
                <w:bCs/>
                <w:sz w:val="18"/>
                <w:szCs w:val="18"/>
                <w:lang w:val="en-US" w:eastAsia="zh-CN"/>
              </w:rPr>
              <w:t>E</w:t>
            </w:r>
            <w:r>
              <w:rPr>
                <w:rFonts w:hint="eastAsia" w:hAnsi="宋体"/>
                <w:bCs/>
                <w:sz w:val="18"/>
                <w:szCs w:val="18"/>
                <w:lang w:eastAsia="zh-CN"/>
              </w:rPr>
              <w:t>】类份额</w:t>
            </w:r>
            <w:r>
              <w:rPr>
                <w:rFonts w:hint="eastAsia"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w:t>
            </w:r>
            <w:bookmarkStart w:id="156" w:name="_GoBack"/>
            <w:bookmarkEnd w:id="156"/>
            <w:r>
              <w:rPr>
                <w:rFonts w:hint="eastAsia" w:ascii="黑体" w:hAnsi="黑体" w:eastAsia="黑体"/>
                <w:sz w:val="18"/>
              </w:rPr>
              <w:t>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0.00%</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0.10%</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0.15%</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D</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0.20%</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E</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0.05%</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宋体" w:hAnsi="宋体"/>
                <w:sz w:val="18"/>
                <w:szCs w:val="18"/>
                <w:lang w:val="en-US" w:eastAsia="zh-CN"/>
              </w:rPr>
              <w:t>50%</w:t>
            </w:r>
            <w:r>
              <w:rPr>
                <w:rFonts w:hint="eastAsia" w:ascii="宋体" w:hAnsi="宋体"/>
                <w:sz w:val="18"/>
                <w:szCs w:val="18"/>
              </w:rPr>
              <w:t>】作为超额业绩报酬。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151"/>
      <w:bookmarkStart w:id="12" w:name="_Toc6714"/>
      <w:bookmarkStart w:id="13" w:name="_Toc29948"/>
      <w:bookmarkStart w:id="14" w:name="_Toc3266"/>
      <w:bookmarkStart w:id="15" w:name="_Toc74065741"/>
      <w:bookmarkStart w:id="16" w:name="_Toc79154668"/>
      <w:bookmarkStart w:id="17" w:name="_Toc15203"/>
      <w:bookmarkStart w:id="18" w:name="_Toc29784"/>
      <w:bookmarkStart w:id="19" w:name="_Toc22074"/>
      <w:bookmarkStart w:id="20" w:name="_Toc90742390"/>
      <w:bookmarkStart w:id="21" w:name="_Toc27226"/>
      <w:bookmarkStart w:id="22" w:name="_Toc16265"/>
      <w:bookmarkStart w:id="23" w:name="_Toc27189"/>
      <w:bookmarkStart w:id="24" w:name="_Toc90742688"/>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、企业债、公司债、非公开定向债务融资工具、项目收益债、项目收益票据、资产支持证券、次级</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（3）符合监管要求的债权类资产；</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（4）国债期货、利率互换、债券借贷、信用风险缓释工具等；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（5）投资于上述资产的资产管理产品，包括资金信托，证券公司、证券公司子公司、基金管理公</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司、基金管理子公司、期货公司、期货公司子公司、保险资产管理机构、金融资产投资公司发行的</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（6）其他风险不高于前述资产的资产。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（3）投资于同业存单及存款类资产的比例不低于产品净资产的50%。</w:t>
      </w:r>
    </w:p>
    <w:p>
      <w:pPr>
        <w:autoSpaceDE w:val="0"/>
        <w:autoSpaceDN w:val="0"/>
        <w:adjustRightInd w:val="0"/>
        <w:spacing w:line="360" w:lineRule="auto"/>
        <w:ind w:firstLine="420" w:firstLineChars="0"/>
        <w:jc w:val="left"/>
        <w:rPr>
          <w:rFonts w:asciiTheme="majorEastAsia" w:hAnsiTheme="majorEastAsia" w:eastAsiaTheme="majorEastAsia"/>
          <w:bCs/>
          <w:kern w:val="0"/>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w:t>
      </w:r>
      <w:r>
        <w:rPr>
          <w:rFonts w:hint="eastAsia" w:asciiTheme="majorEastAsia" w:hAnsiTheme="majorEastAsia" w:eastAsiaTheme="majorEastAsia"/>
          <w:bCs/>
          <w:sz w:val="18"/>
          <w:szCs w:val="18"/>
          <w:lang w:val="en-US" w:eastAsia="zh-CN"/>
        </w:rPr>
        <w:t>6</w:t>
      </w:r>
      <w:r>
        <w:rPr>
          <w:rFonts w:hint="eastAsia" w:asciiTheme="majorEastAsia" w:hAnsiTheme="majorEastAsia" w:eastAsiaTheme="majorEastAsia"/>
          <w:bCs/>
          <w:sz w:val="18"/>
          <w:szCs w:val="18"/>
          <w:lang w:eastAsia="zh-CN"/>
        </w:rPr>
        <w:t>）本产品投资于信用债券、银行存款、非标准化债权类资产融资人的信用评级均不得低于AA+。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Theme="majorEastAsia" w:hAnsiTheme="majorEastAsia" w:eastAsiaTheme="majorEastAsia"/>
          <w:bCs/>
          <w:sz w:val="18"/>
          <w:szCs w:val="18"/>
        </w:rPr>
      </w:pP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41703885"/>
      <w:bookmarkStart w:id="28" w:name="_Toc26986"/>
      <w:bookmarkStart w:id="29" w:name="_Toc21988"/>
      <w:bookmarkStart w:id="30" w:name="_Toc14893"/>
      <w:bookmarkStart w:id="31" w:name="_Toc17912"/>
      <w:bookmarkStart w:id="32" w:name="_Toc79154669"/>
      <w:bookmarkStart w:id="33" w:name="_Toc139991735"/>
      <w:bookmarkStart w:id="34" w:name="_Toc7848"/>
      <w:bookmarkStart w:id="35" w:name="_Toc18797"/>
      <w:bookmarkStart w:id="36" w:name="_Toc74065742"/>
      <w:bookmarkStart w:id="37" w:name="_Toc4741"/>
      <w:bookmarkStart w:id="38" w:name="_Toc18526"/>
      <w:bookmarkStart w:id="39" w:name="_Toc1823"/>
      <w:bookmarkStart w:id="40" w:name="_Toc176189758"/>
      <w:bookmarkStart w:id="41" w:name="_Toc1832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427"/>
      <w:bookmarkStart w:id="44" w:name="_Toc176189759"/>
      <w:bookmarkStart w:id="45" w:name="_Toc48649707"/>
      <w:bookmarkStart w:id="46" w:name="_Toc123051452"/>
      <w:bookmarkStart w:id="47" w:name="_Toc4003"/>
      <w:bookmarkStart w:id="48" w:name="_Toc10463"/>
      <w:bookmarkStart w:id="49" w:name="_Toc139991736"/>
      <w:bookmarkStart w:id="50" w:name="_Toc79392606"/>
      <w:bookmarkStart w:id="51" w:name="_Toc23261"/>
      <w:bookmarkStart w:id="52" w:name="_Toc79154670"/>
      <w:bookmarkStart w:id="53" w:name="_Toc17244"/>
      <w:bookmarkStart w:id="54" w:name="_Toc98560352"/>
      <w:bookmarkStart w:id="55" w:name="_Toc74065743"/>
      <w:bookmarkStart w:id="56" w:name="_Toc23822"/>
      <w:bookmarkStart w:id="57" w:name="_Toc123102453"/>
      <w:bookmarkStart w:id="58" w:name="_Toc141703886"/>
      <w:bookmarkStart w:id="59" w:name="_Toc20733"/>
      <w:bookmarkStart w:id="60" w:name="_Toc7920"/>
      <w:bookmarkStart w:id="61" w:name="_Toc1270"/>
      <w:bookmarkStart w:id="62" w:name="_Toc610"/>
      <w:bookmarkStart w:id="63" w:name="_Toc123112234"/>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123112235"/>
      <w:bookmarkStart w:id="67" w:name="_Toc3601"/>
      <w:bookmarkStart w:id="68" w:name="_Toc6405"/>
      <w:bookmarkStart w:id="69" w:name="_Toc31235"/>
      <w:bookmarkStart w:id="70" w:name="_Toc123051453"/>
      <w:bookmarkStart w:id="71" w:name="_Toc31644"/>
      <w:bookmarkStart w:id="72" w:name="_Toc12245"/>
      <w:bookmarkStart w:id="73" w:name="_Toc141703887"/>
      <w:bookmarkStart w:id="74" w:name="_Toc14835"/>
      <w:bookmarkStart w:id="75" w:name="_Toc31653"/>
      <w:bookmarkStart w:id="76" w:name="_Toc139991737"/>
      <w:bookmarkStart w:id="77" w:name="_Toc98560353"/>
      <w:bookmarkStart w:id="78" w:name="_Toc29251"/>
      <w:bookmarkStart w:id="79" w:name="_Toc74065744"/>
      <w:bookmarkStart w:id="80" w:name="_Toc26207"/>
      <w:bookmarkStart w:id="81" w:name="_Toc15143"/>
      <w:bookmarkStart w:id="82" w:name="_Toc176189760"/>
      <w:bookmarkStart w:id="83" w:name="_Toc12310245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7530239"/>
      <w:bookmarkStart w:id="87" w:name="_Toc79392580"/>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0650"/>
      <w:bookmarkStart w:id="92" w:name="_Toc74065745"/>
      <w:bookmarkStart w:id="93" w:name="_Toc176189761"/>
      <w:bookmarkStart w:id="94" w:name="_Toc9706"/>
      <w:bookmarkStart w:id="95" w:name="_Toc141703888"/>
      <w:bookmarkStart w:id="96" w:name="_Toc123112236"/>
      <w:bookmarkStart w:id="97" w:name="_Toc139991738"/>
      <w:bookmarkStart w:id="98" w:name="_Toc98560354"/>
      <w:bookmarkStart w:id="99" w:name="_Toc3771"/>
      <w:bookmarkStart w:id="100" w:name="_Toc6447"/>
      <w:bookmarkStart w:id="101" w:name="_Toc25783"/>
      <w:bookmarkStart w:id="102" w:name="_Toc123051454"/>
      <w:bookmarkStart w:id="103" w:name="_Toc7058"/>
      <w:bookmarkStart w:id="104" w:name="_Toc4559"/>
      <w:bookmarkStart w:id="105" w:name="_Toc3321"/>
      <w:bookmarkStart w:id="106" w:name="_Toc123102455"/>
      <w:bookmarkStart w:id="107" w:name="_Toc18567"/>
      <w:bookmarkStart w:id="108" w:name="_Toc79154672"/>
      <w:bookmarkStart w:id="109" w:name="_Toc11030"/>
      <w:bookmarkStart w:id="110" w:name="_Toc79392583"/>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23051455"/>
      <w:bookmarkStart w:id="114" w:name="_Toc725"/>
      <w:bookmarkStart w:id="115" w:name="_Toc123112237"/>
      <w:bookmarkStart w:id="116" w:name="_Toc10398"/>
      <w:bookmarkStart w:id="117" w:name="_Toc31821"/>
      <w:bookmarkStart w:id="118" w:name="_Toc18206"/>
      <w:bookmarkStart w:id="119" w:name="_Toc16164"/>
      <w:bookmarkStart w:id="120" w:name="_Toc98560355"/>
      <w:bookmarkStart w:id="121" w:name="_Toc74065746"/>
      <w:bookmarkStart w:id="122" w:name="_Toc123102456"/>
      <w:bookmarkStart w:id="123" w:name="_Toc79154673"/>
      <w:bookmarkStart w:id="124" w:name="_Toc139991739"/>
      <w:bookmarkStart w:id="125" w:name="_Toc3572"/>
      <w:bookmarkStart w:id="126" w:name="_Toc21735"/>
      <w:bookmarkStart w:id="127" w:name="_Toc176189762"/>
      <w:bookmarkStart w:id="128" w:name="_Toc141703889"/>
      <w:bookmarkStart w:id="129" w:name="_Toc3080"/>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39991740"/>
      <w:bookmarkStart w:id="134" w:name="_Toc32584"/>
      <w:bookmarkStart w:id="135" w:name="_Toc98560356"/>
      <w:bookmarkStart w:id="136" w:name="_Toc123102457"/>
      <w:bookmarkStart w:id="137" w:name="_Toc48649708"/>
      <w:bookmarkStart w:id="138" w:name="_Toc79154674"/>
      <w:bookmarkStart w:id="139" w:name="_Toc141703890"/>
      <w:bookmarkStart w:id="140" w:name="_Toc8791"/>
      <w:bookmarkStart w:id="141" w:name="_Toc123051456"/>
      <w:bookmarkStart w:id="142" w:name="_Toc74065747"/>
      <w:bookmarkStart w:id="143" w:name="_Toc32092"/>
      <w:bookmarkStart w:id="144" w:name="_Toc17920"/>
      <w:bookmarkStart w:id="145" w:name="_Toc5170"/>
      <w:bookmarkStart w:id="146" w:name="_Toc739"/>
      <w:bookmarkStart w:id="147" w:name="_Toc176189763"/>
      <w:bookmarkStart w:id="148" w:name="_Toc3329"/>
      <w:bookmarkStart w:id="149" w:name="_Toc29408"/>
      <w:bookmarkStart w:id="150" w:name="_Toc21237"/>
      <w:bookmarkStart w:id="151" w:name="_Toc79392622"/>
      <w:bookmarkStart w:id="152" w:name="_Toc123112238"/>
      <w:bookmarkStart w:id="153" w:name="_Toc1719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0" w:firstLineChars="200"/>
        <w:rPr>
          <w:rFonts w:ascii="宋体" w:hAnsi="宋体"/>
          <w:sz w:val="18"/>
          <w:szCs w:val="18"/>
        </w:rPr>
      </w:pP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5FD5"/>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0699"/>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5939AA"/>
    <w:rsid w:val="020A6A96"/>
    <w:rsid w:val="025A65D8"/>
    <w:rsid w:val="0356786B"/>
    <w:rsid w:val="03935544"/>
    <w:rsid w:val="046E31C1"/>
    <w:rsid w:val="056C4F65"/>
    <w:rsid w:val="06F4696E"/>
    <w:rsid w:val="07245E56"/>
    <w:rsid w:val="072779FF"/>
    <w:rsid w:val="08472CE3"/>
    <w:rsid w:val="08874F07"/>
    <w:rsid w:val="0A213677"/>
    <w:rsid w:val="0AC979E9"/>
    <w:rsid w:val="0AE77512"/>
    <w:rsid w:val="0C023D8C"/>
    <w:rsid w:val="0DA0651B"/>
    <w:rsid w:val="0DC97F51"/>
    <w:rsid w:val="0E94232E"/>
    <w:rsid w:val="0F1306D5"/>
    <w:rsid w:val="0F55136E"/>
    <w:rsid w:val="102179A4"/>
    <w:rsid w:val="11295396"/>
    <w:rsid w:val="11B51035"/>
    <w:rsid w:val="137B4DE8"/>
    <w:rsid w:val="15A64204"/>
    <w:rsid w:val="163E2FB7"/>
    <w:rsid w:val="16553AED"/>
    <w:rsid w:val="16E41FFB"/>
    <w:rsid w:val="17DB2186"/>
    <w:rsid w:val="186C7F3C"/>
    <w:rsid w:val="1A074180"/>
    <w:rsid w:val="1A48157B"/>
    <w:rsid w:val="1A9A1109"/>
    <w:rsid w:val="1ABE2ED9"/>
    <w:rsid w:val="1B792633"/>
    <w:rsid w:val="1BD70953"/>
    <w:rsid w:val="1BF87698"/>
    <w:rsid w:val="1C78144D"/>
    <w:rsid w:val="1D434226"/>
    <w:rsid w:val="1D807F84"/>
    <w:rsid w:val="1E585AB7"/>
    <w:rsid w:val="1E61320D"/>
    <w:rsid w:val="1E9F22CE"/>
    <w:rsid w:val="1EB160C2"/>
    <w:rsid w:val="1F713302"/>
    <w:rsid w:val="1F8C129C"/>
    <w:rsid w:val="1FF145B9"/>
    <w:rsid w:val="205671DA"/>
    <w:rsid w:val="212678F9"/>
    <w:rsid w:val="213434F3"/>
    <w:rsid w:val="2193546F"/>
    <w:rsid w:val="22DD2376"/>
    <w:rsid w:val="23083986"/>
    <w:rsid w:val="23190733"/>
    <w:rsid w:val="23AF29A3"/>
    <w:rsid w:val="25543CD9"/>
    <w:rsid w:val="26123FD6"/>
    <w:rsid w:val="26F50BA9"/>
    <w:rsid w:val="27004886"/>
    <w:rsid w:val="276A677D"/>
    <w:rsid w:val="29026D00"/>
    <w:rsid w:val="2A642791"/>
    <w:rsid w:val="2BAD6E1C"/>
    <w:rsid w:val="2D79628F"/>
    <w:rsid w:val="2E340BB4"/>
    <w:rsid w:val="2EA644DF"/>
    <w:rsid w:val="2EE07B40"/>
    <w:rsid w:val="2F321A82"/>
    <w:rsid w:val="2F6B7F78"/>
    <w:rsid w:val="2FB532A0"/>
    <w:rsid w:val="2FF33A83"/>
    <w:rsid w:val="30C23783"/>
    <w:rsid w:val="319C4BEA"/>
    <w:rsid w:val="31A65A17"/>
    <w:rsid w:val="324776D3"/>
    <w:rsid w:val="327A518C"/>
    <w:rsid w:val="32814C62"/>
    <w:rsid w:val="33DA2E89"/>
    <w:rsid w:val="342265A9"/>
    <w:rsid w:val="34683779"/>
    <w:rsid w:val="34C829B2"/>
    <w:rsid w:val="35381804"/>
    <w:rsid w:val="36E03B8B"/>
    <w:rsid w:val="386A3F56"/>
    <w:rsid w:val="38C716AB"/>
    <w:rsid w:val="3A396834"/>
    <w:rsid w:val="3A5706DB"/>
    <w:rsid w:val="3A810EF7"/>
    <w:rsid w:val="3C131540"/>
    <w:rsid w:val="3C3802E9"/>
    <w:rsid w:val="3D213021"/>
    <w:rsid w:val="3D8F7503"/>
    <w:rsid w:val="3E0C1771"/>
    <w:rsid w:val="3E586AB8"/>
    <w:rsid w:val="3E5C1B1D"/>
    <w:rsid w:val="3EAE14E9"/>
    <w:rsid w:val="3FD261A6"/>
    <w:rsid w:val="3FF70889"/>
    <w:rsid w:val="406B6A62"/>
    <w:rsid w:val="423C28D4"/>
    <w:rsid w:val="42516E18"/>
    <w:rsid w:val="42B611AF"/>
    <w:rsid w:val="42EB2F9C"/>
    <w:rsid w:val="45226963"/>
    <w:rsid w:val="452D20FF"/>
    <w:rsid w:val="4584194F"/>
    <w:rsid w:val="45A2262A"/>
    <w:rsid w:val="45DF5261"/>
    <w:rsid w:val="46935C39"/>
    <w:rsid w:val="469F5C49"/>
    <w:rsid w:val="47BF32B9"/>
    <w:rsid w:val="48235A28"/>
    <w:rsid w:val="48C31062"/>
    <w:rsid w:val="4ABB2587"/>
    <w:rsid w:val="4CD634E1"/>
    <w:rsid w:val="4D39606F"/>
    <w:rsid w:val="4E9D79E5"/>
    <w:rsid w:val="4ECC670E"/>
    <w:rsid w:val="4F8E3D4D"/>
    <w:rsid w:val="4FA308F4"/>
    <w:rsid w:val="4FF334F0"/>
    <w:rsid w:val="50DE1DAB"/>
    <w:rsid w:val="50E8761C"/>
    <w:rsid w:val="50FD0FE7"/>
    <w:rsid w:val="526A4971"/>
    <w:rsid w:val="53015AD3"/>
    <w:rsid w:val="53B3493A"/>
    <w:rsid w:val="53DB7E74"/>
    <w:rsid w:val="551D7584"/>
    <w:rsid w:val="5537323C"/>
    <w:rsid w:val="55773136"/>
    <w:rsid w:val="55855837"/>
    <w:rsid w:val="56503211"/>
    <w:rsid w:val="5654156C"/>
    <w:rsid w:val="57BD5DAE"/>
    <w:rsid w:val="592D7830"/>
    <w:rsid w:val="598B567E"/>
    <w:rsid w:val="5ADD4D16"/>
    <w:rsid w:val="5B10394B"/>
    <w:rsid w:val="5B6655C5"/>
    <w:rsid w:val="5B967A8F"/>
    <w:rsid w:val="5BA577EB"/>
    <w:rsid w:val="5C624734"/>
    <w:rsid w:val="5DFA16AB"/>
    <w:rsid w:val="5EE04A76"/>
    <w:rsid w:val="5F9A4106"/>
    <w:rsid w:val="5FE91ABC"/>
    <w:rsid w:val="600F0535"/>
    <w:rsid w:val="60A968BB"/>
    <w:rsid w:val="60D42826"/>
    <w:rsid w:val="616925C8"/>
    <w:rsid w:val="617249FB"/>
    <w:rsid w:val="628E734C"/>
    <w:rsid w:val="64224A10"/>
    <w:rsid w:val="6580603B"/>
    <w:rsid w:val="6584625B"/>
    <w:rsid w:val="66FB0936"/>
    <w:rsid w:val="67EA18E2"/>
    <w:rsid w:val="684C03A4"/>
    <w:rsid w:val="689E1B10"/>
    <w:rsid w:val="68B96EA7"/>
    <w:rsid w:val="68C7223A"/>
    <w:rsid w:val="68EE1246"/>
    <w:rsid w:val="68EF6886"/>
    <w:rsid w:val="694A7300"/>
    <w:rsid w:val="699457CF"/>
    <w:rsid w:val="6A735FA8"/>
    <w:rsid w:val="6BAE5F49"/>
    <w:rsid w:val="6C0965D8"/>
    <w:rsid w:val="6C347539"/>
    <w:rsid w:val="6FDD1093"/>
    <w:rsid w:val="70167F30"/>
    <w:rsid w:val="709C0126"/>
    <w:rsid w:val="70BA5D71"/>
    <w:rsid w:val="71E5159B"/>
    <w:rsid w:val="72043F47"/>
    <w:rsid w:val="73487180"/>
    <w:rsid w:val="73DE046A"/>
    <w:rsid w:val="73EB7F47"/>
    <w:rsid w:val="7422791C"/>
    <w:rsid w:val="75A81BFD"/>
    <w:rsid w:val="76022652"/>
    <w:rsid w:val="767A0AFE"/>
    <w:rsid w:val="768501BE"/>
    <w:rsid w:val="76C8601E"/>
    <w:rsid w:val="773F791E"/>
    <w:rsid w:val="776359ED"/>
    <w:rsid w:val="7778235D"/>
    <w:rsid w:val="78651BF7"/>
    <w:rsid w:val="78E7669E"/>
    <w:rsid w:val="7D58772D"/>
    <w:rsid w:val="7D80556D"/>
    <w:rsid w:val="7ED86E63"/>
    <w:rsid w:val="7F636403"/>
    <w:rsid w:val="7F9C2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3</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2025-09-17T07:54:55Z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