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ascii="楷体" w:hAnsi="楷体" w:eastAsia="楷体"/>
        </w:rPr>
      </w:pPr>
      <w:r>
        <w:rPr>
          <w:rFonts w:hint="eastAsia"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-294640</wp:posOffset>
                </wp:positionH>
                <wp:positionV relativeFrom="paragraph">
                  <wp:posOffset>109220</wp:posOffset>
                </wp:positionV>
                <wp:extent cx="6021070" cy="1884045"/>
                <wp:effectExtent l="4445" t="4445" r="13335" b="16510"/>
                <wp:wrapSquare wrapText="bothSides"/>
                <wp:docPr id="1" name="文本框 2"/>
                <wp:cNvGraphicFramePr/>
                <a:graphic xmlns:a="http://schemas.openxmlformats.org/drawingml/2006/main">
                  <a:graphicData uri="http://schemas.microsoft.com/office/word/2010/wordprocessingShape">
                    <wps:wsp>
                      <wps:cNvSpPr txBox="1"/>
                      <wps:spPr>
                        <a:xfrm>
                          <a:off x="0" y="0"/>
                          <a:ext cx="6021070" cy="1884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本产品设置最短</w:t>
                            </w:r>
                            <w:r>
                              <w:rPr>
                                <w:rFonts w:ascii="楷体" w:hAnsi="楷体" w:eastAsia="楷体" w:cs="宋体"/>
                                <w:b/>
                                <w:spacing w:val="-2"/>
                                <w:szCs w:val="21"/>
                                <w:u w:val="single"/>
                              </w:rPr>
                              <w:t>持有期</w:t>
                            </w:r>
                            <w:r>
                              <w:rPr>
                                <w:rFonts w:hint="eastAsia" w:ascii="楷体" w:hAnsi="楷体" w:eastAsia="楷体" w:cs="宋体"/>
                                <w:b/>
                                <w:spacing w:val="-2"/>
                                <w:szCs w:val="21"/>
                                <w:u w:val="single"/>
                              </w:rPr>
                              <w:t>，客户份额确认后持有时间超过</w:t>
                            </w:r>
                            <w:r>
                              <w:rPr>
                                <w:rFonts w:hint="eastAsia" w:ascii="楷体" w:hAnsi="楷体" w:eastAsia="楷体" w:cs="宋体"/>
                                <w:b/>
                                <w:spacing w:val="-2"/>
                                <w:szCs w:val="21"/>
                                <w:u w:val="single"/>
                                <w:lang w:val="en-US" w:eastAsia="zh-CN"/>
                              </w:rPr>
                              <w:t>7</w:t>
                            </w:r>
                            <w:r>
                              <w:rPr>
                                <w:rFonts w:hint="eastAsia" w:ascii="楷体" w:hAnsi="楷体" w:eastAsia="楷体" w:cs="宋体"/>
                                <w:b/>
                                <w:spacing w:val="-2"/>
                                <w:szCs w:val="21"/>
                                <w:u w:val="single"/>
                              </w:rPr>
                              <w:t>天，客户可自主发起赎回,</w:t>
                            </w:r>
                            <w:r>
                              <w:rPr>
                                <w:rFonts w:hint="eastAsia" w:ascii="楷体" w:hAnsi="楷体" w:eastAsia="楷体" w:cs="宋体"/>
                                <w:b/>
                                <w:spacing w:val="-2"/>
                                <w:szCs w:val="21"/>
                                <w:u w:val="single"/>
                                <w:lang w:val="en-US" w:eastAsia="zh-CN"/>
                              </w:rPr>
                              <w:t>7</w:t>
                            </w:r>
                            <w:r>
                              <w:rPr>
                                <w:rFonts w:hint="eastAsia" w:ascii="楷体" w:hAnsi="楷体" w:eastAsia="楷体" w:cs="宋体"/>
                                <w:b/>
                                <w:spacing w:val="-2"/>
                                <w:szCs w:val="21"/>
                                <w:u w:val="single"/>
                              </w:rPr>
                              <w:t>天</w:t>
                            </w:r>
                            <w:r>
                              <w:rPr>
                                <w:rFonts w:ascii="楷体" w:hAnsi="楷体" w:eastAsia="楷体" w:cs="宋体"/>
                                <w:b/>
                                <w:spacing w:val="-2"/>
                                <w:szCs w:val="21"/>
                                <w:u w:val="single"/>
                              </w:rPr>
                              <w:t>以内不可提出赎回申请</w:t>
                            </w:r>
                            <w:r>
                              <w:rPr>
                                <w:rFonts w:hint="eastAsia" w:ascii="楷体" w:hAnsi="楷体" w:eastAsia="楷体" w:cs="宋体"/>
                                <w:b/>
                                <w:spacing w:val="-2"/>
                                <w:szCs w:val="21"/>
                                <w:u w:val="single"/>
                              </w:rPr>
                              <w:t>。产品</w:t>
                            </w:r>
                            <w:r>
                              <w:rPr>
                                <w:rFonts w:ascii="楷体" w:hAnsi="楷体" w:eastAsia="楷体" w:cs="宋体"/>
                                <w:b/>
                                <w:spacing w:val="-2"/>
                                <w:szCs w:val="21"/>
                                <w:u w:val="single"/>
                              </w:rPr>
                              <w:t>成立后设置封闭运作期，</w:t>
                            </w:r>
                            <w:r>
                              <w:rPr>
                                <w:rFonts w:hint="eastAsia" w:ascii="楷体" w:hAnsi="楷体" w:eastAsia="楷体" w:cs="宋体"/>
                                <w:b/>
                                <w:spacing w:val="-2"/>
                                <w:szCs w:val="21"/>
                                <w:u w:val="single"/>
                              </w:rPr>
                              <w:t>封闭运作期</w:t>
                            </w:r>
                            <w:r>
                              <w:rPr>
                                <w:rFonts w:ascii="楷体" w:hAnsi="楷体" w:eastAsia="楷体" w:cs="宋体"/>
                                <w:b/>
                                <w:spacing w:val="-2"/>
                                <w:szCs w:val="21"/>
                                <w:u w:val="single"/>
                              </w:rPr>
                              <w:t>内不可申购、赎回。</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u w:val="single"/>
                              </w:rPr>
                              <w:t>本产品申购、</w:t>
                            </w:r>
                            <w:r>
                              <w:rPr>
                                <w:rFonts w:ascii="楷体" w:hAnsi="楷体" w:eastAsia="楷体" w:cs="宋体"/>
                                <w:b/>
                                <w:spacing w:val="-2"/>
                                <w:szCs w:val="21"/>
                                <w:u w:val="single"/>
                              </w:rPr>
                              <w:t>赎回</w:t>
                            </w:r>
                            <w:r>
                              <w:rPr>
                                <w:rFonts w:hint="eastAsia" w:ascii="楷体" w:hAnsi="楷体" w:eastAsia="楷体" w:cs="宋体"/>
                                <w:b/>
                                <w:spacing w:val="-2"/>
                                <w:szCs w:val="21"/>
                                <w:u w:val="single"/>
                              </w:rPr>
                              <w:t>受理</w:t>
                            </w:r>
                            <w:r>
                              <w:rPr>
                                <w:rFonts w:ascii="楷体" w:hAnsi="楷体" w:eastAsia="楷体" w:cs="宋体"/>
                                <w:b/>
                                <w:spacing w:val="-2"/>
                                <w:szCs w:val="21"/>
                                <w:u w:val="single"/>
                              </w:rPr>
                              <w:t>时间为</w:t>
                            </w:r>
                            <w:r>
                              <w:rPr>
                                <w:rFonts w:hint="eastAsia" w:ascii="楷体" w:hAnsi="楷体" w:eastAsia="楷体" w:cs="宋体"/>
                                <w:b/>
                                <w:spacing w:val="-2"/>
                                <w:szCs w:val="21"/>
                                <w:u w:val="single"/>
                              </w:rPr>
                              <w:t>每个工作日的9:00至</w:t>
                            </w:r>
                            <w:r>
                              <w:rPr>
                                <w:rFonts w:hint="eastAsia" w:ascii="楷体" w:hAnsi="楷体" w:eastAsia="楷体" w:cs="宋体"/>
                                <w:b/>
                                <w:spacing w:val="-2"/>
                                <w:szCs w:val="21"/>
                                <w:u w:val="single"/>
                                <w:lang w:eastAsia="zh-CN"/>
                              </w:rPr>
                              <w:t>17:00</w:t>
                            </w:r>
                            <w:r>
                              <w:rPr>
                                <w:rFonts w:hint="eastAsia" w:ascii="楷体" w:hAnsi="楷体" w:eastAsia="楷体" w:cs="宋体"/>
                                <w:b/>
                                <w:spacing w:val="-2"/>
                                <w:szCs w:val="21"/>
                                <w:u w:val="single"/>
                              </w:rPr>
                              <w:t>，客户赎回申请受制于产品巨额赎回条款</w:t>
                            </w:r>
                            <w:r>
                              <w:rPr>
                                <w:rFonts w:hint="eastAsia" w:ascii="楷体" w:hAnsi="楷体" w:eastAsia="楷体" w:cs="宋体"/>
                                <w:b/>
                                <w:spacing w:val="-2"/>
                                <w:szCs w:val="21"/>
                                <w:highlight w:val="none"/>
                                <w:u w:val="single"/>
                              </w:rPr>
                              <w:t>的限制，这可能影响您的资金使用安排。</w:t>
                            </w:r>
                          </w:p>
                          <w:p>
                            <w:pPr>
                              <w:numPr>
                                <w:ilvl w:val="0"/>
                                <w:numId w:val="1"/>
                              </w:numPr>
                              <w:ind w:right="115" w:rightChars="55"/>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本产品设置有多个份额，</w:t>
                            </w:r>
                            <w:r>
                              <w:rPr>
                                <w:rFonts w:hint="eastAsia" w:ascii="楷体" w:hAnsi="楷体" w:eastAsia="楷体" w:cs="宋体"/>
                                <w:b/>
                                <w:spacing w:val="-2"/>
                                <w:szCs w:val="21"/>
                                <w:highlight w:val="none"/>
                                <w:u w:val="single"/>
                                <w:lang w:eastAsia="zh-CN"/>
                              </w:rPr>
                              <w:t>各份额</w:t>
                            </w:r>
                            <w:r>
                              <w:rPr>
                                <w:rFonts w:hint="eastAsia" w:ascii="楷体" w:hAnsi="楷体" w:eastAsia="楷体" w:cs="宋体"/>
                                <w:b/>
                                <w:spacing w:val="-2"/>
                                <w:szCs w:val="21"/>
                                <w:highlight w:val="none"/>
                                <w:u w:val="single"/>
                              </w:rPr>
                              <w:t>按照设置的销售对象和销售起点进行销售，</w:t>
                            </w:r>
                            <w:r>
                              <w:rPr>
                                <w:rFonts w:hint="eastAsia" w:ascii="楷体" w:hAnsi="楷体" w:eastAsia="楷体" w:cs="宋体"/>
                                <w:b/>
                                <w:spacing w:val="-2"/>
                                <w:szCs w:val="21"/>
                                <w:highlight w:val="none"/>
                                <w:u w:val="single"/>
                                <w:lang w:eastAsia="zh-CN"/>
                              </w:rPr>
                              <w:t>各份额</w:t>
                            </w:r>
                            <w:r>
                              <w:rPr>
                                <w:rFonts w:hint="eastAsia" w:ascii="楷体" w:hAnsi="楷体" w:eastAsia="楷体" w:cs="宋体"/>
                                <w:b/>
                                <w:spacing w:val="-2"/>
                                <w:szCs w:val="21"/>
                                <w:highlight w:val="none"/>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业绩比较基准</w:t>
                            </w:r>
                            <w:r>
                              <w:rPr>
                                <w:rFonts w:hint="eastAsia" w:ascii="楷体" w:hAnsi="楷体" w:eastAsia="楷体" w:cs="宋体"/>
                                <w:b/>
                                <w:spacing w:val="-2"/>
                                <w:sz w:val="21"/>
                                <w:szCs w:val="21"/>
                                <w:highlight w:val="none"/>
                                <w:u w:val="single"/>
                                <w:lang w:val="en-US" w:eastAsia="zh-CN"/>
                              </w:rPr>
                              <w:t>为管理人</w:t>
                            </w:r>
                            <w:r>
                              <w:rPr>
                                <w:rFonts w:hint="eastAsia" w:ascii="楷体" w:hAnsi="楷体" w:eastAsia="楷体" w:cs="宋体"/>
                                <w:b/>
                                <w:spacing w:val="-2"/>
                                <w:sz w:val="21"/>
                                <w:szCs w:val="21"/>
                                <w:highlight w:val="none"/>
                                <w:u w:val="single"/>
                              </w:rPr>
                              <w:t>对本产品所设定的投资目标</w:t>
                            </w:r>
                            <w:r>
                              <w:rPr>
                                <w:rFonts w:hint="eastAsia" w:ascii="楷体" w:hAnsi="楷体" w:eastAsia="楷体" w:cs="宋体"/>
                                <w:b/>
                                <w:color w:val="auto"/>
                                <w:spacing w:val="-2"/>
                                <w:szCs w:val="21"/>
                                <w:highlight w:val="none"/>
                                <w:u w:val="single"/>
                              </w:rPr>
                              <w:t>，</w:t>
                            </w:r>
                            <w:r>
                              <w:rPr>
                                <w:rFonts w:hint="eastAsia" w:ascii="楷体" w:hAnsi="楷体" w:eastAsia="楷体" w:cs="宋体"/>
                                <w:b/>
                                <w:spacing w:val="-2"/>
                                <w:szCs w:val="21"/>
                                <w:highlight w:val="none"/>
                                <w:u w:val="single"/>
                              </w:rPr>
                              <w:t>不代表理财产品未来表现，不等于理财产品实际收益，不作为产品收益的业绩保证，投资者的实际收益由产品净值表现决定。</w:t>
                            </w:r>
                          </w:p>
                          <w:p>
                            <w:pPr>
                              <w:numPr>
                                <w:ilvl w:val="0"/>
                                <w:numId w:val="1"/>
                              </w:numPr>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wrap="square" upright="1">
                        <a:spAutoFit/>
                      </wps:bodyPr>
                    </wps:wsp>
                  </a:graphicData>
                </a:graphic>
              </wp:anchor>
            </w:drawing>
          </mc:Choice>
          <mc:Fallback>
            <w:pict>
              <v:shape id="文本框 2" o:spid="_x0000_s1026" o:spt="202" type="#_x0000_t202" style="position:absolute;left:0pt;margin-left:-23.2pt;margin-top:8.6pt;height:148.35pt;width:474.1p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mOFVLZ&#10;AAAACgEAAA8AAAAAAAAAAQAgAAAAIgAAAGRycy9kb3ducmV2LnhtbFBLAQIUABQAAAAIAIdO4kAV&#10;X/89HwIAAF8EAAAOAAAAAAAAAAEAIAAAACgBAABkcnMvZTJvRG9jLnhtbFBLBQYAAAAABgAGAFkB&#10;AAC5BQAAAAA=&#10;">
                <v:fill on="t" focussize="0,0"/>
                <v:stroke color="#000000" joinstyle="miter"/>
                <v:imagedata o:title=""/>
                <o:lock v:ext="edit" aspectratio="f"/>
                <v:textbox style="mso-fit-shape-to-text:t;">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本产品设置最短</w:t>
                      </w:r>
                      <w:r>
                        <w:rPr>
                          <w:rFonts w:ascii="楷体" w:hAnsi="楷体" w:eastAsia="楷体" w:cs="宋体"/>
                          <w:b/>
                          <w:spacing w:val="-2"/>
                          <w:szCs w:val="21"/>
                          <w:u w:val="single"/>
                        </w:rPr>
                        <w:t>持有期</w:t>
                      </w:r>
                      <w:r>
                        <w:rPr>
                          <w:rFonts w:hint="eastAsia" w:ascii="楷体" w:hAnsi="楷体" w:eastAsia="楷体" w:cs="宋体"/>
                          <w:b/>
                          <w:spacing w:val="-2"/>
                          <w:szCs w:val="21"/>
                          <w:u w:val="single"/>
                        </w:rPr>
                        <w:t>，客户份额确认后持有时间超过</w:t>
                      </w:r>
                      <w:r>
                        <w:rPr>
                          <w:rFonts w:hint="eastAsia" w:ascii="楷体" w:hAnsi="楷体" w:eastAsia="楷体" w:cs="宋体"/>
                          <w:b/>
                          <w:spacing w:val="-2"/>
                          <w:szCs w:val="21"/>
                          <w:u w:val="single"/>
                          <w:lang w:val="en-US" w:eastAsia="zh-CN"/>
                        </w:rPr>
                        <w:t>7</w:t>
                      </w:r>
                      <w:r>
                        <w:rPr>
                          <w:rFonts w:hint="eastAsia" w:ascii="楷体" w:hAnsi="楷体" w:eastAsia="楷体" w:cs="宋体"/>
                          <w:b/>
                          <w:spacing w:val="-2"/>
                          <w:szCs w:val="21"/>
                          <w:u w:val="single"/>
                        </w:rPr>
                        <w:t>天，客户可自主发起赎回,</w:t>
                      </w:r>
                      <w:r>
                        <w:rPr>
                          <w:rFonts w:hint="eastAsia" w:ascii="楷体" w:hAnsi="楷体" w:eastAsia="楷体" w:cs="宋体"/>
                          <w:b/>
                          <w:spacing w:val="-2"/>
                          <w:szCs w:val="21"/>
                          <w:u w:val="single"/>
                          <w:lang w:val="en-US" w:eastAsia="zh-CN"/>
                        </w:rPr>
                        <w:t>7</w:t>
                      </w:r>
                      <w:r>
                        <w:rPr>
                          <w:rFonts w:hint="eastAsia" w:ascii="楷体" w:hAnsi="楷体" w:eastAsia="楷体" w:cs="宋体"/>
                          <w:b/>
                          <w:spacing w:val="-2"/>
                          <w:szCs w:val="21"/>
                          <w:u w:val="single"/>
                        </w:rPr>
                        <w:t>天</w:t>
                      </w:r>
                      <w:r>
                        <w:rPr>
                          <w:rFonts w:ascii="楷体" w:hAnsi="楷体" w:eastAsia="楷体" w:cs="宋体"/>
                          <w:b/>
                          <w:spacing w:val="-2"/>
                          <w:szCs w:val="21"/>
                          <w:u w:val="single"/>
                        </w:rPr>
                        <w:t>以内不可提出赎回申请</w:t>
                      </w:r>
                      <w:r>
                        <w:rPr>
                          <w:rFonts w:hint="eastAsia" w:ascii="楷体" w:hAnsi="楷体" w:eastAsia="楷体" w:cs="宋体"/>
                          <w:b/>
                          <w:spacing w:val="-2"/>
                          <w:szCs w:val="21"/>
                          <w:u w:val="single"/>
                        </w:rPr>
                        <w:t>。产品</w:t>
                      </w:r>
                      <w:r>
                        <w:rPr>
                          <w:rFonts w:ascii="楷体" w:hAnsi="楷体" w:eastAsia="楷体" w:cs="宋体"/>
                          <w:b/>
                          <w:spacing w:val="-2"/>
                          <w:szCs w:val="21"/>
                          <w:u w:val="single"/>
                        </w:rPr>
                        <w:t>成立后设置封闭运作期，</w:t>
                      </w:r>
                      <w:r>
                        <w:rPr>
                          <w:rFonts w:hint="eastAsia" w:ascii="楷体" w:hAnsi="楷体" w:eastAsia="楷体" w:cs="宋体"/>
                          <w:b/>
                          <w:spacing w:val="-2"/>
                          <w:szCs w:val="21"/>
                          <w:u w:val="single"/>
                        </w:rPr>
                        <w:t>封闭运作期</w:t>
                      </w:r>
                      <w:r>
                        <w:rPr>
                          <w:rFonts w:ascii="楷体" w:hAnsi="楷体" w:eastAsia="楷体" w:cs="宋体"/>
                          <w:b/>
                          <w:spacing w:val="-2"/>
                          <w:szCs w:val="21"/>
                          <w:u w:val="single"/>
                        </w:rPr>
                        <w:t>内不可申购、赎回。</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u w:val="single"/>
                        </w:rPr>
                        <w:t>本产品申购、</w:t>
                      </w:r>
                      <w:r>
                        <w:rPr>
                          <w:rFonts w:ascii="楷体" w:hAnsi="楷体" w:eastAsia="楷体" w:cs="宋体"/>
                          <w:b/>
                          <w:spacing w:val="-2"/>
                          <w:szCs w:val="21"/>
                          <w:u w:val="single"/>
                        </w:rPr>
                        <w:t>赎回</w:t>
                      </w:r>
                      <w:r>
                        <w:rPr>
                          <w:rFonts w:hint="eastAsia" w:ascii="楷体" w:hAnsi="楷体" w:eastAsia="楷体" w:cs="宋体"/>
                          <w:b/>
                          <w:spacing w:val="-2"/>
                          <w:szCs w:val="21"/>
                          <w:u w:val="single"/>
                        </w:rPr>
                        <w:t>受理</w:t>
                      </w:r>
                      <w:r>
                        <w:rPr>
                          <w:rFonts w:ascii="楷体" w:hAnsi="楷体" w:eastAsia="楷体" w:cs="宋体"/>
                          <w:b/>
                          <w:spacing w:val="-2"/>
                          <w:szCs w:val="21"/>
                          <w:u w:val="single"/>
                        </w:rPr>
                        <w:t>时间为</w:t>
                      </w:r>
                      <w:r>
                        <w:rPr>
                          <w:rFonts w:hint="eastAsia" w:ascii="楷体" w:hAnsi="楷体" w:eastAsia="楷体" w:cs="宋体"/>
                          <w:b/>
                          <w:spacing w:val="-2"/>
                          <w:szCs w:val="21"/>
                          <w:u w:val="single"/>
                        </w:rPr>
                        <w:t>每个工作日的9:00至</w:t>
                      </w:r>
                      <w:r>
                        <w:rPr>
                          <w:rFonts w:hint="eastAsia" w:ascii="楷体" w:hAnsi="楷体" w:eastAsia="楷体" w:cs="宋体"/>
                          <w:b/>
                          <w:spacing w:val="-2"/>
                          <w:szCs w:val="21"/>
                          <w:u w:val="single"/>
                          <w:lang w:eastAsia="zh-CN"/>
                        </w:rPr>
                        <w:t>17:00</w:t>
                      </w:r>
                      <w:r>
                        <w:rPr>
                          <w:rFonts w:hint="eastAsia" w:ascii="楷体" w:hAnsi="楷体" w:eastAsia="楷体" w:cs="宋体"/>
                          <w:b/>
                          <w:spacing w:val="-2"/>
                          <w:szCs w:val="21"/>
                          <w:u w:val="single"/>
                        </w:rPr>
                        <w:t>，客户赎回申请受制于产品巨额赎回条款</w:t>
                      </w:r>
                      <w:r>
                        <w:rPr>
                          <w:rFonts w:hint="eastAsia" w:ascii="楷体" w:hAnsi="楷体" w:eastAsia="楷体" w:cs="宋体"/>
                          <w:b/>
                          <w:spacing w:val="-2"/>
                          <w:szCs w:val="21"/>
                          <w:highlight w:val="none"/>
                          <w:u w:val="single"/>
                        </w:rPr>
                        <w:t>的限制，这可能影响您的资金使用安排。</w:t>
                      </w:r>
                    </w:p>
                    <w:p>
                      <w:pPr>
                        <w:numPr>
                          <w:ilvl w:val="0"/>
                          <w:numId w:val="1"/>
                        </w:numPr>
                        <w:ind w:right="115" w:rightChars="55"/>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本产品设置有多个份额，</w:t>
                      </w:r>
                      <w:r>
                        <w:rPr>
                          <w:rFonts w:hint="eastAsia" w:ascii="楷体" w:hAnsi="楷体" w:eastAsia="楷体" w:cs="宋体"/>
                          <w:b/>
                          <w:spacing w:val="-2"/>
                          <w:szCs w:val="21"/>
                          <w:highlight w:val="none"/>
                          <w:u w:val="single"/>
                          <w:lang w:eastAsia="zh-CN"/>
                        </w:rPr>
                        <w:t>各份额</w:t>
                      </w:r>
                      <w:r>
                        <w:rPr>
                          <w:rFonts w:hint="eastAsia" w:ascii="楷体" w:hAnsi="楷体" w:eastAsia="楷体" w:cs="宋体"/>
                          <w:b/>
                          <w:spacing w:val="-2"/>
                          <w:szCs w:val="21"/>
                          <w:highlight w:val="none"/>
                          <w:u w:val="single"/>
                        </w:rPr>
                        <w:t>按照设置的销售对象和销售起点进行销售，</w:t>
                      </w:r>
                      <w:r>
                        <w:rPr>
                          <w:rFonts w:hint="eastAsia" w:ascii="楷体" w:hAnsi="楷体" w:eastAsia="楷体" w:cs="宋体"/>
                          <w:b/>
                          <w:spacing w:val="-2"/>
                          <w:szCs w:val="21"/>
                          <w:highlight w:val="none"/>
                          <w:u w:val="single"/>
                          <w:lang w:eastAsia="zh-CN"/>
                        </w:rPr>
                        <w:t>各份额</w:t>
                      </w:r>
                      <w:r>
                        <w:rPr>
                          <w:rFonts w:hint="eastAsia" w:ascii="楷体" w:hAnsi="楷体" w:eastAsia="楷体" w:cs="宋体"/>
                          <w:b/>
                          <w:spacing w:val="-2"/>
                          <w:szCs w:val="21"/>
                          <w:highlight w:val="none"/>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业绩比较基准</w:t>
                      </w:r>
                      <w:r>
                        <w:rPr>
                          <w:rFonts w:hint="eastAsia" w:ascii="楷体" w:hAnsi="楷体" w:eastAsia="楷体" w:cs="宋体"/>
                          <w:b/>
                          <w:spacing w:val="-2"/>
                          <w:sz w:val="21"/>
                          <w:szCs w:val="21"/>
                          <w:highlight w:val="none"/>
                          <w:u w:val="single"/>
                          <w:lang w:val="en-US" w:eastAsia="zh-CN"/>
                        </w:rPr>
                        <w:t>为管理人</w:t>
                      </w:r>
                      <w:r>
                        <w:rPr>
                          <w:rFonts w:hint="eastAsia" w:ascii="楷体" w:hAnsi="楷体" w:eastAsia="楷体" w:cs="宋体"/>
                          <w:b/>
                          <w:spacing w:val="-2"/>
                          <w:sz w:val="21"/>
                          <w:szCs w:val="21"/>
                          <w:highlight w:val="none"/>
                          <w:u w:val="single"/>
                        </w:rPr>
                        <w:t>对本产品所设定的投资目标</w:t>
                      </w:r>
                      <w:r>
                        <w:rPr>
                          <w:rFonts w:hint="eastAsia" w:ascii="楷体" w:hAnsi="楷体" w:eastAsia="楷体" w:cs="宋体"/>
                          <w:b/>
                          <w:color w:val="auto"/>
                          <w:spacing w:val="-2"/>
                          <w:szCs w:val="21"/>
                          <w:highlight w:val="none"/>
                          <w:u w:val="single"/>
                        </w:rPr>
                        <w:t>，</w:t>
                      </w:r>
                      <w:r>
                        <w:rPr>
                          <w:rFonts w:hint="eastAsia" w:ascii="楷体" w:hAnsi="楷体" w:eastAsia="楷体" w:cs="宋体"/>
                          <w:b/>
                          <w:spacing w:val="-2"/>
                          <w:szCs w:val="21"/>
                          <w:highlight w:val="none"/>
                          <w:u w:val="single"/>
                        </w:rPr>
                        <w:t>不代表理财产品未来表现，不等于理财产品实际收益，不作为产品收益的业绩保证，投资者的实际收益由产品净值表现决定。</w:t>
                      </w:r>
                    </w:p>
                    <w:p>
                      <w:pPr>
                        <w:numPr>
                          <w:ilvl w:val="0"/>
                          <w:numId w:val="1"/>
                        </w:numPr>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rPr>
        <w:t xml:space="preserve"> </w:t>
      </w: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“苏银理财恒源</w:t>
      </w:r>
      <w:r>
        <w:rPr>
          <w:rFonts w:hint="eastAsia" w:ascii="楷体" w:hAnsi="楷体" w:eastAsia="楷体"/>
          <w:b/>
          <w:sz w:val="36"/>
          <w:szCs w:val="36"/>
          <w:lang w:eastAsia="zh-CN"/>
        </w:rPr>
        <w:t>最短持有7天</w:t>
      </w:r>
      <w:r>
        <w:rPr>
          <w:rFonts w:hint="eastAsia" w:ascii="楷体" w:hAnsi="楷体" w:eastAsia="楷体"/>
          <w:b/>
          <w:sz w:val="36"/>
          <w:szCs w:val="36"/>
        </w:rPr>
        <w:t>”</w:t>
      </w: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理财产品合同</w:t>
      </w:r>
    </w:p>
    <w:p>
      <w:pPr>
        <w:pStyle w:val="12"/>
        <w:spacing w:before="0" w:beforeAutospacing="0" w:after="0" w:afterAutospacing="0" w:line="360" w:lineRule="auto"/>
        <w:jc w:val="center"/>
        <w:rPr>
          <w:rFonts w:hint="eastAsia" w:ascii="楷体" w:hAnsi="楷体" w:eastAsia="楷体"/>
          <w:b/>
        </w:rPr>
      </w:pPr>
      <w:r>
        <w:rPr>
          <w:rFonts w:hint="eastAsia" w:ascii="楷体" w:hAnsi="楷体" w:eastAsia="楷体"/>
          <w:b/>
          <w:sz w:val="32"/>
          <w:szCs w:val="32"/>
        </w:rPr>
        <w:t>理财非存款、产品有风险、投资须谨慎</w:t>
      </w:r>
    </w:p>
    <w:p>
      <w:pPr>
        <w:pStyle w:val="12"/>
        <w:spacing w:before="0" w:beforeAutospacing="0" w:after="0" w:afterAutospacing="0" w:line="360" w:lineRule="auto"/>
        <w:jc w:val="center"/>
        <w:rPr>
          <w:rFonts w:hint="eastAsia" w:ascii="楷体" w:hAnsi="楷体" w:eastAsia="楷体"/>
          <w:b/>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8</w:t>
      </w:r>
      <w:r>
        <w:rPr>
          <w:rFonts w:hint="eastAsia" w:ascii="楷体" w:hAnsi="楷体" w:eastAsia="楷体"/>
          <w:b/>
        </w:rPr>
        <w:t>月版）</w:t>
      </w:r>
    </w:p>
    <w:p>
      <w:pPr>
        <w:pStyle w:val="12"/>
        <w:spacing w:before="0" w:beforeAutospacing="0" w:after="0" w:afterAutospacing="0" w:line="360" w:lineRule="auto"/>
        <w:rPr>
          <w:rFonts w:hint="eastAsia" w:ascii="楷体" w:hAnsi="楷体" w:eastAsia="楷体"/>
          <w:b/>
          <w:sz w:val="30"/>
          <w:szCs w:val="30"/>
        </w:rPr>
      </w:pPr>
    </w:p>
    <w:tbl>
      <w:tblPr>
        <w:tblStyle w:val="14"/>
        <w:tblW w:w="9196" w:type="dxa"/>
        <w:tblInd w:w="-299"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670"/>
        <w:gridCol w:w="253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序号</w:t>
            </w:r>
          </w:p>
        </w:tc>
        <w:tc>
          <w:tcPr>
            <w:tcW w:w="5670"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理财产品合同中的具体文件名称</w:t>
            </w:r>
          </w:p>
        </w:tc>
        <w:tc>
          <w:tcPr>
            <w:tcW w:w="253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670"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“苏银理财恒源</w:t>
            </w:r>
            <w:r>
              <w:rPr>
                <w:rFonts w:hint="eastAsia" w:ascii="楷体" w:hAnsi="楷体" w:eastAsia="楷体"/>
                <w:sz w:val="18"/>
                <w:szCs w:val="18"/>
                <w:lang w:eastAsia="zh-CN"/>
              </w:rPr>
              <w:t>最短持有7天</w:t>
            </w:r>
            <w:r>
              <w:rPr>
                <w:rFonts w:hint="eastAsia" w:ascii="楷体" w:hAnsi="楷体" w:eastAsia="楷体"/>
                <w:sz w:val="18"/>
                <w:szCs w:val="18"/>
              </w:rPr>
              <w:t>”理财产品风险揭示书</w:t>
            </w:r>
          </w:p>
        </w:tc>
        <w:tc>
          <w:tcPr>
            <w:tcW w:w="253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670"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“苏银理财恒源</w:t>
            </w:r>
            <w:r>
              <w:rPr>
                <w:rFonts w:hint="eastAsia" w:ascii="楷体" w:hAnsi="楷体" w:eastAsia="楷体"/>
                <w:sz w:val="18"/>
                <w:szCs w:val="18"/>
                <w:lang w:eastAsia="zh-CN"/>
              </w:rPr>
              <w:t>最短持有7天</w:t>
            </w:r>
            <w:r>
              <w:rPr>
                <w:rFonts w:hint="eastAsia" w:ascii="楷体" w:hAnsi="楷体" w:eastAsia="楷体"/>
                <w:sz w:val="18"/>
                <w:szCs w:val="18"/>
              </w:rPr>
              <w:t>”理财产品说明书</w:t>
            </w:r>
          </w:p>
        </w:tc>
        <w:tc>
          <w:tcPr>
            <w:tcW w:w="253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ascii="楷体" w:hAnsi="楷体" w:eastAsia="楷体"/>
                <w:sz w:val="18"/>
                <w:szCs w:val="18"/>
              </w:rPr>
              <w:t>3</w:t>
            </w:r>
          </w:p>
        </w:tc>
        <w:tc>
          <w:tcPr>
            <w:tcW w:w="5670"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53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670"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r>
              <w:rPr>
                <w:rStyle w:val="20"/>
                <w:rFonts w:hint="eastAsia" w:ascii="楷体" w:hAnsi="楷体" w:eastAsia="楷体"/>
                <w:sz w:val="18"/>
                <w:szCs w:val="18"/>
              </w:rPr>
              <w:footnoteReference w:id="0"/>
            </w:r>
          </w:p>
        </w:tc>
        <w:tc>
          <w:tcPr>
            <w:tcW w:w="253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670"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w:t>
            </w:r>
            <w:r>
              <w:rPr>
                <w:rFonts w:hint="eastAsia" w:ascii="楷体" w:hAnsi="楷体" w:eastAsia="楷体"/>
                <w:sz w:val="18"/>
                <w:szCs w:val="18"/>
                <w:lang w:eastAsia="zh-CN"/>
              </w:rPr>
              <w:t>（代理）销售协议</w:t>
            </w:r>
            <w:r>
              <w:rPr>
                <w:rFonts w:hint="eastAsia" w:ascii="楷体" w:hAnsi="楷体" w:eastAsia="楷体"/>
                <w:sz w:val="18"/>
                <w:szCs w:val="18"/>
              </w:rPr>
              <w:t>书</w:t>
            </w:r>
            <w:r>
              <w:rPr>
                <w:rStyle w:val="20"/>
                <w:rFonts w:ascii="楷体" w:hAnsi="楷体" w:eastAsia="楷体"/>
                <w:sz w:val="18"/>
                <w:szCs w:val="18"/>
              </w:rPr>
              <w:footnoteReference w:id="1"/>
            </w:r>
          </w:p>
        </w:tc>
        <w:tc>
          <w:tcPr>
            <w:tcW w:w="253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w:t>
            </w:r>
            <w:r>
              <w:rPr>
                <w:rFonts w:hint="eastAsia" w:ascii="楷体" w:hAnsi="楷体" w:eastAsia="楷体"/>
                <w:sz w:val="18"/>
                <w:szCs w:val="18"/>
                <w:lang w:eastAsia="zh-CN"/>
              </w:rPr>
              <w:t>（代理）销售协议</w:t>
            </w:r>
            <w:r>
              <w:rPr>
                <w:rFonts w:hint="eastAsia" w:ascii="楷体" w:hAnsi="楷体" w:eastAsia="楷体"/>
                <w:sz w:val="18"/>
                <w:szCs w:val="18"/>
              </w:rPr>
              <w:t>书</w:t>
            </w:r>
          </w:p>
        </w:tc>
      </w:tr>
    </w:tbl>
    <w:p>
      <w:pPr>
        <w:pStyle w:val="12"/>
        <w:rPr>
          <w:rFonts w:hint="eastAsia" w:ascii="楷体" w:hAnsi="楷体" w:eastAsia="楷体"/>
        </w:rPr>
      </w:pPr>
    </w:p>
    <w:p>
      <w:pPr>
        <w:pStyle w:val="12"/>
        <w:spacing w:before="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spacing w:before="0" w:beforeAutospacing="0" w:after="0" w:afterAutospacing="0"/>
        <w:ind w:firstLine="480" w:firstLineChars="200"/>
        <w:rPr>
          <w:rFonts w:hint="eastAsia" w:ascii="楷体" w:hAnsi="楷体" w:eastAsia="楷体"/>
        </w:rPr>
      </w:pPr>
      <w:r>
        <w:rPr>
          <w:rFonts w:hint="eastAsia" w:ascii="楷体" w:hAnsi="楷体" w:eastAsia="楷体" w:cs="Times New Roman"/>
        </w:rPr>
        <w:t>《风险揭示书》、《理财产品说明书》、《理财产品</w:t>
      </w:r>
      <w:r>
        <w:rPr>
          <w:rFonts w:hint="eastAsia" w:ascii="楷体" w:hAnsi="楷体" w:eastAsia="楷体" w:cs="Times New Roman"/>
          <w:lang w:eastAsia="zh-CN"/>
        </w:rPr>
        <w:t>（代理）销售协议</w:t>
      </w:r>
      <w:r>
        <w:rPr>
          <w:rFonts w:hint="eastAsia" w:ascii="楷体" w:hAnsi="楷体" w:eastAsia="楷体" w:cs="Times New Roman"/>
        </w:rPr>
        <w:t>书》、《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spacing w:before="0" w:beforeAutospacing="0" w:after="0" w:afterAutospacing="0"/>
        <w:ind w:firstLine="480" w:firstLineChars="200"/>
        <w:rPr>
          <w:rFonts w:hint="eastAsia" w:ascii="楷体" w:hAnsi="楷体" w:eastAsia="楷体"/>
        </w:rPr>
      </w:pPr>
    </w:p>
    <w:p>
      <w:pPr>
        <w:pStyle w:val="12"/>
        <w:spacing w:before="0" w:beforeAutospacing="0" w:after="0" w:afterAutospacing="0"/>
        <w:ind w:firstLine="480" w:firstLineChars="200"/>
        <w:rPr>
          <w:rFonts w:ascii="楷体" w:hAnsi="楷体" w:eastAsia="楷体" w:cs="Times New Roman"/>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pageBreakBefore/>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“苏银理财恒源</w:t>
      </w:r>
      <w:r>
        <w:rPr>
          <w:rFonts w:hint="eastAsia" w:ascii="楷体" w:hAnsi="楷体" w:eastAsia="楷体"/>
          <w:b/>
          <w:sz w:val="36"/>
          <w:szCs w:val="36"/>
          <w:lang w:eastAsia="zh-CN"/>
        </w:rPr>
        <w:t>最短持有7天</w:t>
      </w:r>
      <w:r>
        <w:rPr>
          <w:rFonts w:hint="eastAsia" w:ascii="楷体" w:hAnsi="楷体" w:eastAsia="楷体"/>
          <w:b/>
          <w:sz w:val="36"/>
          <w:szCs w:val="36"/>
        </w:rPr>
        <w:t>”理财产品风险揭示书</w:t>
      </w:r>
    </w:p>
    <w:p>
      <w:pPr>
        <w:jc w:val="center"/>
        <w:outlineLvl w:val="1"/>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highlight w:val="none"/>
        </w:rPr>
        <w:t>由于理财资金在管理运用过程中可能面临多种风险因素，根据</w:t>
      </w:r>
      <w:r>
        <w:rPr>
          <w:rFonts w:hint="eastAsia" w:ascii="楷体" w:hAnsi="楷体" w:eastAsia="楷体" w:cs="Times New Roman"/>
          <w:highlight w:val="none"/>
          <w:lang w:val="en-US" w:eastAsia="zh-CN"/>
        </w:rPr>
        <w:t>国家金融监督管理总局（以下简称“金融监管总局”）</w:t>
      </w:r>
      <w:r>
        <w:rPr>
          <w:rFonts w:hint="eastAsia" w:ascii="楷体" w:hAnsi="楷体" w:eastAsia="楷体" w:cs="Times New Roman"/>
          <w:highlight w:val="none"/>
        </w:rPr>
        <w:t>相关监管规定</w:t>
      </w:r>
      <w:r>
        <w:rPr>
          <w:rFonts w:hint="eastAsia" w:ascii="楷体" w:hAnsi="楷体" w:eastAsia="楷体" w:cs="Times New Roman"/>
        </w:rPr>
        <w:t>，苏银理财有限责任公司（以下简称“苏银理财”）作为本理财产品的产品管理人郑重提示您：在您选择购买理财产品前，请仔细阅读本理财产品完整合同（包括《风险揭示书》、《理财产品说明书》、《投资者权益须知》、《理财产品投资协议书》和《理财产品</w:t>
      </w:r>
      <w:r>
        <w:rPr>
          <w:rFonts w:hint="eastAsia" w:ascii="楷体" w:hAnsi="楷体" w:eastAsia="楷体" w:cs="Times New Roman"/>
          <w:lang w:eastAsia="zh-CN"/>
        </w:rPr>
        <w:t>（代理）销售协议</w:t>
      </w:r>
      <w:r>
        <w:rPr>
          <w:rFonts w:hint="eastAsia" w:ascii="楷体" w:hAnsi="楷体" w:eastAsia="楷体" w:cs="Times New Roman"/>
        </w:rPr>
        <w:t>书》），了解理财产品具体情况；在您购买理财产品后，请关注本理财产品的信息披露，及时获取相关信息。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0" w:firstLineChars="200"/>
        <w:outlineLvl w:val="1"/>
        <w:rPr>
          <w:rFonts w:hint="eastAsia" w:ascii="楷体" w:hAnsi="楷体" w:eastAsia="楷体"/>
          <w:sz w:val="24"/>
          <w:szCs w:val="24"/>
        </w:rPr>
      </w:pPr>
      <w:r>
        <w:rPr>
          <w:rFonts w:hint="eastAsia" w:ascii="楷体" w:hAnsi="楷体" w:eastAsia="楷体"/>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本理财产品投资的债券、股票等资产的价格受到经济因素、政治因素、投资心理和交易制度等各种因素的影响，可能导致本理财产品资产收益水平变化，投资者可能面临本金和收益遭受部分甚至全部损失的风险。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highlight w:val="none"/>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本产品通过代销渠道（非产品管理人自有渠道）销售</w:t>
      </w:r>
      <w:r>
        <w:rPr>
          <w:rFonts w:hint="eastAsia" w:ascii="楷体" w:hAnsi="楷体" w:eastAsia="楷体"/>
          <w:sz w:val="24"/>
          <w:szCs w:val="24"/>
        </w:rPr>
        <w:t>，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outlineLvl w:val="2"/>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债券投资的特殊风险</w:t>
      </w:r>
      <w:r>
        <w:rPr>
          <w:rFonts w:hint="eastAsia" w:ascii="楷体" w:hAnsi="楷体" w:eastAsia="楷体" w:cs="Times New Roman"/>
          <w:sz w:val="24"/>
          <w:szCs w:val="24"/>
          <w:highlight w:val="none"/>
          <w:lang w:eastAsia="zh-CN"/>
        </w:rPr>
        <w:t>：</w:t>
      </w:r>
    </w:p>
    <w:p>
      <w:pPr>
        <w:numPr>
          <w:ilvl w:val="0"/>
          <w:numId w:val="5"/>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市场平均利率水平变化导致债券价格变化的风险。</w:t>
      </w:r>
    </w:p>
    <w:p>
      <w:pPr>
        <w:numPr>
          <w:ilvl w:val="0"/>
          <w:numId w:val="5"/>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ind w:left="0" w:firstLine="480" w:firstLineChars="200"/>
        <w:outlineLvl w:val="2"/>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股票投资的特殊风险：</w:t>
      </w:r>
    </w:p>
    <w:p>
      <w:pPr>
        <w:numPr>
          <w:ilvl w:val="0"/>
          <w:numId w:val="6"/>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国家货币政策、财政政策、产业政策等的变化对证券市场产生一定的影响，导致市场价格水平波动的风险。</w:t>
      </w:r>
    </w:p>
    <w:p>
      <w:pPr>
        <w:numPr>
          <w:ilvl w:val="0"/>
          <w:numId w:val="6"/>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宏观经济运行周期性波动，对股票市场的收益水平产生影响的风险。</w:t>
      </w:r>
    </w:p>
    <w:p>
      <w:pPr>
        <w:numPr>
          <w:ilvl w:val="0"/>
          <w:numId w:val="6"/>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上市公司的经营状况受多种因素影响，如市场、技术、竞争、管理、财务等都会导致公司盈利发生变化，从而导致股票价格变动的风险。</w:t>
      </w:r>
    </w:p>
    <w:p>
      <w:pPr>
        <w:numPr>
          <w:ilvl w:val="0"/>
          <w:numId w:val="4"/>
        </w:numPr>
        <w:tabs>
          <w:tab w:val="left" w:pos="742"/>
        </w:tabs>
        <w:ind w:left="0" w:firstLine="480" w:firstLineChars="200"/>
        <w:outlineLvl w:val="2"/>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相关资产管理计划或基金份额的特殊风险：</w:t>
      </w:r>
    </w:p>
    <w:p>
      <w:pPr>
        <w:numPr>
          <w:ilvl w:val="0"/>
          <w:numId w:val="7"/>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r>
        <w:rPr>
          <w:rFonts w:hint="eastAsia" w:ascii="楷体" w:hAnsi="楷体" w:eastAsia="楷体" w:cs="Times New Roman"/>
          <w:sz w:val="24"/>
          <w:szCs w:val="24"/>
          <w:highlight w:val="none"/>
          <w:lang w:eastAsia="zh-CN"/>
        </w:rPr>
        <w:t>。</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上述风险揭示事项仅为列举性质，未能详尽列明投资者参与本理财产品所面临的全部风险和可能导致投资者资产损失的所有因素。在您签署本理财产品的理财产品</w:t>
      </w:r>
      <w:r>
        <w:rPr>
          <w:rFonts w:hint="eastAsia" w:ascii="楷体" w:hAnsi="楷体" w:eastAsia="楷体"/>
          <w:b/>
          <w:u w:val="single"/>
          <w:lang w:eastAsia="zh-CN"/>
        </w:rPr>
        <w:t>（代理）销售协议</w:t>
      </w:r>
      <w:r>
        <w:rPr>
          <w:rFonts w:hint="eastAsia" w:ascii="楷体" w:hAnsi="楷体" w:eastAsia="楷体"/>
          <w:b/>
          <w:u w:val="single"/>
        </w:rPr>
        <w:t>书前，应当仔细阅读风险揭示书、理财产品说明书、投资者权益须知、理财产品投资协议书及理财产品</w:t>
      </w:r>
      <w:r>
        <w:rPr>
          <w:rFonts w:hint="eastAsia" w:ascii="楷体" w:hAnsi="楷体" w:eastAsia="楷体"/>
          <w:b/>
          <w:u w:val="single"/>
          <w:lang w:eastAsia="zh-CN"/>
        </w:rPr>
        <w:t>（代理）销售协议</w:t>
      </w:r>
      <w:r>
        <w:rPr>
          <w:rFonts w:hint="eastAsia" w:ascii="楷体" w:hAnsi="楷体" w:eastAsia="楷体"/>
          <w:b/>
          <w:u w:val="single"/>
        </w:rPr>
        <w:t>书的全部内容，同时向销售机构了解本理财产品的其他相关信息，并自己独立作出是否认购本理财产品的决定。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0" w:firstLineChars="200"/>
        <w:outlineLvl w:val="1"/>
        <w:rPr>
          <w:rFonts w:ascii="楷体" w:hAnsi="楷体" w:eastAsia="楷体"/>
          <w:sz w:val="28"/>
          <w:szCs w:val="28"/>
        </w:rPr>
      </w:pPr>
      <w:r>
        <w:rPr>
          <w:rFonts w:hint="eastAsia" w:ascii="楷体" w:hAnsi="楷体" w:eastAsia="楷体"/>
          <w:sz w:val="28"/>
          <w:szCs w:val="28"/>
        </w:rPr>
        <w:t>投资者提示</w:t>
      </w:r>
    </w:p>
    <w:p>
      <w:pPr>
        <w:numPr>
          <w:ilvl w:val="0"/>
          <w:numId w:val="8"/>
        </w:numPr>
        <w:tabs>
          <w:tab w:val="left" w:pos="742"/>
        </w:tabs>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w:t>
      </w:r>
    </w:p>
    <w:p>
      <w:pPr>
        <w:tabs>
          <w:tab w:val="left" w:pos="742"/>
        </w:tabs>
        <w:rPr>
          <w:rFonts w:ascii="楷体" w:hAnsi="楷体" w:eastAsia="楷体"/>
          <w:b/>
          <w:sz w:val="24"/>
          <w:szCs w:val="24"/>
          <w:u w:val="single"/>
        </w:rPr>
      </w:pPr>
      <w:r>
        <w:rPr>
          <w:rFonts w:hint="eastAsia" w:ascii="楷体" w:hAnsi="楷体" w:eastAsia="楷体"/>
          <w:b/>
          <w:sz w:val="24"/>
          <w:szCs w:val="24"/>
          <w:u w:val="single"/>
        </w:rPr>
        <w:t>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w:t>
      </w:r>
      <w:r>
        <w:rPr>
          <w:rFonts w:hint="eastAsia" w:ascii="楷体" w:hAnsi="楷体" w:eastAsia="楷体"/>
          <w:b/>
          <w:sz w:val="24"/>
          <w:szCs w:val="24"/>
          <w:highlight w:val="none"/>
          <w:u w:val="single"/>
        </w:rPr>
        <w:t>适合</w:t>
      </w:r>
      <w:r>
        <w:rPr>
          <w:rFonts w:hint="eastAsia" w:ascii="楷体" w:hAnsi="楷体" w:eastAsia="楷体" w:cs="Calibri"/>
          <w:b/>
          <w:sz w:val="24"/>
          <w:szCs w:val="24"/>
          <w:highlight w:val="none"/>
          <w:u w:val="single"/>
        </w:rPr>
        <w:t>中低风险型</w:t>
      </w:r>
      <w:r>
        <w:rPr>
          <w:rFonts w:hint="eastAsia" w:ascii="楷体" w:hAnsi="楷体" w:eastAsia="楷体"/>
          <w:b/>
          <w:sz w:val="24"/>
          <w:szCs w:val="24"/>
          <w:highlight w:val="none"/>
          <w:u w:val="single"/>
        </w:rPr>
        <w:t>投资者</w:t>
      </w:r>
      <w:r>
        <w:rPr>
          <w:rFonts w:hint="eastAsia" w:ascii="楷体" w:hAnsi="楷体" w:eastAsia="楷体"/>
          <w:sz w:val="24"/>
          <w:szCs w:val="24"/>
          <w:highlight w:val="none"/>
          <w:u w:val="single"/>
        </w:rPr>
        <w:t>。</w:t>
      </w:r>
      <w:r>
        <w:rPr>
          <w:rFonts w:hint="eastAsia" w:ascii="楷体" w:hAnsi="楷体" w:eastAsia="楷体"/>
          <w:b/>
          <w:bCs/>
          <w:sz w:val="24"/>
          <w:szCs w:val="24"/>
          <w:highlight w:val="none"/>
          <w:u w:val="single"/>
        </w:rPr>
        <w:t>如本产品通过代理销售机构渠道销售，理财产品评级以代理销售机构最终披露的评级结果为准</w:t>
      </w:r>
      <w:r>
        <w:rPr>
          <w:rFonts w:hint="eastAsia" w:ascii="楷体" w:hAnsi="楷体" w:eastAsia="楷体"/>
          <w:b/>
          <w:sz w:val="24"/>
          <w:szCs w:val="24"/>
          <w:u w:val="single"/>
        </w:rPr>
        <w:t>。</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本理财产品的风险揭示书、理财产品说明书、投资者权益须知、理财产品投资协议书及理财产品</w:t>
      </w:r>
      <w:r>
        <w:rPr>
          <w:rFonts w:hint="eastAsia" w:ascii="楷体" w:hAnsi="楷体" w:eastAsia="楷体"/>
          <w:sz w:val="24"/>
          <w:szCs w:val="24"/>
          <w:lang w:eastAsia="zh-CN"/>
        </w:rPr>
        <w:t>（代理）销售协议</w:t>
      </w:r>
      <w:r>
        <w:rPr>
          <w:rFonts w:hint="eastAsia" w:ascii="楷体" w:hAnsi="楷体" w:eastAsia="楷体"/>
          <w:sz w:val="24"/>
          <w:szCs w:val="24"/>
        </w:rPr>
        <w:t>书为本理财产品合同不可分割的组成部分。您签署本理财产品合同并将资金委托给苏银理财运作是您真实的意思表示。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r>
        <w:rPr>
          <w:rFonts w:hint="eastAsia" w:ascii="楷体" w:hAnsi="楷体" w:eastAsia="楷体"/>
          <w:b/>
          <w:bCs w:val="0"/>
          <w:sz w:val="24"/>
          <w:szCs w:val="24"/>
          <w:highlight w:val="none"/>
        </w:rPr>
        <w:t>示例：如投资者购买本理财产品，本金为1万元，在理财产品资产组合项下资产全部亏损的最不利情况下，理财产品1万元本金将全部损失</w:t>
      </w:r>
      <w:r>
        <w:rPr>
          <w:rFonts w:hint="eastAsia" w:ascii="楷体" w:hAnsi="楷体" w:eastAsia="楷体"/>
          <w:b/>
          <w:bCs w:val="0"/>
          <w:sz w:val="24"/>
          <w:szCs w:val="24"/>
          <w:highlight w:val="none"/>
          <w:lang w:eastAsia="zh-CN"/>
        </w:rPr>
        <w:t>。</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机构将根据相关法律、法规严格履行投资者信息保密责任，除监管机构或司法机关等有权机构外，不得对其他第三方提供任何投资者信息。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kern w:val="0"/>
          <w:sz w:val="24"/>
          <w:szCs w:val="24"/>
        </w:rPr>
      </w:pPr>
    </w:p>
    <w:p>
      <w:pPr>
        <w:pStyle w:val="12"/>
        <w:spacing w:before="0" w:beforeAutospacing="0" w:after="0" w:afterAutospacing="0" w:line="360" w:lineRule="auto"/>
        <w:ind w:left="420"/>
        <w:jc w:val="right"/>
        <w:rPr>
          <w:rFonts w:ascii="楷体" w:hAnsi="楷体" w:eastAsia="楷体"/>
          <w:b/>
        </w:rPr>
      </w:pPr>
      <w:r>
        <w:rPr>
          <w:rFonts w:hint="eastAsia" w:ascii="楷体" w:hAnsi="楷体" w:eastAsia="楷体"/>
          <w:b/>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r>
        <w:rPr>
          <w:rFonts w:ascii="楷体" w:hAnsi="楷体" w:eastAsia="楷体"/>
          <w:b/>
        </w:rPr>
        <w:br w:type="page"/>
      </w: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0" w:firstLineChars="200"/>
        <w:outlineLvl w:val="0"/>
        <w:rPr>
          <w:rFonts w:ascii="楷体" w:hAnsi="楷体" w:eastAsia="楷体"/>
          <w:sz w:val="28"/>
          <w:szCs w:val="28"/>
        </w:rPr>
      </w:pPr>
      <w:r>
        <w:rPr>
          <w:rFonts w:hint="eastAsia" w:ascii="楷体" w:hAnsi="楷体" w:eastAsia="楷体"/>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本人确认已经收到本理财产品的风险揭示书，且已经认真阅读本理财产品完整合同（包括产品风险揭示书、理财产品说明书、投资者权益须知、理财产品投资协议书和理财产品</w:t>
      </w:r>
      <w:r>
        <w:rPr>
          <w:rFonts w:hint="eastAsia" w:ascii="楷体" w:hAnsi="楷体" w:eastAsia="楷体"/>
          <w:sz w:val="24"/>
          <w:szCs w:val="24"/>
          <w:lang w:eastAsia="zh-CN"/>
        </w:rPr>
        <w:t>（代理）销售协议</w:t>
      </w:r>
      <w:r>
        <w:rPr>
          <w:rFonts w:hint="eastAsia" w:ascii="楷体" w:hAnsi="楷体" w:eastAsia="楷体"/>
          <w:sz w:val="24"/>
          <w:szCs w:val="24"/>
        </w:rPr>
        <w:t>书），充分了解并清楚知晓理财产品的风险，愿意承担相关风险，接受本理财产品合同全部约定。本人确认理解投资本理财产品将涉及的所有风险，并将承担且有能力承担该等风险。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风险承受能力不低于本理财产品的风险评级，适合购买本理财产品。如风险承受能力评估已超过一年，</w:t>
      </w:r>
      <w:r>
        <w:rPr>
          <w:rFonts w:ascii="楷体" w:hAnsi="楷体" w:eastAsia="楷体"/>
          <w:sz w:val="24"/>
          <w:szCs w:val="24"/>
        </w:rPr>
        <w:t>或</w:t>
      </w:r>
      <w:r>
        <w:rPr>
          <w:rFonts w:hint="eastAsia" w:ascii="楷体" w:hAnsi="楷体" w:eastAsia="楷体"/>
          <w:sz w:val="24"/>
          <w:szCs w:val="24"/>
        </w:rPr>
        <w:t>影响风险承受能力的因素发生变化，本人将及时完成风险承受能力的重新评估。</w:t>
      </w:r>
    </w:p>
    <w:p>
      <w:pPr>
        <w:ind w:firstLine="480" w:firstLineChars="200"/>
        <w:rPr>
          <w:rFonts w:hint="eastAsia" w:ascii="楷体" w:hAnsi="楷体" w:eastAsia="楷体"/>
          <w:b/>
          <w:sz w:val="24"/>
          <w:szCs w:val="24"/>
          <w:lang w:eastAsia="zh-CN"/>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b/>
          <w:sz w:val="24"/>
          <w:szCs w:val="24"/>
          <w:lang w:eastAsia="zh-CN"/>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0" w:firstLineChars="200"/>
        <w:outlineLvl w:val="0"/>
        <w:rPr>
          <w:rFonts w:hint="eastAsia" w:ascii="楷体" w:hAnsi="楷体" w:eastAsia="楷体"/>
          <w:sz w:val="28"/>
          <w:szCs w:val="28"/>
        </w:rPr>
      </w:pPr>
      <w:r>
        <w:rPr>
          <w:rFonts w:hint="eastAsia" w:ascii="楷体" w:hAnsi="楷体" w:eastAsia="楷体"/>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机构已经收到本理财产品的风险揭示书，且已经认真阅读本理财产品完整合同（包括风险揭示书、理财产品说明书、投资者权益须知、理财产品投资协议书和理财产品</w:t>
      </w:r>
      <w:r>
        <w:rPr>
          <w:rFonts w:hint="eastAsia" w:ascii="楷体" w:hAnsi="楷体" w:eastAsia="楷体"/>
          <w:sz w:val="24"/>
          <w:szCs w:val="24"/>
          <w:lang w:eastAsia="zh-CN"/>
        </w:rPr>
        <w:t>（代理）销售协议</w:t>
      </w:r>
      <w:r>
        <w:rPr>
          <w:rFonts w:hint="eastAsia" w:ascii="楷体" w:hAnsi="楷体" w:eastAsia="楷体"/>
          <w:sz w:val="24"/>
          <w:szCs w:val="24"/>
        </w:rPr>
        <w:t>书）</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。本机构承诺理财购买资金来源合法合规，本机构将配合管理人及销售机构开展反洗钱、反恐怖融资及非居民金融账户涉税信息尽职调查等工作。</w:t>
      </w: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机构投资者（盖章）：</w:t>
      </w:r>
    </w:p>
    <w:p>
      <w:pPr>
        <w:rPr>
          <w:rFonts w:ascii="楷体" w:hAnsi="楷体" w:eastAsia="楷体"/>
          <w:sz w:val="24"/>
          <w:szCs w:val="24"/>
        </w:rPr>
      </w:pPr>
    </w:p>
    <w:p>
      <w:pPr>
        <w:rPr>
          <w:rFonts w:hint="eastAsia" w:ascii="楷体" w:hAnsi="楷体" w:eastAsia="楷体" w:cs="Times New Roman"/>
          <w:sz w:val="24"/>
          <w:szCs w:val="24"/>
        </w:rPr>
      </w:pPr>
      <w:r>
        <w:rPr>
          <w:rFonts w:hint="eastAsia" w:ascii="楷体" w:hAnsi="楷体" w:eastAsia="楷体" w:cs="Times New Roman"/>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ind w:firstLine="360" w:firstLineChars="150"/>
        <w:jc w:val="right"/>
        <w:rPr>
          <w:rFonts w:hint="eastAsia" w:ascii="楷体" w:hAnsi="楷体" w:eastAsia="楷体"/>
          <w:sz w:val="24"/>
          <w:szCs w:val="24"/>
        </w:rPr>
      </w:pPr>
    </w:p>
    <w:p>
      <w:pPr>
        <w:ind w:firstLine="360" w:firstLineChars="150"/>
        <w:jc w:val="right"/>
        <w:rPr>
          <w:rFonts w:hint="eastAsia" w:ascii="楷体" w:hAnsi="楷体" w:eastAsia="楷体"/>
          <w:sz w:val="24"/>
          <w:szCs w:val="24"/>
        </w:rPr>
      </w:pPr>
    </w:p>
    <w:p>
      <w:pPr>
        <w:ind w:firstLine="360" w:firstLineChars="150"/>
        <w:jc w:val="right"/>
        <w:rPr>
          <w:rFonts w:hint="eastAsia" w:ascii="楷体" w:hAnsi="楷体" w:eastAsia="楷体"/>
          <w:sz w:val="24"/>
          <w:szCs w:val="24"/>
        </w:rPr>
      </w:pPr>
    </w:p>
    <w:p>
      <w:pPr>
        <w:ind w:firstLine="360" w:firstLineChars="150"/>
        <w:jc w:val="right"/>
        <w:rPr>
          <w:rFonts w:hint="eastAsia" w:ascii="楷体" w:hAnsi="楷体" w:eastAsia="楷体"/>
          <w:sz w:val="24"/>
          <w:szCs w:val="24"/>
        </w:rPr>
      </w:pPr>
    </w:p>
    <w:p>
      <w:pPr>
        <w:ind w:firstLine="360" w:firstLineChars="150"/>
        <w:jc w:val="right"/>
        <w:rPr>
          <w:rFonts w:hint="eastAsia" w:ascii="楷体" w:hAnsi="楷体" w:eastAsia="楷体"/>
          <w:sz w:val="24"/>
          <w:szCs w:val="24"/>
        </w:rPr>
      </w:pPr>
    </w:p>
    <w:p>
      <w:pPr>
        <w:ind w:firstLine="360" w:firstLineChars="150"/>
        <w:jc w:val="right"/>
        <w:rPr>
          <w:rFonts w:hint="eastAsia" w:ascii="楷体" w:hAnsi="楷体" w:eastAsia="楷体"/>
          <w:sz w:val="24"/>
          <w:szCs w:val="24"/>
        </w:rPr>
      </w:pPr>
    </w:p>
    <w:p>
      <w:pPr>
        <w:ind w:firstLine="360" w:firstLineChars="150"/>
        <w:jc w:val="right"/>
        <w:rPr>
          <w:rFonts w:hint="eastAsia" w:ascii="楷体" w:hAnsi="楷体" w:eastAsia="楷体"/>
          <w:sz w:val="24"/>
          <w:szCs w:val="24"/>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2"/>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ind w:firstLine="360" w:firstLineChars="150"/>
        <w:jc w:val="right"/>
        <w:rPr>
          <w:rFonts w:hint="eastAsia" w:ascii="楷体" w:hAnsi="楷体" w:eastAsia="楷体"/>
          <w:sz w:val="24"/>
          <w:szCs w:val="24"/>
        </w:rPr>
      </w:pPr>
      <w:bookmarkStart w:id="0" w:name="_GoBack"/>
      <w:bookmarkEnd w:id="0"/>
    </w:p>
    <w:p>
      <w:pPr>
        <w:pStyle w:val="12"/>
        <w:spacing w:before="0" w:beforeAutospacing="0" w:after="0" w:afterAutospacing="0" w:line="360" w:lineRule="auto"/>
        <w:rPr>
          <w:rFonts w:hint="eastAsia" w:ascii="楷体" w:hAnsi="楷体" w:eastAsia="楷体"/>
        </w:rPr>
      </w:pPr>
    </w:p>
    <w:p>
      <w:pPr>
        <w:autoSpaceDE w:val="0"/>
        <w:autoSpaceDN w:val="0"/>
        <w:adjustRightInd w:val="0"/>
        <w:rPr>
          <w:rFonts w:ascii="楷体" w:hAnsi="楷体" w:eastAsia="楷体"/>
          <w:sz w:val="24"/>
          <w:szCs w:val="24"/>
        </w:rPr>
      </w:pPr>
    </w:p>
    <w:p>
      <w:pPr>
        <w:autoSpaceDE w:val="0"/>
        <w:autoSpaceDN w:val="0"/>
        <w:adjustRightInd w:val="0"/>
        <w:rPr>
          <w:rFonts w:hint="eastAsia" w:ascii="楷体" w:hAnsi="楷体" w:eastAsia="楷体"/>
          <w:sz w:val="24"/>
          <w:szCs w:val="24"/>
        </w:rPr>
      </w:pPr>
    </w:p>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t xml:space="preserve"> </w:t>
      </w:r>
      <w:r>
        <w:rPr>
          <w:rFonts w:hint="eastAsia" w:ascii="楷体" w:hAnsi="楷体" w:eastAsia="楷体" w:cs="楷体"/>
          <w:lang w:val="en-US" w:eastAsia="zh-CN"/>
        </w:rPr>
        <w:t>投资者权益须知的名称和内容以销售机构实际使用为准。</w:t>
      </w:r>
    </w:p>
  </w:footnote>
  <w:footnote w:id="1">
    <w:p>
      <w:pPr>
        <w:pStyle w:val="11"/>
        <w:rPr>
          <w:rFonts w:hint="eastAsia"/>
        </w:rPr>
      </w:pPr>
      <w:r>
        <w:rPr>
          <w:rStyle w:val="20"/>
        </w:rPr>
        <w:footnoteRef/>
      </w:r>
      <w:r>
        <w:t xml:space="preserve"> </w:t>
      </w:r>
      <w:r>
        <w:rPr>
          <w:rFonts w:hint="eastAsia" w:ascii="楷体" w:hAnsi="楷体" w:eastAsia="楷体" w:cs="楷体"/>
          <w:lang w:val="en-US" w:eastAsia="zh-CN"/>
        </w:rPr>
        <w:t>理财产品（代理）销售协议书的名称和内容以销售机构实际使用为准。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77D34"/>
    <w:multiLevelType w:val="multilevel"/>
    <w:tmpl w:val="06977D34"/>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1">
    <w:nsid w:val="0A0768A9"/>
    <w:multiLevelType w:val="multilevel"/>
    <w:tmpl w:val="0A0768A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3FC765AA"/>
    <w:multiLevelType w:val="multilevel"/>
    <w:tmpl w:val="3FC765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5"/>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2160"/>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4D0"/>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1C"/>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894F2A"/>
    <w:rsid w:val="01DB6405"/>
    <w:rsid w:val="01F11ABC"/>
    <w:rsid w:val="028D41D3"/>
    <w:rsid w:val="03123218"/>
    <w:rsid w:val="034C42F7"/>
    <w:rsid w:val="035B6DAA"/>
    <w:rsid w:val="035F7A9F"/>
    <w:rsid w:val="03E41F47"/>
    <w:rsid w:val="04692EAF"/>
    <w:rsid w:val="04F56A45"/>
    <w:rsid w:val="050D76F3"/>
    <w:rsid w:val="053B0F21"/>
    <w:rsid w:val="05AA0F56"/>
    <w:rsid w:val="05F8402C"/>
    <w:rsid w:val="06404DBE"/>
    <w:rsid w:val="066F069C"/>
    <w:rsid w:val="068210AE"/>
    <w:rsid w:val="069A0A29"/>
    <w:rsid w:val="06E22BD9"/>
    <w:rsid w:val="06E57441"/>
    <w:rsid w:val="07321B66"/>
    <w:rsid w:val="074D2DE5"/>
    <w:rsid w:val="07AC00A3"/>
    <w:rsid w:val="07F93488"/>
    <w:rsid w:val="083C0963"/>
    <w:rsid w:val="088E201C"/>
    <w:rsid w:val="08D6619F"/>
    <w:rsid w:val="09167328"/>
    <w:rsid w:val="09831EA8"/>
    <w:rsid w:val="09BA24EE"/>
    <w:rsid w:val="09E828BD"/>
    <w:rsid w:val="0A093052"/>
    <w:rsid w:val="0A172526"/>
    <w:rsid w:val="0A2F27BA"/>
    <w:rsid w:val="0A792365"/>
    <w:rsid w:val="0A7B672E"/>
    <w:rsid w:val="0B095527"/>
    <w:rsid w:val="0BC72540"/>
    <w:rsid w:val="0CC84AD5"/>
    <w:rsid w:val="0CDC6727"/>
    <w:rsid w:val="0CE43B33"/>
    <w:rsid w:val="0D1B67E4"/>
    <w:rsid w:val="0D36186F"/>
    <w:rsid w:val="0D441E2F"/>
    <w:rsid w:val="0D917317"/>
    <w:rsid w:val="0EFB4523"/>
    <w:rsid w:val="0F3320FE"/>
    <w:rsid w:val="0F3C4F8C"/>
    <w:rsid w:val="0F980C8C"/>
    <w:rsid w:val="0FF627EB"/>
    <w:rsid w:val="10241236"/>
    <w:rsid w:val="10255C74"/>
    <w:rsid w:val="10AE1F6E"/>
    <w:rsid w:val="10BA7A9A"/>
    <w:rsid w:val="10E20B40"/>
    <w:rsid w:val="10E55ACF"/>
    <w:rsid w:val="11365A23"/>
    <w:rsid w:val="11803EEC"/>
    <w:rsid w:val="12DA7DBF"/>
    <w:rsid w:val="12DB73B5"/>
    <w:rsid w:val="132D0579"/>
    <w:rsid w:val="13422C29"/>
    <w:rsid w:val="14186104"/>
    <w:rsid w:val="14193B86"/>
    <w:rsid w:val="147565E8"/>
    <w:rsid w:val="147A2925"/>
    <w:rsid w:val="149C3B43"/>
    <w:rsid w:val="152378E9"/>
    <w:rsid w:val="15482555"/>
    <w:rsid w:val="15713442"/>
    <w:rsid w:val="159B030A"/>
    <w:rsid w:val="1623546D"/>
    <w:rsid w:val="16BD1292"/>
    <w:rsid w:val="16DD20EE"/>
    <w:rsid w:val="17236EA9"/>
    <w:rsid w:val="17673155"/>
    <w:rsid w:val="179E4EFF"/>
    <w:rsid w:val="17C2605E"/>
    <w:rsid w:val="18147C0E"/>
    <w:rsid w:val="1818260C"/>
    <w:rsid w:val="18194096"/>
    <w:rsid w:val="1923144C"/>
    <w:rsid w:val="19690AEF"/>
    <w:rsid w:val="19EB055A"/>
    <w:rsid w:val="1A1820B0"/>
    <w:rsid w:val="1A282F70"/>
    <w:rsid w:val="1A742884"/>
    <w:rsid w:val="1A807D93"/>
    <w:rsid w:val="1A896419"/>
    <w:rsid w:val="1B6B4492"/>
    <w:rsid w:val="1BA32D12"/>
    <w:rsid w:val="1C0022EB"/>
    <w:rsid w:val="1C1F3F30"/>
    <w:rsid w:val="1C9329E4"/>
    <w:rsid w:val="1CD062D3"/>
    <w:rsid w:val="1D722C29"/>
    <w:rsid w:val="1D740FDF"/>
    <w:rsid w:val="1DB3691F"/>
    <w:rsid w:val="1DC41D93"/>
    <w:rsid w:val="1EDB2389"/>
    <w:rsid w:val="1F264229"/>
    <w:rsid w:val="1F421668"/>
    <w:rsid w:val="1FA248EA"/>
    <w:rsid w:val="20222D7A"/>
    <w:rsid w:val="20517871"/>
    <w:rsid w:val="205C4454"/>
    <w:rsid w:val="207E30C8"/>
    <w:rsid w:val="209802F7"/>
    <w:rsid w:val="21430D20"/>
    <w:rsid w:val="221F520B"/>
    <w:rsid w:val="22484472"/>
    <w:rsid w:val="22BE600E"/>
    <w:rsid w:val="22CD0827"/>
    <w:rsid w:val="23C36E31"/>
    <w:rsid w:val="23CF16CE"/>
    <w:rsid w:val="23D46080"/>
    <w:rsid w:val="23EC7071"/>
    <w:rsid w:val="24080ADB"/>
    <w:rsid w:val="24165D91"/>
    <w:rsid w:val="24286441"/>
    <w:rsid w:val="2443660E"/>
    <w:rsid w:val="24EC3EDD"/>
    <w:rsid w:val="25144380"/>
    <w:rsid w:val="257E4161"/>
    <w:rsid w:val="25D7114F"/>
    <w:rsid w:val="26526142"/>
    <w:rsid w:val="2692127C"/>
    <w:rsid w:val="26C72E54"/>
    <w:rsid w:val="275C5122"/>
    <w:rsid w:val="279D3081"/>
    <w:rsid w:val="286062A0"/>
    <w:rsid w:val="289A6B28"/>
    <w:rsid w:val="28D5368A"/>
    <w:rsid w:val="28EF4A33"/>
    <w:rsid w:val="2A261060"/>
    <w:rsid w:val="2B597C79"/>
    <w:rsid w:val="2BBE6396"/>
    <w:rsid w:val="2C210873"/>
    <w:rsid w:val="2C322309"/>
    <w:rsid w:val="2C6E0973"/>
    <w:rsid w:val="2CAF7663"/>
    <w:rsid w:val="2D0451C1"/>
    <w:rsid w:val="2D0C083F"/>
    <w:rsid w:val="2D6F33C4"/>
    <w:rsid w:val="2E1D65A5"/>
    <w:rsid w:val="2EEA59BC"/>
    <w:rsid w:val="2F9B2DEA"/>
    <w:rsid w:val="2FB45068"/>
    <w:rsid w:val="301342D0"/>
    <w:rsid w:val="301E0463"/>
    <w:rsid w:val="3074534F"/>
    <w:rsid w:val="30E03740"/>
    <w:rsid w:val="31192501"/>
    <w:rsid w:val="31317C71"/>
    <w:rsid w:val="316E0281"/>
    <w:rsid w:val="317317D4"/>
    <w:rsid w:val="32135324"/>
    <w:rsid w:val="33A02356"/>
    <w:rsid w:val="344F51FB"/>
    <w:rsid w:val="34591CB0"/>
    <w:rsid w:val="346202B8"/>
    <w:rsid w:val="34F44E9B"/>
    <w:rsid w:val="355F671C"/>
    <w:rsid w:val="3695454D"/>
    <w:rsid w:val="36F87EB4"/>
    <w:rsid w:val="36FC5244"/>
    <w:rsid w:val="371A38A1"/>
    <w:rsid w:val="37C80F78"/>
    <w:rsid w:val="37D37E88"/>
    <w:rsid w:val="37FA220F"/>
    <w:rsid w:val="380450EE"/>
    <w:rsid w:val="38230259"/>
    <w:rsid w:val="38653581"/>
    <w:rsid w:val="387114B8"/>
    <w:rsid w:val="388A3751"/>
    <w:rsid w:val="38932133"/>
    <w:rsid w:val="39927953"/>
    <w:rsid w:val="39B147F2"/>
    <w:rsid w:val="39D349ED"/>
    <w:rsid w:val="39D914B2"/>
    <w:rsid w:val="39D96DB9"/>
    <w:rsid w:val="3A271F97"/>
    <w:rsid w:val="3A3F437E"/>
    <w:rsid w:val="3A892518"/>
    <w:rsid w:val="3AD63690"/>
    <w:rsid w:val="3C3B1DED"/>
    <w:rsid w:val="3C893E03"/>
    <w:rsid w:val="3C8E2667"/>
    <w:rsid w:val="3D2D0EEC"/>
    <w:rsid w:val="3D3F6C08"/>
    <w:rsid w:val="3E177435"/>
    <w:rsid w:val="3F0B3D6C"/>
    <w:rsid w:val="3F607858"/>
    <w:rsid w:val="3F6F05A5"/>
    <w:rsid w:val="3FDB53BE"/>
    <w:rsid w:val="406A2DE8"/>
    <w:rsid w:val="40997BBB"/>
    <w:rsid w:val="40BD701A"/>
    <w:rsid w:val="413E4F19"/>
    <w:rsid w:val="414E51B4"/>
    <w:rsid w:val="419B49AF"/>
    <w:rsid w:val="41B81859"/>
    <w:rsid w:val="41D378AA"/>
    <w:rsid w:val="4260438F"/>
    <w:rsid w:val="42A15615"/>
    <w:rsid w:val="435F5560"/>
    <w:rsid w:val="438318D0"/>
    <w:rsid w:val="44420F54"/>
    <w:rsid w:val="44BC6C1F"/>
    <w:rsid w:val="454B743A"/>
    <w:rsid w:val="45AA59A9"/>
    <w:rsid w:val="45CE6533"/>
    <w:rsid w:val="46064560"/>
    <w:rsid w:val="463B61AA"/>
    <w:rsid w:val="466325D2"/>
    <w:rsid w:val="46CF4EB2"/>
    <w:rsid w:val="472628AA"/>
    <w:rsid w:val="47F723EA"/>
    <w:rsid w:val="48335228"/>
    <w:rsid w:val="487C587B"/>
    <w:rsid w:val="497A2F9B"/>
    <w:rsid w:val="498A4734"/>
    <w:rsid w:val="49901E45"/>
    <w:rsid w:val="49E97FD0"/>
    <w:rsid w:val="4A412CE6"/>
    <w:rsid w:val="4A503956"/>
    <w:rsid w:val="4A8859DD"/>
    <w:rsid w:val="4AAA0106"/>
    <w:rsid w:val="4AC7413B"/>
    <w:rsid w:val="4ACF7A80"/>
    <w:rsid w:val="4AD312A4"/>
    <w:rsid w:val="4B69543C"/>
    <w:rsid w:val="4C0E5BAD"/>
    <w:rsid w:val="4C304B0A"/>
    <w:rsid w:val="4C6528E3"/>
    <w:rsid w:val="4CC53C01"/>
    <w:rsid w:val="4D1B6B8E"/>
    <w:rsid w:val="4D1C4610"/>
    <w:rsid w:val="4D4562FA"/>
    <w:rsid w:val="4D79686E"/>
    <w:rsid w:val="4D86215A"/>
    <w:rsid w:val="4DB97C92"/>
    <w:rsid w:val="4DBB5113"/>
    <w:rsid w:val="4DD63874"/>
    <w:rsid w:val="4DFF7EC5"/>
    <w:rsid w:val="4E3C4336"/>
    <w:rsid w:val="4E697FB9"/>
    <w:rsid w:val="4EDB32EC"/>
    <w:rsid w:val="4F590867"/>
    <w:rsid w:val="4F901B16"/>
    <w:rsid w:val="4FBE1D4C"/>
    <w:rsid w:val="4FFD46C8"/>
    <w:rsid w:val="507A5BD7"/>
    <w:rsid w:val="51B5729C"/>
    <w:rsid w:val="52D2676F"/>
    <w:rsid w:val="52F86CEE"/>
    <w:rsid w:val="531A485A"/>
    <w:rsid w:val="53354F4F"/>
    <w:rsid w:val="5370643A"/>
    <w:rsid w:val="54AF247D"/>
    <w:rsid w:val="551940AB"/>
    <w:rsid w:val="561D6D68"/>
    <w:rsid w:val="5675467A"/>
    <w:rsid w:val="56A542C4"/>
    <w:rsid w:val="57124441"/>
    <w:rsid w:val="57D55747"/>
    <w:rsid w:val="5860738B"/>
    <w:rsid w:val="587F3808"/>
    <w:rsid w:val="58B66B25"/>
    <w:rsid w:val="58C26FFB"/>
    <w:rsid w:val="58D44BA5"/>
    <w:rsid w:val="596F7548"/>
    <w:rsid w:val="59887F4C"/>
    <w:rsid w:val="59B7106E"/>
    <w:rsid w:val="59E7224F"/>
    <w:rsid w:val="5AB86FE7"/>
    <w:rsid w:val="5ACC69B8"/>
    <w:rsid w:val="5B7754D1"/>
    <w:rsid w:val="5B7B1236"/>
    <w:rsid w:val="5BA11BE8"/>
    <w:rsid w:val="5BE4452E"/>
    <w:rsid w:val="5C771C38"/>
    <w:rsid w:val="5D0E0CB8"/>
    <w:rsid w:val="5D2A0820"/>
    <w:rsid w:val="5DCF39E7"/>
    <w:rsid w:val="5E7601F0"/>
    <w:rsid w:val="5E9C6F69"/>
    <w:rsid w:val="5EC37085"/>
    <w:rsid w:val="5EC91D0B"/>
    <w:rsid w:val="5F3B4569"/>
    <w:rsid w:val="5F3B7713"/>
    <w:rsid w:val="5F587925"/>
    <w:rsid w:val="60733F65"/>
    <w:rsid w:val="612742F0"/>
    <w:rsid w:val="6135041E"/>
    <w:rsid w:val="613539FE"/>
    <w:rsid w:val="61714ADD"/>
    <w:rsid w:val="61C65746"/>
    <w:rsid w:val="61CB6793"/>
    <w:rsid w:val="61E34C31"/>
    <w:rsid w:val="61EE6E14"/>
    <w:rsid w:val="61FC34BA"/>
    <w:rsid w:val="61FD304F"/>
    <w:rsid w:val="62030149"/>
    <w:rsid w:val="62090166"/>
    <w:rsid w:val="621A6FE4"/>
    <w:rsid w:val="623A2FE4"/>
    <w:rsid w:val="62523DDE"/>
    <w:rsid w:val="62693A03"/>
    <w:rsid w:val="62F87114"/>
    <w:rsid w:val="63045E00"/>
    <w:rsid w:val="639826A5"/>
    <w:rsid w:val="639C0AAF"/>
    <w:rsid w:val="63C03FB5"/>
    <w:rsid w:val="644508F7"/>
    <w:rsid w:val="649B41F4"/>
    <w:rsid w:val="649C0948"/>
    <w:rsid w:val="64C2705A"/>
    <w:rsid w:val="64D231FC"/>
    <w:rsid w:val="65223B9F"/>
    <w:rsid w:val="652724A3"/>
    <w:rsid w:val="655F12A6"/>
    <w:rsid w:val="656343E8"/>
    <w:rsid w:val="656B48D2"/>
    <w:rsid w:val="65834E5D"/>
    <w:rsid w:val="65A91B6B"/>
    <w:rsid w:val="65C34A9A"/>
    <w:rsid w:val="65C91E0B"/>
    <w:rsid w:val="65D07218"/>
    <w:rsid w:val="66006AAA"/>
    <w:rsid w:val="66185CA1"/>
    <w:rsid w:val="66B446D0"/>
    <w:rsid w:val="66E80D8B"/>
    <w:rsid w:val="674B5D3B"/>
    <w:rsid w:val="67662B31"/>
    <w:rsid w:val="67A84C2D"/>
    <w:rsid w:val="688B0AAE"/>
    <w:rsid w:val="689F3B33"/>
    <w:rsid w:val="68B46056"/>
    <w:rsid w:val="69CF4224"/>
    <w:rsid w:val="6A207FAF"/>
    <w:rsid w:val="6A691709"/>
    <w:rsid w:val="6BCE214B"/>
    <w:rsid w:val="6BDF7488"/>
    <w:rsid w:val="6C2C1B05"/>
    <w:rsid w:val="6C423CA9"/>
    <w:rsid w:val="6CAE7C56"/>
    <w:rsid w:val="6CC23729"/>
    <w:rsid w:val="6CC35E26"/>
    <w:rsid w:val="6D3348B6"/>
    <w:rsid w:val="6D3B484F"/>
    <w:rsid w:val="6D4F1537"/>
    <w:rsid w:val="6D5B21F7"/>
    <w:rsid w:val="6DBA4702"/>
    <w:rsid w:val="6E245CB3"/>
    <w:rsid w:val="6E5D70B6"/>
    <w:rsid w:val="6E686F02"/>
    <w:rsid w:val="6ECC6BD6"/>
    <w:rsid w:val="6ED06D35"/>
    <w:rsid w:val="703520EE"/>
    <w:rsid w:val="70776C66"/>
    <w:rsid w:val="70B20AAE"/>
    <w:rsid w:val="715759B8"/>
    <w:rsid w:val="715D0235"/>
    <w:rsid w:val="716F1EED"/>
    <w:rsid w:val="718332B2"/>
    <w:rsid w:val="718D5813"/>
    <w:rsid w:val="71D823E8"/>
    <w:rsid w:val="725A4F74"/>
    <w:rsid w:val="729D36A9"/>
    <w:rsid w:val="732F77A5"/>
    <w:rsid w:val="73A81956"/>
    <w:rsid w:val="73A90ADD"/>
    <w:rsid w:val="743C276B"/>
    <w:rsid w:val="746C0894"/>
    <w:rsid w:val="75097E52"/>
    <w:rsid w:val="751112ED"/>
    <w:rsid w:val="752F64FC"/>
    <w:rsid w:val="754B297D"/>
    <w:rsid w:val="762940BB"/>
    <w:rsid w:val="767B2E1A"/>
    <w:rsid w:val="772E2A0F"/>
    <w:rsid w:val="78577D18"/>
    <w:rsid w:val="78A42D63"/>
    <w:rsid w:val="78E47CFE"/>
    <w:rsid w:val="79EC6615"/>
    <w:rsid w:val="7A721A4A"/>
    <w:rsid w:val="7AE54953"/>
    <w:rsid w:val="7AF57D5B"/>
    <w:rsid w:val="7B17785C"/>
    <w:rsid w:val="7B517D5F"/>
    <w:rsid w:val="7BAD117F"/>
    <w:rsid w:val="7BB80A08"/>
    <w:rsid w:val="7BE06349"/>
    <w:rsid w:val="7C6C24A2"/>
    <w:rsid w:val="7CE617A9"/>
    <w:rsid w:val="7D1B064F"/>
    <w:rsid w:val="7D6626DD"/>
    <w:rsid w:val="7D942C2D"/>
    <w:rsid w:val="7DE30098"/>
    <w:rsid w:val="7DE85CBF"/>
    <w:rsid w:val="7E162593"/>
    <w:rsid w:val="7E7B29D6"/>
    <w:rsid w:val="7EFA6C2D"/>
    <w:rsid w:val="7F3E12C6"/>
    <w:rsid w:val="7F9D7C46"/>
    <w:rsid w:val="7FB42512"/>
    <w:rsid w:val="7FD14B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35833</Words>
  <Characters>36821</Characters>
  <Lines>235</Lines>
  <Paragraphs>66</Paragraphs>
  <TotalTime>0</TotalTime>
  <ScaleCrop>false</ScaleCrop>
  <LinksUpToDate>false</LinksUpToDate>
  <CharactersWithSpaces>37056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user</cp:lastModifiedBy>
  <cp:lastPrinted>2022-07-26T07:00:00Z</cp:lastPrinted>
  <dcterms:modified xsi:type="dcterms:W3CDTF">2025-09-05T03:16:11Z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AEC4A041110A4F4381288718A25B7270</vt:lpwstr>
  </property>
</Properties>
</file>