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snapToGrid/>
        <w:spacing w:after="0"/>
        <w:jc w:val="center"/>
        <w:rPr>
          <w:rFonts w:ascii="宋体" w:hAnsi="宋体" w:eastAsia="宋体" w:cs="宋体"/>
          <w:sz w:val="24"/>
          <w:szCs w:val="24"/>
        </w:rPr>
      </w:pPr>
      <w:r>
        <w:rPr>
          <w:rFonts w:hint="eastAsia" w:ascii="宋体" w:hAnsi="宋体" w:eastAsia="宋体" w:cs="宋体"/>
          <w:b/>
          <w:bCs/>
          <w:sz w:val="36"/>
        </w:rPr>
        <w:t>关于代销</w:t>
      </w:r>
      <w:r>
        <w:rPr>
          <w:rFonts w:hint="eastAsia" w:ascii="宋体" w:hAnsi="宋体" w:eastAsia="宋体" w:cs="宋体"/>
          <w:b/>
          <w:bCs/>
          <w:sz w:val="36"/>
          <w:lang w:eastAsia="zh-CN"/>
        </w:rPr>
        <w:t>华夏理财固定收益债权型封闭式理财产品249号</w:t>
      </w:r>
      <w:r>
        <w:rPr>
          <w:rFonts w:hint="eastAsia" w:ascii="宋体" w:hAnsi="宋体" w:eastAsia="宋体" w:cs="宋体"/>
          <w:b/>
          <w:bCs/>
          <w:sz w:val="36"/>
        </w:rPr>
        <w:t>的通知</w:t>
      </w:r>
    </w:p>
    <w:p>
      <w:pPr>
        <w:adjustRightInd/>
        <w:snapToGrid/>
        <w:spacing w:after="0" w:line="555" w:lineRule="atLeast"/>
        <w:rPr>
          <w:rFonts w:ascii="仿宋_GB2312" w:hAnsi="微软雅黑" w:eastAsia="仿宋_GB2312" w:cs="宋体"/>
          <w:color w:val="000000"/>
          <w:sz w:val="32"/>
          <w:szCs w:val="32"/>
        </w:rPr>
      </w:pPr>
    </w:p>
    <w:p>
      <w:pPr>
        <w:adjustRightInd/>
        <w:snapToGrid/>
        <w:spacing w:after="0" w:line="555" w:lineRule="atLeast"/>
        <w:rPr>
          <w:rFonts w:ascii="微软雅黑" w:hAnsi="微软雅黑" w:cs="宋体"/>
          <w:color w:val="000000"/>
          <w:sz w:val="30"/>
          <w:szCs w:val="30"/>
        </w:rPr>
      </w:pPr>
      <w:r>
        <w:rPr>
          <w:rFonts w:hint="eastAsia" w:ascii="仿宋_GB2312" w:hAnsi="微软雅黑" w:eastAsia="仿宋_GB2312" w:cs="宋体"/>
          <w:color w:val="000000"/>
          <w:sz w:val="32"/>
          <w:szCs w:val="32"/>
        </w:rPr>
        <w:t>各分(支)行、总行营业部：</w:t>
      </w:r>
    </w:p>
    <w:p>
      <w:pPr>
        <w:adjustRightInd/>
        <w:snapToGrid/>
        <w:spacing w:after="0"/>
        <w:ind w:firstLine="630"/>
        <w:rPr>
          <w:rFonts w:hint="eastAsia" w:ascii="仿宋_GB2312" w:hAnsi="微软雅黑" w:eastAsia="仿宋_GB2312" w:cs="宋体"/>
          <w:color w:val="000000"/>
          <w:sz w:val="32"/>
          <w:szCs w:val="32"/>
        </w:rPr>
      </w:pPr>
      <w:r>
        <w:rPr>
          <w:rFonts w:hint="eastAsia" w:ascii="仿宋_GB2312" w:hAnsi="微软雅黑" w:eastAsia="仿宋_GB2312" w:cs="宋体"/>
          <w:color w:val="000000"/>
          <w:sz w:val="32"/>
          <w:szCs w:val="32"/>
        </w:rPr>
        <w:t>我行</w:t>
      </w:r>
      <w:r>
        <w:rPr>
          <w:rFonts w:hint="eastAsia" w:ascii="仿宋_GB2312" w:hAnsi="微软雅黑" w:eastAsia="仿宋_GB2312" w:cs="宋体"/>
          <w:sz w:val="32"/>
          <w:szCs w:val="32"/>
        </w:rPr>
        <w:t>将于</w:t>
      </w:r>
      <w:r>
        <w:rPr>
          <w:rFonts w:hint="eastAsia" w:ascii="仿宋_GB2312" w:hAnsi="微软雅黑" w:eastAsia="仿宋_GB2312" w:cs="宋体"/>
          <w:sz w:val="32"/>
          <w:szCs w:val="32"/>
          <w:lang w:eastAsia="zh-CN"/>
        </w:rPr>
        <w:t>2024年02月01日起代销</w:t>
      </w:r>
      <w:r>
        <w:rPr>
          <w:rFonts w:hint="eastAsia" w:ascii="仿宋_GB2312" w:hAnsi="仿宋_GB2312" w:eastAsia="仿宋_GB2312" w:cs="仿宋_GB2312"/>
          <w:color w:val="FF0000"/>
          <w:sz w:val="32"/>
          <w:szCs w:val="32"/>
          <w:lang w:eastAsia="zh-CN"/>
        </w:rPr>
        <w:t>华夏理财有限责任公司</w:t>
      </w:r>
      <w:r>
        <w:rPr>
          <w:rFonts w:hint="eastAsia" w:ascii="仿宋_GB2312" w:hAnsi="微软雅黑" w:eastAsia="仿宋_GB2312" w:cs="宋体"/>
          <w:sz w:val="32"/>
          <w:szCs w:val="32"/>
          <w:lang w:eastAsia="zh-CN"/>
        </w:rPr>
        <w:t>发行的固定收益债权型封闭式理财产品249号</w:t>
      </w:r>
      <w:r>
        <w:rPr>
          <w:rFonts w:hint="eastAsia" w:ascii="仿宋_GB2312" w:hAnsi="微软雅黑" w:eastAsia="仿宋_GB2312" w:cs="宋体"/>
          <w:sz w:val="32"/>
          <w:szCs w:val="32"/>
        </w:rPr>
        <w:t>，节假日正</w:t>
      </w:r>
      <w:r>
        <w:rPr>
          <w:rFonts w:hint="eastAsia" w:ascii="仿宋_GB2312" w:hAnsi="微软雅黑" w:eastAsia="仿宋_GB2312" w:cs="宋体"/>
          <w:color w:val="000000"/>
          <w:sz w:val="32"/>
          <w:szCs w:val="32"/>
        </w:rPr>
        <w:t>常销售，目前只在</w:t>
      </w:r>
      <w:r>
        <w:rPr>
          <w:rFonts w:hint="eastAsia" w:ascii="仿宋_GB2312" w:hAnsi="微软雅黑" w:eastAsia="仿宋_GB2312" w:cs="宋体"/>
          <w:b/>
          <w:color w:val="FF0000"/>
          <w:sz w:val="32"/>
          <w:szCs w:val="32"/>
        </w:rPr>
        <w:t>手机银行</w:t>
      </w:r>
      <w:r>
        <w:rPr>
          <w:rFonts w:hint="eastAsia" w:ascii="仿宋_GB2312" w:hAnsi="微软雅黑" w:eastAsia="仿宋_GB2312" w:cs="宋体"/>
          <w:color w:val="000000"/>
          <w:sz w:val="32"/>
          <w:szCs w:val="32"/>
        </w:rPr>
        <w:t>销售。该产品</w:t>
      </w:r>
      <w:r>
        <w:rPr>
          <w:rFonts w:hint="eastAsia" w:ascii="仿宋_GB2312" w:hAnsi="微软雅黑" w:eastAsia="仿宋_GB2312" w:cs="宋体"/>
          <w:b/>
          <w:color w:val="FF0000"/>
          <w:sz w:val="32"/>
          <w:szCs w:val="32"/>
        </w:rPr>
        <w:t>销售服务费率</w:t>
      </w:r>
      <w:r>
        <w:rPr>
          <w:rFonts w:hint="eastAsia" w:ascii="仿宋_GB2312" w:hAnsi="微软雅黑" w:eastAsia="仿宋_GB2312" w:cs="宋体"/>
          <w:b/>
          <w:color w:val="FF0000"/>
          <w:sz w:val="32"/>
          <w:szCs w:val="32"/>
          <w:lang w:eastAsia="zh-CN"/>
        </w:rPr>
        <w:t>0.15%</w:t>
      </w:r>
      <w:r>
        <w:rPr>
          <w:rFonts w:hint="eastAsia" w:ascii="仿宋_GB2312" w:hAnsi="微软雅黑" w:eastAsia="仿宋_GB2312" w:cs="宋体"/>
          <w:b/>
          <w:color w:val="FF0000"/>
          <w:sz w:val="32"/>
          <w:szCs w:val="32"/>
        </w:rPr>
        <w:t>/年</w:t>
      </w:r>
      <w:r>
        <w:rPr>
          <w:rFonts w:hint="eastAsia" w:ascii="仿宋_GB2312" w:hAnsi="微软雅黑" w:eastAsia="仿宋_GB2312" w:cs="宋体"/>
          <w:color w:val="000000"/>
          <w:sz w:val="32"/>
          <w:szCs w:val="32"/>
        </w:rPr>
        <w:t>。部分要素如下：</w:t>
      </w:r>
    </w:p>
    <w:p>
      <w:pPr>
        <w:pStyle w:val="16"/>
        <w:snapToGrid w:val="0"/>
        <w:spacing w:before="156" w:beforeLines="50" w:after="156" w:afterLines="50" w:line="400" w:lineRule="exact"/>
        <w:ind w:firstLine="482" w:firstLineChars="200"/>
        <w:jc w:val="both"/>
        <w:outlineLvl w:val="0"/>
        <w:rPr>
          <w:rFonts w:ascii="Times New Roman" w:eastAsia="黑体" w:cs="Times New Roman"/>
          <w:b/>
          <w:color w:val="auto"/>
        </w:rPr>
      </w:pPr>
    </w:p>
    <w:tbl>
      <w:tblPr>
        <w:tblStyle w:val="7"/>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华夏理财固定收益债权型封闭式理财产品</w:t>
            </w:r>
            <w:r>
              <w:rPr>
                <w:rFonts w:hint="eastAsia" w:ascii="仿宋" w:hAnsi="仿宋" w:eastAsia="仿宋"/>
                <w:b/>
                <w:bCs/>
                <w:szCs w:val="21"/>
                <w:lang w:val="en-US" w:eastAsia="zh-CN"/>
              </w:rPr>
              <w:t>249</w:t>
            </w:r>
            <w:r>
              <w:rPr>
                <w:rFonts w:hint="eastAsia" w:ascii="仿宋" w:hAnsi="仿宋" w:eastAsia="仿宋"/>
                <w:b/>
                <w:bCs/>
                <w:szCs w:val="21"/>
              </w:rPr>
              <w:t>号</w:t>
            </w:r>
          </w:p>
          <w:p>
            <w:pPr>
              <w:adjustRightInd w:val="0"/>
              <w:snapToGrid w:val="0"/>
              <w:spacing w:line="300" w:lineRule="exact"/>
              <w:jc w:val="center"/>
              <w:rPr>
                <w:rFonts w:hint="eastAsia" w:ascii="仿宋" w:hAnsi="仿宋" w:eastAsia="仿宋"/>
                <w:b/>
                <w:bCs/>
                <w:szCs w:val="21"/>
                <w:lang w:eastAsia="zh-CN"/>
              </w:rPr>
            </w:pPr>
            <w:r>
              <w:rPr>
                <w:rFonts w:hint="eastAsia" w:ascii="仿宋" w:hAnsi="仿宋" w:eastAsia="仿宋"/>
                <w:b/>
                <w:bCs/>
                <w:szCs w:val="21"/>
                <w:lang w:eastAsia="zh-CN"/>
              </w:rPr>
              <w:t>A份额简称：“华夏理财固收债权封闭式249号390天A”</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default" w:eastAsia="仿宋"/>
                <w:lang w:val="en-US" w:eastAsia="zh-CN"/>
              </w:rPr>
            </w:pPr>
            <w:r>
              <w:rPr>
                <w:rFonts w:hint="eastAsia" w:ascii="仿宋" w:hAnsi="仿宋" w:eastAsia="仿宋"/>
                <w:bCs/>
                <w:szCs w:val="21"/>
              </w:rPr>
              <w:t>24121249</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A份额代码：24121249A</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keepNext/>
              <w:adjustRightInd w:val="0"/>
              <w:snapToGrid w:val="0"/>
              <w:spacing w:line="300" w:lineRule="exact"/>
              <w:jc w:val="cente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hint="default" w:ascii="仿宋" w:hAnsi="仿宋" w:eastAsia="仿宋"/>
                <w:bCs/>
                <w:szCs w:val="21"/>
                <w:lang w:val="en-US"/>
              </w:rPr>
            </w:pPr>
            <w:r>
              <w:rPr>
                <w:rFonts w:hint="eastAsia" w:ascii="仿宋" w:hAnsi="仿宋" w:eastAsia="仿宋"/>
                <w:bCs/>
                <w:szCs w:val="21"/>
              </w:rPr>
              <w:t>Z7003924000003</w:t>
            </w:r>
          </w:p>
          <w:p>
            <w:pPr>
              <w:keepNext/>
              <w:adjustRightInd w:val="0"/>
              <w:snapToGrid w:val="0"/>
              <w:spacing w:line="300" w:lineRule="exact"/>
              <w:jc w:val="cente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封闭式净值型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4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ascii="仿宋" w:hAnsi="仿宋" w:eastAsia="仿宋"/>
                <w:bCs/>
                <w:szCs w:val="21"/>
                <w:u w:val="single"/>
              </w:rPr>
              <w:t xml:space="preserve"> </w:t>
            </w:r>
            <w:r>
              <w:rPr>
                <w:rFonts w:hint="eastAsia" w:ascii="仿宋" w:hAnsi="仿宋" w:eastAsia="仿宋"/>
                <w:bCs/>
                <w:szCs w:val="21"/>
                <w:u w:val="single"/>
              </w:rPr>
              <w:t>PR2级（中低风险）</w:t>
            </w:r>
            <w:r>
              <w:rPr>
                <w:rFonts w:ascii="仿宋" w:hAnsi="仿宋" w:eastAsia="仿宋"/>
                <w:bCs/>
                <w:szCs w:val="21"/>
                <w:u w:val="single"/>
              </w:rPr>
              <w:t xml:space="preserve"> </w:t>
            </w:r>
            <w:r>
              <w:rPr>
                <w:rFonts w:ascii="仿宋" w:hAnsi="仿宋" w:eastAsia="仿宋"/>
                <w:bCs/>
                <w:szCs w:val="21"/>
              </w:rPr>
              <w:t>理财产品。</w:t>
            </w:r>
          </w:p>
          <w:p>
            <w:pPr>
              <w:adjustRightInd w:val="0"/>
              <w:snapToGrid w:val="0"/>
              <w:spacing w:line="300" w:lineRule="exact"/>
              <w:ind w:firstLine="44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300" w:lineRule="exact"/>
              <w:ind w:firstLine="442" w:firstLineChars="200"/>
              <w:rPr>
                <w:rFonts w:hint="eastAsia" w:ascii="仿宋" w:hAnsi="仿宋" w:eastAsia="仿宋"/>
                <w:b/>
                <w:bCs/>
                <w:szCs w:val="21"/>
                <w:lang w:eastAsia="zh-CN"/>
              </w:rPr>
            </w:pPr>
            <w:r>
              <w:rPr>
                <w:rFonts w:hint="eastAsia" w:ascii="仿宋" w:hAnsi="仿宋" w:eastAsia="仿宋"/>
                <w:b/>
                <w:bCs/>
                <w:szCs w:val="21"/>
              </w:rPr>
              <w:t>本理财产品风险评级为华夏理财自主评定，仅供参考。</w:t>
            </w:r>
          </w:p>
          <w:p>
            <w:pPr>
              <w:adjustRightInd w:val="0"/>
              <w:snapToGrid w:val="0"/>
              <w:spacing w:line="300" w:lineRule="exact"/>
              <w:ind w:firstLine="442" w:firstLineChars="200"/>
              <w:rPr>
                <w:rFonts w:hint="eastAsia" w:ascii="仿宋" w:hAnsi="仿宋" w:eastAsia="仿宋"/>
                <w:b/>
                <w:bCs/>
                <w:szCs w:val="21"/>
                <w:lang w:eastAsia="zh-CN"/>
              </w:rPr>
            </w:pPr>
            <w:r>
              <w:rPr>
                <w:rFonts w:hint="eastAsia" w:ascii="仿宋" w:hAnsi="仿宋" w:eastAsia="仿宋" w:cs="仿宋"/>
                <w:b/>
                <w:bCs/>
                <w:color w:val="FF0000"/>
                <w:sz w:val="22"/>
                <w:szCs w:val="21"/>
                <w:lang w:eastAsia="zh-CN"/>
              </w:rPr>
              <w:t>紫金农商银行对本产品的风险评级为中低风险。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40" w:firstLineChars="200"/>
            </w:pPr>
            <w:r>
              <w:rPr>
                <w:rFonts w:hint="eastAsia" w:ascii="仿宋" w:hAnsi="仿宋" w:eastAsia="仿宋"/>
                <w:bCs/>
                <w:szCs w:val="21"/>
              </w:rPr>
              <w:t>本理财产品通过代理销售机构（以下简称“代销机构”）渠道销售的，理财产品评级应当以代销机构最终披露的评级结果为准。</w:t>
            </w:r>
            <w:r>
              <w:rPr>
                <w:rFonts w:hint="eastAsia" w:ascii="仿宋" w:hAnsi="仿宋" w:eastAsia="仿宋"/>
                <w:szCs w:val="21"/>
              </w:rPr>
              <w:t>代销机构如与华夏理财产品风险评级结果不一致，应当采用对应较高风险等级的评级结果</w:t>
            </w:r>
            <w:r>
              <w:rPr>
                <w:rFonts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40" w:firstLineChars="200"/>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4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ascii="仿宋" w:hAnsi="仿宋" w:eastAsia="仿宋"/>
                <w:bCs/>
                <w:szCs w:val="21"/>
                <w:u w:val="single"/>
              </w:rPr>
              <w:t xml:space="preserve"> </w:t>
            </w:r>
            <w:r>
              <w:rPr>
                <w:rFonts w:hint="eastAsia" w:ascii="仿宋" w:hAnsi="仿宋" w:eastAsia="仿宋"/>
                <w:bCs/>
                <w:szCs w:val="21"/>
                <w:u w:val="single"/>
              </w:rPr>
              <w:t>CR2（稳健型）、CR3（平衡型）、CR4（进取型）、CR5（激进型）</w:t>
            </w:r>
            <w:r>
              <w:rPr>
                <w:rFonts w:ascii="仿宋" w:hAnsi="仿宋" w:eastAsia="仿宋"/>
                <w:bCs/>
                <w:szCs w:val="21"/>
                <w:u w:val="single"/>
              </w:rPr>
              <w:t xml:space="preserve"> </w:t>
            </w:r>
            <w:r>
              <w:rPr>
                <w:rFonts w:hint="eastAsia" w:ascii="仿宋" w:hAnsi="仿宋" w:eastAsia="仿宋"/>
                <w:bCs/>
                <w:szCs w:val="21"/>
              </w:rPr>
              <w:t>的个人投资者。客户风险承受能力评级类型分为：CR1（谨慎型）、CR2（稳健型）、CR3（平衡型）、CR4（进取型）、CR5（激进型）</w:t>
            </w:r>
            <w:r>
              <w:rPr>
                <w:rFonts w:ascii="仿宋" w:hAnsi="仿宋" w:eastAsia="仿宋"/>
                <w:bCs/>
                <w:szCs w:val="21"/>
              </w:rPr>
              <w:t>。</w:t>
            </w:r>
          </w:p>
          <w:p>
            <w:pPr>
              <w:adjustRightInd w:val="0"/>
              <w:snapToGrid w:val="0"/>
              <w:spacing w:line="300" w:lineRule="exact"/>
              <w:ind w:firstLine="440" w:firstLineChars="200"/>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300" w:lineRule="exact"/>
              <w:ind w:firstLine="440" w:firstLineChars="200"/>
              <w:rPr>
                <w:rFonts w:ascii="仿宋" w:hAnsi="仿宋" w:eastAsia="仿宋"/>
                <w:bCs/>
                <w:szCs w:val="21"/>
              </w:rPr>
            </w:pPr>
            <w:r>
              <w:rPr>
                <w:rFonts w:hint="eastAsia" w:ascii="仿宋" w:hAnsi="仿宋" w:eastAsia="仿宋"/>
                <w:bCs/>
                <w:szCs w:val="21"/>
              </w:rPr>
              <w:t>通过代销机构购买的，适合投资者及投资者风险承受能力评估结果以代销机构规定为准。</w:t>
            </w:r>
          </w:p>
          <w:p>
            <w:pPr>
              <w:adjustRightInd w:val="0"/>
              <w:snapToGrid w:val="0"/>
              <w:spacing w:line="300" w:lineRule="exact"/>
              <w:ind w:firstLine="442" w:firstLineChars="200"/>
            </w:pPr>
            <w:r>
              <w:rPr>
                <w:rFonts w:hint="eastAsia" w:ascii="仿宋" w:hAnsi="仿宋" w:eastAsia="仿宋"/>
                <w:b/>
                <w:bCs/>
                <w:szCs w:val="21"/>
              </w:rPr>
              <w:t>华夏理财/代销机构根据</w:t>
            </w:r>
            <w:r>
              <w:rPr>
                <w:rFonts w:hint="eastAsia" w:ascii="仿宋" w:hAnsi="仿宋" w:eastAsia="仿宋"/>
                <w:b/>
                <w:bCs/>
                <w:color w:val="000000"/>
                <w:szCs w:val="21"/>
              </w:rPr>
              <w:t>非机构</w:t>
            </w:r>
            <w:r>
              <w:rPr>
                <w:rFonts w:hint="eastAsia" w:ascii="仿宋" w:hAnsi="仿宋" w:eastAsia="仿宋"/>
                <w:b/>
                <w:bCs/>
                <w:szCs w:val="21"/>
              </w:rPr>
              <w:t>投资者自身提供的信息评估</w:t>
            </w:r>
            <w:r>
              <w:rPr>
                <w:rFonts w:hint="eastAsia" w:ascii="仿宋" w:hAnsi="仿宋" w:eastAsia="仿宋"/>
                <w:b/>
                <w:bCs/>
                <w:color w:val="000000"/>
                <w:szCs w:val="21"/>
              </w:rPr>
              <w:t>非机构</w:t>
            </w:r>
            <w:r>
              <w:rPr>
                <w:rFonts w:hint="eastAsia" w:ascii="仿宋" w:hAnsi="仿宋" w:eastAsia="仿宋"/>
                <w:b/>
                <w:bCs/>
                <w:szCs w:val="21"/>
              </w:rPr>
              <w:t>投资者风险承受能力，因</w:t>
            </w:r>
            <w:r>
              <w:rPr>
                <w:rFonts w:hint="eastAsia" w:ascii="仿宋" w:hAnsi="仿宋" w:eastAsia="仿宋"/>
                <w:b/>
                <w:bCs/>
                <w:color w:val="000000"/>
                <w:szCs w:val="21"/>
              </w:rPr>
              <w:t>非机构</w:t>
            </w:r>
            <w:r>
              <w:rPr>
                <w:rFonts w:hint="eastAsia" w:ascii="仿宋" w:hAnsi="仿宋" w:eastAsia="仿宋"/>
                <w:b/>
                <w:bCs/>
                <w:szCs w:val="21"/>
              </w:rPr>
              <w:t>投资者提供信息不准确或不完整，导致其购买与自己风险承受能力不匹配的理财产品的</w:t>
            </w:r>
            <w:r>
              <w:rPr>
                <w:rFonts w:ascii="仿宋" w:hAnsi="仿宋" w:eastAsia="仿宋"/>
                <w:b/>
                <w:bCs/>
                <w:szCs w:val="21"/>
              </w:rPr>
              <w:t>责任和风险由</w:t>
            </w:r>
            <w:r>
              <w:rPr>
                <w:rFonts w:hint="eastAsia" w:ascii="仿宋" w:hAnsi="仿宋" w:eastAsia="仿宋"/>
                <w:b/>
                <w:bCs/>
                <w:szCs w:val="21"/>
              </w:rPr>
              <w:t>投资者</w:t>
            </w:r>
            <w:r>
              <w:rPr>
                <w:rFonts w:ascii="仿宋" w:hAnsi="仿宋" w:eastAsia="仿宋"/>
                <w:b/>
                <w:bCs/>
                <w:szCs w:val="21"/>
              </w:rPr>
              <w:t>承担</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cs="Cambria"/>
                <w:bCs/>
                <w:szCs w:val="21"/>
              </w:rPr>
            </w:pPr>
            <w:r>
              <w:rPr>
                <w:rFonts w:hint="eastAsia" w:ascii="仿宋" w:hAnsi="仿宋" w:eastAsia="仿宋"/>
                <w:bCs/>
                <w:szCs w:val="21"/>
              </w:rPr>
              <w:t>业绩比较</w:t>
            </w:r>
            <w:r>
              <w:rPr>
                <w:rFonts w:ascii="仿宋" w:hAnsi="仿宋" w:eastAsia="仿宋"/>
                <w:bCs/>
                <w:szCs w:val="21"/>
              </w:rPr>
              <w:t>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40" w:firstLineChars="200"/>
              <w:rPr>
                <w:rFonts w:hint="eastAsia" w:ascii="仿宋" w:hAnsi="仿宋" w:eastAsia="仿宋" w:cs="Cambria"/>
                <w:bCs/>
                <w:szCs w:val="21"/>
              </w:rPr>
            </w:pPr>
            <w:r>
              <w:rPr>
                <w:rFonts w:hint="eastAsia" w:ascii="仿宋" w:hAnsi="仿宋" w:eastAsia="仿宋" w:cs="Cambria"/>
                <w:bCs/>
                <w:szCs w:val="21"/>
                <w:lang w:eastAsia="zh-CN"/>
              </w:rPr>
              <w:t>A份额：业绩比较基准为3.50%-4.00%（年化）</w:t>
            </w:r>
            <w:r>
              <w:rPr>
                <w:rFonts w:hint="eastAsia" w:ascii="仿宋" w:hAnsi="仿宋" w:eastAsia="仿宋" w:cs="Cambria"/>
                <w:bCs/>
                <w:szCs w:val="21"/>
              </w:rPr>
              <w:t>。</w:t>
            </w:r>
            <w:r>
              <w:rPr>
                <w:rFonts w:hint="eastAsia" w:ascii="仿宋" w:hAnsi="仿宋" w:eastAsia="仿宋" w:cs="Cambria"/>
                <w:bCs/>
                <w:i w:val="0"/>
                <w:iCs w:val="0"/>
                <w:szCs w:val="21"/>
                <w:highlight w:val="none"/>
              </w:rPr>
              <w:t>以产品投资债券类资产仓位55%-100%，非标债权类资产仓位0-45%，组合杠杆率100%-140%为例，参考符合久期要求的目标债券到期收益率、非标债权类资产目标收益率，结合产品久期控制投资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40" w:firstLineChars="200"/>
              <w:rPr>
                <w:rFonts w:ascii="仿宋" w:hAnsi="仿宋" w:eastAsia="仿宋" w:cs="Cambria"/>
                <w:bCs/>
                <w:szCs w:val="21"/>
              </w:rPr>
            </w:pPr>
            <w:r>
              <w:rPr>
                <w:rFonts w:hint="eastAsia" w:ascii="仿宋" w:hAnsi="仿宋" w:eastAsia="仿宋" w:cs="Cambria"/>
                <w:bCs/>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4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w:t>
            </w:r>
            <w:r>
              <w:rPr>
                <w:rFonts w:hint="eastAsia" w:ascii="仿宋" w:hAnsi="仿宋" w:eastAsia="仿宋"/>
                <w:bCs/>
                <w:szCs w:val="21"/>
              </w:rPr>
              <w:t>业绩比较基准</w:t>
            </w:r>
            <w:r>
              <w:rPr>
                <w:rFonts w:hint="eastAsia" w:ascii="仿宋" w:hAnsi="仿宋" w:eastAsia="仿宋"/>
                <w:bCs/>
                <w:color w:val="000000"/>
                <w:szCs w:val="21"/>
              </w:rPr>
              <w:t>，并至少于新业绩比较</w:t>
            </w:r>
            <w:r>
              <w:rPr>
                <w:rFonts w:hint="eastAsia" w:ascii="仿宋" w:hAnsi="仿宋" w:eastAsia="仿宋" w:cs="仿宋"/>
                <w:bCs/>
                <w:szCs w:val="21"/>
              </w:rPr>
              <w:t>基准</w:t>
            </w:r>
            <w:r>
              <w:rPr>
                <w:rFonts w:hint="eastAsia" w:ascii="仿宋" w:hAnsi="仿宋" w:eastAsia="仿宋"/>
                <w:bCs/>
                <w:szCs w:val="21"/>
              </w:rPr>
              <w:t>启用前3个工作日公告</w:t>
            </w:r>
            <w:r>
              <w:rPr>
                <w:rFonts w:hint="eastAsia" w:ascii="仿宋" w:hAnsi="仿宋" w:eastAsia="仿宋"/>
                <w:bCs/>
                <w:color w:val="000000"/>
                <w:szCs w:val="21"/>
              </w:rPr>
              <w:t>。</w:t>
            </w:r>
          </w:p>
          <w:p>
            <w:pPr>
              <w:adjustRightInd w:val="0"/>
              <w:snapToGrid w:val="0"/>
              <w:spacing w:line="240" w:lineRule="atLeast"/>
              <w:ind w:firstLine="44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42" w:firstLineChars="200"/>
              <w:rPr>
                <w:rFonts w:ascii="仿宋" w:hAnsi="仿宋" w:eastAsia="仿宋"/>
                <w:b/>
                <w:bCs/>
                <w:szCs w:val="21"/>
              </w:rPr>
            </w:pPr>
            <w:r>
              <w:rPr>
                <w:rFonts w:hint="eastAsia" w:ascii="仿宋" w:hAnsi="仿宋" w:eastAsia="仿宋"/>
                <w:b/>
                <w:bCs/>
                <w:szCs w:val="21"/>
              </w:rPr>
              <w:t>2.本</w:t>
            </w:r>
            <w:r>
              <w:rPr>
                <w:rFonts w:hint="eastAsia" w:ascii="仿宋" w:hAnsi="仿宋" w:eastAsia="仿宋"/>
                <w:b/>
                <w:szCs w:val="21"/>
              </w:rPr>
              <w:t>业绩比较</w:t>
            </w:r>
            <w:r>
              <w:rPr>
                <w:rFonts w:hint="eastAsia" w:ascii="仿宋" w:hAnsi="仿宋" w:eastAsia="仿宋" w:cs="仿宋"/>
                <w:b/>
                <w:szCs w:val="21"/>
              </w:rPr>
              <w:t>基准</w:t>
            </w:r>
            <w:r>
              <w:rPr>
                <w:rFonts w:hint="eastAsia" w:ascii="仿宋" w:hAnsi="仿宋" w:eastAsia="仿宋"/>
                <w:b/>
                <w:bCs/>
                <w:szCs w:val="21"/>
              </w:rPr>
              <w:t>不构成华夏理财/代销机构对本理财产品的任何收益承诺。</w:t>
            </w:r>
          </w:p>
          <w:p>
            <w:pPr>
              <w:adjustRightInd w:val="0"/>
              <w:snapToGrid w:val="0"/>
              <w:spacing w:line="300" w:lineRule="exact"/>
              <w:ind w:firstLine="442" w:firstLineChars="200"/>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pPr>
            <w:bookmarkStart w:id="0" w:name="_Hlk290294163"/>
            <w:bookmarkStart w:id="1" w:name="OLE_LINK2" w:colFirst="1" w:colLast="1"/>
            <w:bookmarkStart w:id="2" w:name="OLE_LINK3" w:colFirst="1" w:colLast="1"/>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ind w:firstLine="440" w:firstLineChars="200"/>
            </w:pPr>
            <w:r>
              <w:rPr>
                <w:rFonts w:hint="eastAsia" w:ascii="仿宋" w:hAnsi="仿宋" w:eastAsia="仿宋"/>
                <w:bCs/>
                <w:szCs w:val="21"/>
              </w:rPr>
              <w:t>202</w:t>
            </w:r>
            <w:r>
              <w:rPr>
                <w:rFonts w:hint="eastAsia" w:ascii="仿宋" w:hAnsi="仿宋" w:eastAsia="仿宋"/>
                <w:bCs/>
                <w:szCs w:val="21"/>
                <w:lang w:val="en-US" w:eastAsia="zh-CN"/>
              </w:rPr>
              <w:t>4</w:t>
            </w:r>
            <w:r>
              <w:rPr>
                <w:rFonts w:hint="eastAsia" w:ascii="仿宋" w:hAnsi="仿宋" w:eastAsia="仿宋"/>
                <w:bCs/>
                <w:szCs w:val="21"/>
              </w:rPr>
              <w:t>年</w:t>
            </w:r>
            <w:r>
              <w:rPr>
                <w:rFonts w:hint="eastAsia" w:ascii="仿宋" w:hAnsi="仿宋" w:eastAsia="仿宋"/>
                <w:bCs/>
                <w:szCs w:val="21"/>
                <w:lang w:val="en-US" w:eastAsia="zh-CN"/>
              </w:rPr>
              <w:t>2</w:t>
            </w:r>
            <w:r>
              <w:rPr>
                <w:rFonts w:hint="eastAsia" w:ascii="仿宋" w:hAnsi="仿宋" w:eastAsia="仿宋"/>
                <w:bCs/>
                <w:szCs w:val="21"/>
              </w:rPr>
              <w:t>月</w:t>
            </w:r>
            <w:r>
              <w:rPr>
                <w:rFonts w:hint="eastAsia" w:ascii="仿宋" w:hAnsi="仿宋" w:eastAsia="仿宋"/>
                <w:bCs/>
                <w:szCs w:val="21"/>
                <w:lang w:val="en-US" w:eastAsia="zh-CN"/>
              </w:rPr>
              <w:t>1</w:t>
            </w:r>
            <w:r>
              <w:rPr>
                <w:rFonts w:hint="eastAsia" w:ascii="仿宋" w:hAnsi="仿宋" w:eastAsia="仿宋"/>
                <w:bCs/>
                <w:szCs w:val="21"/>
              </w:rPr>
              <w:t>日</w:t>
            </w:r>
            <w:r>
              <w:rPr>
                <w:rFonts w:ascii="仿宋" w:hAnsi="仿宋" w:eastAsia="仿宋"/>
                <w:bCs/>
                <w:szCs w:val="21"/>
              </w:rPr>
              <w:t>－</w:t>
            </w:r>
            <w:r>
              <w:rPr>
                <w:rFonts w:hint="eastAsia" w:ascii="仿宋" w:hAnsi="仿宋" w:eastAsia="仿宋"/>
                <w:bCs/>
                <w:szCs w:val="21"/>
              </w:rPr>
              <w:t>202</w:t>
            </w:r>
            <w:r>
              <w:rPr>
                <w:rFonts w:hint="eastAsia" w:ascii="仿宋" w:hAnsi="仿宋" w:eastAsia="仿宋"/>
                <w:bCs/>
                <w:szCs w:val="21"/>
                <w:lang w:val="en-US" w:eastAsia="zh-CN"/>
              </w:rPr>
              <w:t>4</w:t>
            </w:r>
            <w:r>
              <w:rPr>
                <w:rFonts w:hint="eastAsia" w:ascii="仿宋" w:hAnsi="仿宋" w:eastAsia="仿宋"/>
                <w:bCs/>
                <w:szCs w:val="21"/>
              </w:rPr>
              <w:t>年</w:t>
            </w:r>
            <w:r>
              <w:rPr>
                <w:rFonts w:hint="eastAsia" w:ascii="仿宋" w:hAnsi="仿宋" w:eastAsia="仿宋"/>
                <w:bCs/>
                <w:szCs w:val="21"/>
                <w:lang w:val="en-US" w:eastAsia="zh-CN"/>
              </w:rPr>
              <w:t>2</w:t>
            </w:r>
            <w:r>
              <w:rPr>
                <w:rFonts w:hint="eastAsia" w:ascii="仿宋" w:hAnsi="仿宋" w:eastAsia="仿宋"/>
                <w:bCs/>
                <w:szCs w:val="21"/>
              </w:rPr>
              <w:t>月</w:t>
            </w:r>
            <w:r>
              <w:rPr>
                <w:rFonts w:hint="eastAsia" w:ascii="仿宋" w:hAnsi="仿宋" w:eastAsia="仿宋"/>
                <w:bCs/>
                <w:szCs w:val="21"/>
                <w:lang w:val="en-US" w:eastAsia="zh-CN"/>
              </w:rPr>
              <w:t>6</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szCs w:val="21"/>
              </w:rPr>
              <w:t>）</w:t>
            </w:r>
          </w:p>
        </w:tc>
      </w:tr>
      <w:bookmarkEnd w:id="0"/>
      <w:bookmarkEnd w:id="1"/>
      <w:bookmarkEnd w:id="2"/>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40" w:firstLineChars="200"/>
            </w:pPr>
            <w:r>
              <w:rPr>
                <w:rFonts w:hint="eastAsia" w:ascii="仿宋" w:hAnsi="仿宋" w:eastAsia="仿宋"/>
                <w:bCs/>
                <w:szCs w:val="21"/>
              </w:rPr>
              <w:t>202</w:t>
            </w:r>
            <w:r>
              <w:rPr>
                <w:rFonts w:hint="eastAsia" w:ascii="仿宋" w:hAnsi="仿宋" w:eastAsia="仿宋"/>
                <w:bCs/>
                <w:szCs w:val="21"/>
                <w:lang w:val="en-US" w:eastAsia="zh-CN"/>
              </w:rPr>
              <w:t>4</w:t>
            </w:r>
            <w:r>
              <w:rPr>
                <w:rFonts w:hint="eastAsia" w:ascii="仿宋" w:hAnsi="仿宋" w:eastAsia="仿宋"/>
                <w:bCs/>
                <w:szCs w:val="21"/>
              </w:rPr>
              <w:t>年</w:t>
            </w:r>
            <w:r>
              <w:rPr>
                <w:rFonts w:hint="eastAsia" w:ascii="仿宋" w:hAnsi="仿宋" w:eastAsia="仿宋"/>
                <w:bCs/>
                <w:szCs w:val="21"/>
                <w:lang w:val="en-US" w:eastAsia="zh-CN"/>
              </w:rPr>
              <w:t>2</w:t>
            </w:r>
            <w:r>
              <w:rPr>
                <w:rFonts w:hint="eastAsia" w:ascii="仿宋" w:hAnsi="仿宋" w:eastAsia="仿宋"/>
                <w:bCs/>
                <w:szCs w:val="21"/>
              </w:rPr>
              <w:t>月</w:t>
            </w:r>
            <w:r>
              <w:rPr>
                <w:rFonts w:hint="eastAsia" w:ascii="仿宋" w:hAnsi="仿宋" w:eastAsia="仿宋"/>
                <w:bCs/>
                <w:szCs w:val="21"/>
                <w:lang w:val="en-US" w:eastAsia="zh-CN"/>
              </w:rPr>
              <w:t>7</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40" w:firstLineChars="200"/>
            </w:pPr>
            <w:r>
              <w:rPr>
                <w:rFonts w:hint="eastAsia" w:ascii="仿宋" w:hAnsi="仿宋" w:eastAsia="仿宋"/>
                <w:bCs/>
                <w:szCs w:val="21"/>
                <w:lang w:val="en-US" w:eastAsia="zh-CN"/>
              </w:rPr>
              <w:t>390</w:t>
            </w:r>
            <w:r>
              <w:rPr>
                <w:rFonts w:hint="eastAsia" w:ascii="仿宋" w:hAnsi="仿宋" w:eastAsia="仿宋"/>
                <w:bCs/>
                <w:szCs w:val="21"/>
              </w:rPr>
              <w:t>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到期/终止日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40" w:firstLineChars="200"/>
            </w:pPr>
            <w:r>
              <w:rPr>
                <w:rFonts w:hint="eastAsia" w:ascii="仿宋" w:hAnsi="仿宋" w:eastAsia="仿宋"/>
                <w:bCs/>
                <w:szCs w:val="21"/>
              </w:rPr>
              <w:t>202</w:t>
            </w:r>
            <w:r>
              <w:rPr>
                <w:rFonts w:hint="eastAsia" w:ascii="仿宋" w:hAnsi="仿宋" w:eastAsia="仿宋"/>
                <w:bCs/>
                <w:szCs w:val="21"/>
                <w:lang w:val="en-US" w:eastAsia="zh-CN"/>
              </w:rPr>
              <w:t>5</w:t>
            </w:r>
            <w:r>
              <w:rPr>
                <w:rFonts w:hint="eastAsia" w:ascii="仿宋" w:hAnsi="仿宋" w:eastAsia="仿宋"/>
                <w:bCs/>
                <w:szCs w:val="21"/>
              </w:rPr>
              <w:t>年</w:t>
            </w:r>
            <w:r>
              <w:rPr>
                <w:rFonts w:hint="eastAsia" w:ascii="仿宋" w:hAnsi="仿宋" w:eastAsia="仿宋"/>
                <w:bCs/>
                <w:szCs w:val="21"/>
                <w:lang w:val="en-US" w:eastAsia="zh-CN"/>
              </w:rPr>
              <w:t>3</w:t>
            </w:r>
            <w:r>
              <w:rPr>
                <w:rFonts w:hint="eastAsia" w:ascii="仿宋" w:hAnsi="仿宋" w:eastAsia="仿宋"/>
                <w:bCs/>
                <w:szCs w:val="21"/>
              </w:rPr>
              <w:t>月</w:t>
            </w:r>
            <w:r>
              <w:rPr>
                <w:rFonts w:hint="eastAsia" w:ascii="仿宋" w:hAnsi="仿宋" w:eastAsia="仿宋"/>
                <w:bCs/>
                <w:szCs w:val="21"/>
                <w:lang w:val="en-US" w:eastAsia="zh-CN"/>
              </w:rPr>
              <w:t>3</w:t>
            </w:r>
            <w:r>
              <w:rPr>
                <w:rFonts w:hint="eastAsia" w:ascii="仿宋" w:hAnsi="仿宋" w:eastAsia="仿宋"/>
                <w:bCs/>
                <w:szCs w:val="21"/>
              </w:rPr>
              <w:t>日理财产品正常到期，到期日如为非工作日，则顺延至下一工作日。如理财产品因故提前或延迟到期的，则终止日以华夏理财发布的公告为准。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40" w:firstLineChars="200"/>
              <w:rPr>
                <w:rFonts w:ascii="仿宋" w:hAnsi="仿宋" w:eastAsia="仿宋"/>
                <w:bCs/>
                <w:szCs w:val="21"/>
              </w:rPr>
            </w:pPr>
            <w:r>
              <w:rPr>
                <w:rFonts w:hint="eastAsia" w:ascii="仿宋" w:hAnsi="仿宋" w:eastAsia="仿宋"/>
                <w:bCs/>
                <w:szCs w:val="21"/>
              </w:rPr>
              <w:t>产品成立日至到期/终止日</w:t>
            </w:r>
            <w:r>
              <w:rPr>
                <w:rFonts w:ascii="仿宋" w:hAnsi="仿宋" w:eastAsia="仿宋"/>
                <w:bCs/>
                <w:szCs w:val="21"/>
              </w:rPr>
              <w:t>为产品的封闭期</w:t>
            </w:r>
            <w:r>
              <w:rPr>
                <w:rFonts w:hint="eastAsia" w:ascii="仿宋" w:hAnsi="仿宋" w:eastAsia="仿宋"/>
                <w:bCs/>
                <w:szCs w:val="21"/>
              </w:rPr>
              <w:t>。</w:t>
            </w:r>
          </w:p>
          <w:p>
            <w:pPr>
              <w:adjustRightInd w:val="0"/>
              <w:snapToGrid w:val="0"/>
              <w:spacing w:line="300" w:lineRule="exact"/>
              <w:ind w:firstLine="442" w:firstLineChars="200"/>
            </w:pPr>
            <w:r>
              <w:rPr>
                <w:rFonts w:hint="eastAsia" w:ascii="仿宋" w:hAnsi="仿宋" w:eastAsia="仿宋"/>
                <w:b/>
                <w:bCs/>
                <w:color w:val="000000"/>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到期/终止理财本金</w:t>
            </w:r>
            <w:r>
              <w:rPr>
                <w:rFonts w:ascii="仿宋" w:hAnsi="仿宋" w:eastAsia="仿宋"/>
                <w:bCs/>
                <w:szCs w:val="21"/>
              </w:rPr>
              <w:t>及</w:t>
            </w:r>
            <w:r>
              <w:rPr>
                <w:rFonts w:hint="eastAsia" w:ascii="仿宋" w:hAnsi="仿宋" w:eastAsia="仿宋"/>
                <w:bCs/>
                <w:szCs w:val="21"/>
              </w:rPr>
              <w:t>收益</w:t>
            </w: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4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根据实际投资结果向华夏理财客户及代销机构一次性划付理财本金及收益（如有），代销机构客户理财的本金及收益（如有）的具体到账账户、到账日及到账时间以代销机构划付规定为准。</w:t>
            </w:r>
          </w:p>
          <w:p>
            <w:pPr>
              <w:adjustRightInd w:val="0"/>
              <w:snapToGrid w:val="0"/>
              <w:spacing w:line="300" w:lineRule="exact"/>
              <w:ind w:firstLine="440" w:firstLineChars="200"/>
            </w:pPr>
            <w:r>
              <w:rPr>
                <w:rFonts w:hint="eastAsia" w:ascii="仿宋" w:hAnsi="仿宋" w:eastAsia="仿宋"/>
                <w:bCs/>
                <w:szCs w:val="21"/>
              </w:rPr>
              <w:t>客户到期/终止每笔本金及收益金额=每笔认购份额*到期/终止日的份额净值，金额计算保留到小数点后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color w:val="000000"/>
                <w:szCs w:val="21"/>
              </w:rPr>
              <w:t>面向全国发行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40" w:firstLineChars="200"/>
            </w:pPr>
            <w:r>
              <w:rPr>
                <w:rFonts w:hint="eastAsia" w:ascii="仿宋" w:hAnsi="仿宋" w:eastAsia="仿宋"/>
                <w:bCs/>
                <w:szCs w:val="21"/>
              </w:rPr>
              <w:t>本产品</w:t>
            </w:r>
            <w:r>
              <w:rPr>
                <w:rFonts w:ascii="仿宋" w:hAnsi="仿宋" w:eastAsia="仿宋"/>
                <w:bCs/>
                <w:szCs w:val="21"/>
              </w:rPr>
              <w:t>计划发行规模下限为</w:t>
            </w:r>
            <w:r>
              <w:rPr>
                <w:rFonts w:hint="eastAsia" w:ascii="仿宋" w:hAnsi="仿宋" w:eastAsia="仿宋"/>
                <w:bCs/>
                <w:szCs w:val="21"/>
                <w:lang w:val="en-US" w:eastAsia="zh-CN"/>
              </w:rPr>
              <w:t>5</w:t>
            </w:r>
            <w:r>
              <w:rPr>
                <w:rFonts w:ascii="仿宋" w:hAnsi="仿宋" w:eastAsia="仿宋"/>
                <w:bCs/>
                <w:szCs w:val="21"/>
              </w:rPr>
              <w:t>,000</w:t>
            </w:r>
            <w:r>
              <w:rPr>
                <w:rFonts w:hint="eastAsia" w:ascii="仿宋" w:hAnsi="仿宋" w:eastAsia="仿宋"/>
                <w:bCs/>
                <w:szCs w:val="21"/>
              </w:rPr>
              <w:t>万元</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4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300" w:lineRule="exact"/>
              <w:ind w:firstLine="440" w:firstLineChars="200"/>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w:t>
            </w:r>
            <w:r>
              <w:rPr>
                <w:rFonts w:hint="eastAsia" w:ascii="仿宋" w:hAnsi="仿宋" w:eastAsia="仿宋"/>
                <w:bCs/>
                <w:szCs w:val="21"/>
              </w:rPr>
              <w:t>退</w:t>
            </w:r>
            <w:r>
              <w:rPr>
                <w:rFonts w:ascii="仿宋" w:hAnsi="仿宋" w:eastAsia="仿宋"/>
                <w:bCs/>
                <w:szCs w:val="21"/>
              </w:rPr>
              <w:t>回</w:t>
            </w:r>
            <w:r>
              <w:rPr>
                <w:rFonts w:hint="eastAsia" w:ascii="仿宋" w:hAnsi="仿宋" w:eastAsia="仿宋"/>
                <w:bCs/>
                <w:szCs w:val="21"/>
              </w:rPr>
              <w:t>华夏银行/华夏理财客户的理财签约</w:t>
            </w:r>
            <w:r>
              <w:rPr>
                <w:rFonts w:ascii="仿宋" w:hAnsi="仿宋" w:eastAsia="仿宋"/>
                <w:bCs/>
                <w:szCs w:val="21"/>
              </w:rPr>
              <w:t>账户</w:t>
            </w:r>
            <w:r>
              <w:rPr>
                <w:rFonts w:hint="eastAsia" w:ascii="仿宋" w:hAnsi="仿宋" w:eastAsia="仿宋"/>
                <w:bCs/>
                <w:szCs w:val="21"/>
              </w:rPr>
              <w:t>（</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认购起点金额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40" w:firstLineChars="200"/>
              <w:rPr>
                <w:rFonts w:hint="eastAsia" w:ascii="仿宋" w:hAnsi="仿宋" w:eastAsia="仿宋"/>
                <w:bCs/>
                <w:szCs w:val="21"/>
                <w:lang w:eastAsia="zh-CN"/>
              </w:rPr>
            </w:pPr>
            <w:r>
              <w:rPr>
                <w:rFonts w:hint="eastAsia" w:ascii="仿宋" w:hAnsi="仿宋" w:eastAsia="仿宋"/>
                <w:bCs/>
                <w:szCs w:val="21"/>
                <w:lang w:eastAsia="zh-CN"/>
              </w:rPr>
              <w:t>A份额：认购起点金额1元，以1元的整数倍递增。</w:t>
            </w:r>
            <w:bookmarkStart w:id="3" w:name="_GoBack"/>
            <w:bookmarkEnd w:id="3"/>
          </w:p>
          <w:p>
            <w:pPr>
              <w:adjustRightInd w:val="0"/>
              <w:snapToGrid w:val="0"/>
              <w:spacing w:line="240" w:lineRule="atLeast"/>
              <w:rPr>
                <w:rFonts w:ascii="仿宋" w:hAnsi="仿宋" w:eastAsia="仿宋"/>
              </w:rPr>
            </w:pPr>
            <w:r>
              <w:rPr>
                <w:rFonts w:hint="eastAsia" w:ascii="仿宋" w:hAnsi="仿宋" w:eastAsia="仿宋"/>
              </w:rPr>
              <w:t xml:space="preserve">    如代销机构规定与本规则不一致的，则以各代销机构规定为准，但不得低于本起点金额。</w:t>
            </w:r>
          </w:p>
          <w:p>
            <w:pPr>
              <w:adjustRightInd w:val="0"/>
              <w:snapToGrid w:val="0"/>
              <w:spacing w:line="240" w:lineRule="atLeast"/>
              <w:ind w:firstLine="440" w:firstLineChars="200"/>
            </w:pPr>
            <w:r>
              <w:rPr>
                <w:rFonts w:hint="eastAsia" w:ascii="仿宋" w:hAnsi="仿宋" w:eastAsia="仿宋"/>
                <w:bCs/>
                <w:szCs w:val="21"/>
              </w:rPr>
              <w:t>具体详见“五、认购”。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认购</w:t>
            </w:r>
            <w:r>
              <w:rPr>
                <w:rFonts w:hint="eastAsia" w:ascii="仿宋" w:hAnsi="仿宋" w:eastAsia="仿宋"/>
                <w:bCs/>
                <w:szCs w:val="21"/>
              </w:rPr>
              <w:t>最高金额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40" w:firstLineChars="200"/>
              <w:rPr>
                <w:rFonts w:ascii="仿宋" w:hAnsi="仿宋" w:eastAsia="仿宋"/>
              </w:rPr>
            </w:pPr>
            <w:r>
              <w:rPr>
                <w:rFonts w:hint="eastAsia" w:ascii="仿宋" w:hAnsi="仿宋" w:eastAsia="仿宋"/>
              </w:rPr>
              <w:t>最高持有限额要求：本理财产品单一投资者持有本产品份额数不得超过产品份额总数的50%。</w:t>
            </w:r>
          </w:p>
          <w:p>
            <w:pPr>
              <w:adjustRightInd w:val="0"/>
              <w:snapToGrid w:val="0"/>
              <w:spacing w:line="240" w:lineRule="atLeast"/>
              <w:ind w:firstLine="440" w:firstLineChars="200"/>
            </w:pPr>
            <w:r>
              <w:rPr>
                <w:rFonts w:hint="eastAsia" w:ascii="仿宋" w:hAnsi="仿宋" w:eastAsia="仿宋"/>
              </w:rPr>
              <w:t>如代销机构规定与本规则不一致的，则以各代销机构规定为准，但不得</w:t>
            </w:r>
            <w:r>
              <w:rPr>
                <w:rFonts w:hint="eastAsia" w:ascii="仿宋" w:hAnsi="仿宋" w:eastAsia="仿宋"/>
                <w:bCs/>
                <w:szCs w:val="21"/>
              </w:rPr>
              <w:t>高于最高金额</w:t>
            </w:r>
            <w:r>
              <w:rPr>
                <w:rFonts w:hint="eastAsia" w:ascii="仿宋" w:hAnsi="仿宋" w:eastAsia="仿宋"/>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追加</w:t>
            </w:r>
            <w:r>
              <w:rPr>
                <w:rFonts w:hint="eastAsia" w:ascii="仿宋" w:hAnsi="仿宋" w:eastAsia="仿宋"/>
                <w:bCs/>
                <w:szCs w:val="21"/>
              </w:rPr>
              <w:t>认</w:t>
            </w:r>
            <w:r>
              <w:rPr>
                <w:rFonts w:ascii="仿宋" w:hAnsi="仿宋" w:eastAsia="仿宋"/>
                <w:bCs/>
                <w:szCs w:val="21"/>
              </w:rPr>
              <w:t>购</w:t>
            </w:r>
            <w:r>
              <w:rPr>
                <w:rFonts w:hint="eastAsia" w:ascii="仿宋" w:hAnsi="仿宋" w:eastAsia="仿宋"/>
                <w:bCs/>
                <w:szCs w:val="21"/>
              </w:rPr>
              <w:t xml:space="preserve">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pPr>
            <w:r>
              <w:rPr>
                <w:rFonts w:hint="eastAsia" w:ascii="仿宋" w:hAnsi="仿宋" w:eastAsia="仿宋"/>
                <w:bCs/>
                <w:szCs w:val="21"/>
              </w:rPr>
              <w:t>认购份额=认购金额/1元。</w:t>
            </w:r>
          </w:p>
        </w:tc>
      </w:tr>
    </w:tbl>
    <w:p>
      <w:pPr>
        <w:adjustRightInd/>
        <w:snapToGrid/>
        <w:spacing w:after="0"/>
        <w:ind w:firstLine="630"/>
        <w:jc w:val="center"/>
        <w:rPr>
          <w:rFonts w:ascii="仿宋_GB2312" w:hAnsi="微软雅黑" w:eastAsia="仿宋_GB2312" w:cs="宋体"/>
          <w:color w:val="FF0000"/>
          <w:sz w:val="32"/>
          <w:szCs w:val="32"/>
        </w:rPr>
      </w:pPr>
      <w:r>
        <w:rPr>
          <w:rFonts w:hint="eastAsia" w:ascii="仿宋_GB2312" w:hAnsi="微软雅黑" w:eastAsia="仿宋_GB2312" w:cs="宋体"/>
          <w:color w:val="FF0000"/>
          <w:sz w:val="32"/>
          <w:szCs w:val="32"/>
        </w:rPr>
        <w:t>（更多具体要素请详阅产品说明书）</w:t>
      </w:r>
    </w:p>
    <w:p>
      <w:pPr>
        <w:adjustRightInd/>
        <w:snapToGrid/>
        <w:spacing w:after="0"/>
        <w:ind w:firstLine="640" w:firstLineChars="200"/>
        <w:rPr>
          <w:rFonts w:ascii="仿宋_GB2312" w:hAnsi="微软雅黑" w:eastAsia="仿宋_GB2312" w:cs="宋体"/>
          <w:color w:val="000000"/>
          <w:sz w:val="32"/>
          <w:szCs w:val="32"/>
        </w:rPr>
      </w:pPr>
      <w:r>
        <w:rPr>
          <w:rFonts w:hint="eastAsia" w:ascii="仿宋_GB2312" w:hAnsi="微软雅黑" w:eastAsia="仿宋_GB2312" w:cs="宋体"/>
          <w:color w:val="000000"/>
          <w:sz w:val="32"/>
          <w:szCs w:val="32"/>
        </w:rPr>
        <w:t>注意事项：</w:t>
      </w:r>
    </w:p>
    <w:p>
      <w:pPr>
        <w:adjustRightInd/>
        <w:snapToGrid/>
        <w:spacing w:after="0"/>
        <w:ind w:firstLine="640" w:firstLineChars="200"/>
        <w:rPr>
          <w:rFonts w:ascii="微软雅黑" w:hAnsi="微软雅黑" w:cs="宋体"/>
          <w:color w:val="000000"/>
          <w:sz w:val="30"/>
          <w:szCs w:val="30"/>
        </w:rPr>
      </w:pPr>
      <w:r>
        <w:rPr>
          <w:rFonts w:hint="eastAsia" w:ascii="仿宋_GB2312" w:hAnsi="微软雅黑" w:eastAsia="仿宋_GB2312" w:cs="宋体"/>
          <w:color w:val="000000"/>
          <w:sz w:val="32"/>
          <w:szCs w:val="32"/>
        </w:rPr>
        <w:t>1.该产品销售要求参照我行自营理财销售相关规定执行。</w:t>
      </w:r>
    </w:p>
    <w:p>
      <w:pPr>
        <w:adjustRightInd/>
        <w:snapToGrid/>
        <w:spacing w:after="0"/>
        <w:ind w:firstLine="640" w:firstLineChars="200"/>
        <w:rPr>
          <w:rFonts w:ascii="仿宋_GB2312" w:hAnsi="微软雅黑" w:eastAsia="仿宋_GB2312" w:cs="宋体"/>
          <w:color w:val="000000"/>
          <w:sz w:val="32"/>
          <w:szCs w:val="32"/>
        </w:rPr>
      </w:pPr>
      <w:r>
        <w:rPr>
          <w:rFonts w:hint="eastAsia" w:ascii="仿宋_GB2312" w:hAnsi="微软雅黑" w:eastAsia="仿宋_GB2312" w:cs="宋体"/>
          <w:color w:val="000000"/>
          <w:sz w:val="32"/>
          <w:szCs w:val="32"/>
        </w:rPr>
        <w:t>2.相关产品销售文件见附件。</w:t>
      </w:r>
    </w:p>
    <w:p>
      <w:pPr>
        <w:adjustRightInd/>
        <w:snapToGrid/>
        <w:spacing w:after="0"/>
        <w:ind w:firstLine="640" w:firstLineChars="200"/>
        <w:rPr>
          <w:rFonts w:ascii="仿宋_GB2312" w:hAnsi="微软雅黑" w:eastAsia="仿宋_GB2312" w:cs="宋体"/>
          <w:color w:val="000000"/>
          <w:sz w:val="32"/>
          <w:szCs w:val="32"/>
        </w:rPr>
      </w:pPr>
      <w:r>
        <w:rPr>
          <w:rFonts w:hint="eastAsia" w:ascii="仿宋_GB2312" w:hAnsi="微软雅黑" w:eastAsia="仿宋_GB2312" w:cs="宋体"/>
          <w:color w:val="000000"/>
          <w:sz w:val="32"/>
          <w:szCs w:val="32"/>
        </w:rPr>
        <w:t>3.如有其他未尽事宜以私人银行部解释为准。</w:t>
      </w:r>
    </w:p>
    <w:p>
      <w:pPr>
        <w:adjustRightInd/>
        <w:snapToGrid/>
        <w:spacing w:after="0"/>
        <w:rPr>
          <w:rFonts w:ascii="微软雅黑" w:hAnsi="微软雅黑" w:cs="宋体"/>
          <w:color w:val="000000"/>
          <w:sz w:val="30"/>
          <w:szCs w:val="30"/>
        </w:rPr>
      </w:pPr>
    </w:p>
    <w:p>
      <w:pPr>
        <w:adjustRightInd/>
        <w:snapToGrid/>
        <w:spacing w:after="0"/>
        <w:ind w:firstLine="640" w:firstLineChars="200"/>
        <w:rPr>
          <w:rFonts w:hint="eastAsia" w:ascii="仿宋_GB2312" w:hAnsi="微软雅黑" w:eastAsia="仿宋_GB2312" w:cs="宋体"/>
          <w:color w:val="000000"/>
          <w:sz w:val="32"/>
          <w:szCs w:val="32"/>
          <w:lang w:eastAsia="zh-CN"/>
        </w:rPr>
      </w:pPr>
      <w:r>
        <w:rPr>
          <w:rFonts w:hint="eastAsia" w:ascii="仿宋_GB2312" w:hAnsi="微软雅黑" w:eastAsia="仿宋_GB2312" w:cs="宋体"/>
          <w:color w:val="000000"/>
          <w:sz w:val="32"/>
          <w:szCs w:val="32"/>
        </w:rPr>
        <w:t>附件：1.</w:t>
      </w:r>
      <w:r>
        <w:rPr>
          <w:rFonts w:hint="eastAsia" w:ascii="仿宋_GB2312" w:hAnsi="微软雅黑" w:eastAsia="仿宋_GB2312" w:cs="宋体"/>
          <w:color w:val="000000"/>
          <w:sz w:val="32"/>
          <w:szCs w:val="32"/>
          <w:lang w:eastAsia="zh-CN"/>
        </w:rPr>
        <w:t>华夏理财固定收益债权型封闭式理财产品249号说明书</w:t>
      </w:r>
    </w:p>
    <w:p>
      <w:pPr>
        <w:adjustRightInd/>
        <w:snapToGrid/>
        <w:spacing w:after="0"/>
        <w:ind w:firstLine="1600" w:firstLineChars="500"/>
        <w:rPr>
          <w:rFonts w:hint="eastAsia" w:ascii="仿宋_GB2312" w:hAnsi="微软雅黑" w:eastAsia="仿宋_GB2312" w:cs="宋体"/>
          <w:color w:val="000000"/>
          <w:sz w:val="32"/>
          <w:szCs w:val="32"/>
          <w:lang w:eastAsia="zh-CN"/>
        </w:rPr>
      </w:pPr>
      <w:r>
        <w:rPr>
          <w:rFonts w:hint="eastAsia" w:ascii="仿宋_GB2312" w:hAnsi="微软雅黑" w:eastAsia="仿宋_GB2312" w:cs="宋体"/>
          <w:color w:val="000000"/>
          <w:sz w:val="32"/>
          <w:szCs w:val="32"/>
          <w:lang w:eastAsia="zh-CN"/>
        </w:rPr>
        <w:t>2.华夏理财有限责任公司个人理财产品风险揭示书（适用于个人客户）</w:t>
      </w:r>
    </w:p>
    <w:p>
      <w:pPr>
        <w:adjustRightInd/>
        <w:snapToGrid/>
        <w:spacing w:after="0"/>
        <w:ind w:firstLine="1600" w:firstLineChars="500"/>
        <w:rPr>
          <w:rFonts w:hint="eastAsia" w:ascii="仿宋_GB2312" w:hAnsi="微软雅黑" w:eastAsia="仿宋_GB2312" w:cs="宋体"/>
          <w:color w:val="000000"/>
          <w:sz w:val="32"/>
          <w:szCs w:val="32"/>
          <w:lang w:eastAsia="zh-CN"/>
        </w:rPr>
      </w:pPr>
      <w:r>
        <w:rPr>
          <w:rFonts w:hint="eastAsia" w:ascii="仿宋_GB2312" w:hAnsi="微软雅黑" w:eastAsia="仿宋_GB2312" w:cs="宋体"/>
          <w:color w:val="000000"/>
          <w:sz w:val="32"/>
          <w:szCs w:val="32"/>
          <w:lang w:eastAsia="zh-CN"/>
        </w:rPr>
        <w:t>3.华夏理财有限责任公司个人理财产品投资者权益须知（适用于个人客户）</w:t>
      </w:r>
    </w:p>
    <w:p>
      <w:pPr>
        <w:adjustRightInd/>
        <w:snapToGrid/>
        <w:spacing w:after="0"/>
        <w:ind w:firstLine="1600" w:firstLineChars="500"/>
        <w:rPr>
          <w:rFonts w:hint="eastAsia" w:ascii="仿宋_GB2312" w:hAnsi="微软雅黑" w:eastAsia="仿宋_GB2312" w:cs="宋体"/>
          <w:color w:val="000000"/>
          <w:sz w:val="32"/>
          <w:szCs w:val="32"/>
          <w:lang w:eastAsia="zh-CN"/>
        </w:rPr>
      </w:pPr>
      <w:r>
        <w:rPr>
          <w:rFonts w:hint="eastAsia" w:ascii="仿宋_GB2312" w:hAnsi="微软雅黑" w:eastAsia="仿宋_GB2312" w:cs="宋体"/>
          <w:color w:val="000000"/>
          <w:sz w:val="32"/>
          <w:szCs w:val="32"/>
          <w:lang w:eastAsia="zh-CN"/>
        </w:rPr>
        <w:t>4.华夏理财有限责任公司理财产品销售协议书（适用于个人投资者）</w:t>
      </w:r>
    </w:p>
    <w:p>
      <w:pPr>
        <w:adjustRightInd/>
        <w:snapToGrid/>
        <w:spacing w:after="0"/>
        <w:ind w:firstLine="1600" w:firstLineChars="500"/>
        <w:rPr>
          <w:rFonts w:hint="eastAsia" w:ascii="仿宋_GB2312" w:hAnsi="微软雅黑" w:eastAsia="仿宋_GB2312" w:cs="宋体"/>
          <w:color w:val="000000"/>
          <w:sz w:val="32"/>
          <w:szCs w:val="32"/>
          <w:lang w:eastAsia="zh-CN"/>
        </w:rPr>
      </w:pPr>
      <w:r>
        <w:rPr>
          <w:rFonts w:hint="eastAsia" w:ascii="仿宋_GB2312" w:hAnsi="微软雅黑" w:eastAsia="仿宋_GB2312" w:cs="宋体"/>
          <w:color w:val="000000"/>
          <w:sz w:val="32"/>
          <w:szCs w:val="32"/>
          <w:lang w:eastAsia="zh-CN"/>
        </w:rPr>
        <w:t>5.华夏理财有限责任公司理财产品投资协议书</w:t>
      </w:r>
    </w:p>
    <w:p>
      <w:pPr>
        <w:adjustRightInd/>
        <w:snapToGrid/>
        <w:spacing w:after="0"/>
        <w:rPr>
          <w:rFonts w:hint="eastAsia" w:ascii="仿宋_GB2312" w:hAnsi="微软雅黑" w:eastAsia="仿宋_GB2312" w:cs="宋体"/>
          <w:color w:val="000000"/>
          <w:sz w:val="32"/>
          <w:szCs w:val="32"/>
        </w:rPr>
      </w:pPr>
    </w:p>
    <w:p>
      <w:pPr>
        <w:adjustRightInd/>
        <w:snapToGrid/>
        <w:spacing w:after="0"/>
        <w:rPr>
          <w:rFonts w:ascii="仿宋_GB2312" w:hAnsi="微软雅黑" w:eastAsia="仿宋_GB2312" w:cs="宋体"/>
          <w:color w:val="000000"/>
          <w:sz w:val="32"/>
          <w:szCs w:val="32"/>
        </w:rPr>
      </w:pPr>
    </w:p>
    <w:p>
      <w:pPr>
        <w:adjustRightInd/>
        <w:snapToGrid/>
        <w:spacing w:after="0"/>
        <w:rPr>
          <w:rFonts w:ascii="仿宋_GB2312" w:hAnsi="微软雅黑" w:eastAsia="仿宋_GB2312" w:cs="宋体"/>
          <w:color w:val="000000"/>
          <w:sz w:val="32"/>
          <w:szCs w:val="32"/>
        </w:rPr>
      </w:pPr>
    </w:p>
    <w:p>
      <w:pPr>
        <w:adjustRightInd/>
        <w:snapToGrid/>
        <w:spacing w:after="0"/>
        <w:ind w:firstLine="5760"/>
        <w:jc w:val="right"/>
        <w:rPr>
          <w:rFonts w:hint="eastAsia" w:ascii="仿宋_GB2312" w:hAnsi="微软雅黑" w:eastAsia="仿宋_GB2312" w:cs="宋体"/>
          <w:color w:val="000000"/>
          <w:sz w:val="32"/>
          <w:szCs w:val="32"/>
        </w:rPr>
      </w:pPr>
      <w:r>
        <w:rPr>
          <w:rFonts w:hint="eastAsia" w:ascii="仿宋_GB2312" w:hAnsi="微软雅黑" w:eastAsia="仿宋_GB2312" w:cs="宋体"/>
          <w:color w:val="000000"/>
          <w:sz w:val="32"/>
          <w:szCs w:val="32"/>
        </w:rPr>
        <w:t>私人银行部</w:t>
      </w:r>
    </w:p>
    <w:p>
      <w:pPr>
        <w:adjustRightInd/>
        <w:snapToGrid/>
        <w:spacing w:after="0"/>
        <w:ind w:firstLine="5760"/>
        <w:jc w:val="right"/>
        <w:rPr>
          <w:rFonts w:hint="eastAsia" w:ascii="仿宋_GB2312" w:hAnsi="微软雅黑" w:eastAsia="仿宋_GB2312" w:cs="宋体"/>
          <w:color w:val="000000"/>
          <w:sz w:val="32"/>
          <w:szCs w:val="32"/>
          <w:lang w:val="en-US" w:eastAsia="zh-CN"/>
        </w:rPr>
      </w:pPr>
      <w:r>
        <w:rPr>
          <w:rFonts w:hint="eastAsia" w:ascii="仿宋_GB2312" w:hAnsi="微软雅黑" w:eastAsia="仿宋_GB2312" w:cs="宋体"/>
          <w:color w:val="000000"/>
          <w:sz w:val="32"/>
          <w:szCs w:val="32"/>
          <w:lang w:val="en-US" w:eastAsia="zh-CN"/>
        </w:rPr>
        <w:t>2024年1月30日</w:t>
      </w:r>
    </w:p>
    <w:sectPr>
      <w:pgSz w:w="11906" w:h="16838"/>
      <w:pgMar w:top="1440" w:right="1800" w:bottom="1440" w:left="1800"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2FF" w:usb1="400004FF" w:usb2="00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720"/>
  <w:characterSpacingControl w:val="doNotCompress"/>
  <w:footnotePr>
    <w:footnote w:id="0"/>
    <w:footnote w:id="1"/>
  </w:footnotePr>
  <w:endnotePr>
    <w:endnote w:id="0"/>
    <w:endnote w:id="1"/>
  </w:endnotePr>
  <w:compat>
    <w:useFELayout/>
    <w:compatSetting w:name="compatibilityMode" w:uri="http://schemas.microsoft.com/office/word" w:val="12"/>
  </w:compat>
  <w:rsids>
    <w:rsidRoot w:val="00D31D50"/>
    <w:rsid w:val="000108F3"/>
    <w:rsid w:val="00010C68"/>
    <w:rsid w:val="00012652"/>
    <w:rsid w:val="00015217"/>
    <w:rsid w:val="00015DAC"/>
    <w:rsid w:val="0002233E"/>
    <w:rsid w:val="00023665"/>
    <w:rsid w:val="000263A0"/>
    <w:rsid w:val="00031FB1"/>
    <w:rsid w:val="000430CA"/>
    <w:rsid w:val="00050465"/>
    <w:rsid w:val="000547BB"/>
    <w:rsid w:val="000571BC"/>
    <w:rsid w:val="000609B0"/>
    <w:rsid w:val="0006322B"/>
    <w:rsid w:val="00067DDC"/>
    <w:rsid w:val="000729EB"/>
    <w:rsid w:val="00072D1A"/>
    <w:rsid w:val="000812F4"/>
    <w:rsid w:val="000819E6"/>
    <w:rsid w:val="000936F7"/>
    <w:rsid w:val="000957AC"/>
    <w:rsid w:val="00097209"/>
    <w:rsid w:val="000A5028"/>
    <w:rsid w:val="000D32F4"/>
    <w:rsid w:val="000E18A2"/>
    <w:rsid w:val="000E1B34"/>
    <w:rsid w:val="000E1FA9"/>
    <w:rsid w:val="000E7543"/>
    <w:rsid w:val="001005C6"/>
    <w:rsid w:val="0010440D"/>
    <w:rsid w:val="0012192B"/>
    <w:rsid w:val="001225F8"/>
    <w:rsid w:val="0013066D"/>
    <w:rsid w:val="00131A96"/>
    <w:rsid w:val="0013501E"/>
    <w:rsid w:val="00143D3D"/>
    <w:rsid w:val="00144E0E"/>
    <w:rsid w:val="00152FB9"/>
    <w:rsid w:val="00157799"/>
    <w:rsid w:val="001642B1"/>
    <w:rsid w:val="00174CF3"/>
    <w:rsid w:val="00174FC8"/>
    <w:rsid w:val="001763AA"/>
    <w:rsid w:val="001A556D"/>
    <w:rsid w:val="001A6DC6"/>
    <w:rsid w:val="001B2273"/>
    <w:rsid w:val="001B7E33"/>
    <w:rsid w:val="001F72B5"/>
    <w:rsid w:val="00201E20"/>
    <w:rsid w:val="00206F8F"/>
    <w:rsid w:val="00216E71"/>
    <w:rsid w:val="002235BC"/>
    <w:rsid w:val="002317E9"/>
    <w:rsid w:val="00232543"/>
    <w:rsid w:val="00233CED"/>
    <w:rsid w:val="00236FDA"/>
    <w:rsid w:val="002422B4"/>
    <w:rsid w:val="002513BD"/>
    <w:rsid w:val="00251BF3"/>
    <w:rsid w:val="00277323"/>
    <w:rsid w:val="002777A1"/>
    <w:rsid w:val="00283408"/>
    <w:rsid w:val="002866F6"/>
    <w:rsid w:val="0029028F"/>
    <w:rsid w:val="002B1948"/>
    <w:rsid w:val="002C248B"/>
    <w:rsid w:val="002D396F"/>
    <w:rsid w:val="002D757D"/>
    <w:rsid w:val="002E3ECB"/>
    <w:rsid w:val="002F1002"/>
    <w:rsid w:val="003059D5"/>
    <w:rsid w:val="00306FE6"/>
    <w:rsid w:val="00307430"/>
    <w:rsid w:val="00322857"/>
    <w:rsid w:val="00322F4C"/>
    <w:rsid w:val="00323B43"/>
    <w:rsid w:val="003247F8"/>
    <w:rsid w:val="00340741"/>
    <w:rsid w:val="00347193"/>
    <w:rsid w:val="00353BA9"/>
    <w:rsid w:val="003720A3"/>
    <w:rsid w:val="00376FEA"/>
    <w:rsid w:val="003813E5"/>
    <w:rsid w:val="003874C3"/>
    <w:rsid w:val="003A1933"/>
    <w:rsid w:val="003C0D6B"/>
    <w:rsid w:val="003C1D41"/>
    <w:rsid w:val="003D2F9A"/>
    <w:rsid w:val="003D37D8"/>
    <w:rsid w:val="003D4715"/>
    <w:rsid w:val="00422AD1"/>
    <w:rsid w:val="00426133"/>
    <w:rsid w:val="00426162"/>
    <w:rsid w:val="004358AB"/>
    <w:rsid w:val="00443E90"/>
    <w:rsid w:val="00450005"/>
    <w:rsid w:val="00450334"/>
    <w:rsid w:val="0045680A"/>
    <w:rsid w:val="00462F3D"/>
    <w:rsid w:val="004633B0"/>
    <w:rsid w:val="00464293"/>
    <w:rsid w:val="00476C3B"/>
    <w:rsid w:val="00484A94"/>
    <w:rsid w:val="00485549"/>
    <w:rsid w:val="0049140E"/>
    <w:rsid w:val="004A72FB"/>
    <w:rsid w:val="004B5451"/>
    <w:rsid w:val="004B5827"/>
    <w:rsid w:val="004C175A"/>
    <w:rsid w:val="004C7210"/>
    <w:rsid w:val="005100BA"/>
    <w:rsid w:val="005168C5"/>
    <w:rsid w:val="005218F6"/>
    <w:rsid w:val="00522DB4"/>
    <w:rsid w:val="00523BDD"/>
    <w:rsid w:val="00536DF2"/>
    <w:rsid w:val="00543782"/>
    <w:rsid w:val="00556398"/>
    <w:rsid w:val="005B45CF"/>
    <w:rsid w:val="005B4703"/>
    <w:rsid w:val="005B4D07"/>
    <w:rsid w:val="005B62F6"/>
    <w:rsid w:val="005C31E9"/>
    <w:rsid w:val="005C3BAB"/>
    <w:rsid w:val="005C59D9"/>
    <w:rsid w:val="005D072F"/>
    <w:rsid w:val="005D1CEE"/>
    <w:rsid w:val="005D3ACB"/>
    <w:rsid w:val="005F28C4"/>
    <w:rsid w:val="005F2B78"/>
    <w:rsid w:val="00604AF8"/>
    <w:rsid w:val="00606205"/>
    <w:rsid w:val="00607EC0"/>
    <w:rsid w:val="00610019"/>
    <w:rsid w:val="006110FC"/>
    <w:rsid w:val="00611544"/>
    <w:rsid w:val="006148C9"/>
    <w:rsid w:val="0061606F"/>
    <w:rsid w:val="006214F4"/>
    <w:rsid w:val="00633DBB"/>
    <w:rsid w:val="00656C6E"/>
    <w:rsid w:val="00664732"/>
    <w:rsid w:val="00665EFD"/>
    <w:rsid w:val="00671CB5"/>
    <w:rsid w:val="00672E93"/>
    <w:rsid w:val="00692B80"/>
    <w:rsid w:val="006A2B25"/>
    <w:rsid w:val="006A3869"/>
    <w:rsid w:val="006B534A"/>
    <w:rsid w:val="006C44CC"/>
    <w:rsid w:val="006D4378"/>
    <w:rsid w:val="006D643B"/>
    <w:rsid w:val="006F7634"/>
    <w:rsid w:val="006F7825"/>
    <w:rsid w:val="00701C74"/>
    <w:rsid w:val="0070239F"/>
    <w:rsid w:val="007248B8"/>
    <w:rsid w:val="0073205A"/>
    <w:rsid w:val="007353CA"/>
    <w:rsid w:val="0073541E"/>
    <w:rsid w:val="00740E8C"/>
    <w:rsid w:val="00741563"/>
    <w:rsid w:val="007675CD"/>
    <w:rsid w:val="00774A8F"/>
    <w:rsid w:val="00776CED"/>
    <w:rsid w:val="00783419"/>
    <w:rsid w:val="00793A91"/>
    <w:rsid w:val="00795DC6"/>
    <w:rsid w:val="007B320A"/>
    <w:rsid w:val="007C4E2D"/>
    <w:rsid w:val="007D35F2"/>
    <w:rsid w:val="007D71A4"/>
    <w:rsid w:val="00812FBA"/>
    <w:rsid w:val="00816194"/>
    <w:rsid w:val="00822531"/>
    <w:rsid w:val="008301EB"/>
    <w:rsid w:val="008316FD"/>
    <w:rsid w:val="008370FB"/>
    <w:rsid w:val="008450A8"/>
    <w:rsid w:val="008507C0"/>
    <w:rsid w:val="00854BCB"/>
    <w:rsid w:val="00867E9B"/>
    <w:rsid w:val="00884835"/>
    <w:rsid w:val="00887C39"/>
    <w:rsid w:val="00893277"/>
    <w:rsid w:val="00896D1C"/>
    <w:rsid w:val="008A6AC1"/>
    <w:rsid w:val="008B008A"/>
    <w:rsid w:val="008B2745"/>
    <w:rsid w:val="008B4334"/>
    <w:rsid w:val="008B6523"/>
    <w:rsid w:val="008B7726"/>
    <w:rsid w:val="008D6E85"/>
    <w:rsid w:val="008F2B7A"/>
    <w:rsid w:val="008F7CA5"/>
    <w:rsid w:val="00903E35"/>
    <w:rsid w:val="00907309"/>
    <w:rsid w:val="00911DE1"/>
    <w:rsid w:val="0092193A"/>
    <w:rsid w:val="00921DC2"/>
    <w:rsid w:val="00932126"/>
    <w:rsid w:val="009511C5"/>
    <w:rsid w:val="00951BFC"/>
    <w:rsid w:val="00953E58"/>
    <w:rsid w:val="0096633A"/>
    <w:rsid w:val="0096677C"/>
    <w:rsid w:val="00985236"/>
    <w:rsid w:val="00986A17"/>
    <w:rsid w:val="00986BCF"/>
    <w:rsid w:val="00996AC4"/>
    <w:rsid w:val="009A6871"/>
    <w:rsid w:val="009B2786"/>
    <w:rsid w:val="009D5354"/>
    <w:rsid w:val="009E16F2"/>
    <w:rsid w:val="009F3DF4"/>
    <w:rsid w:val="00A04EFB"/>
    <w:rsid w:val="00A12119"/>
    <w:rsid w:val="00A212F3"/>
    <w:rsid w:val="00A215C9"/>
    <w:rsid w:val="00A30CF8"/>
    <w:rsid w:val="00A320D8"/>
    <w:rsid w:val="00A33F3D"/>
    <w:rsid w:val="00A372BB"/>
    <w:rsid w:val="00A40C60"/>
    <w:rsid w:val="00A46439"/>
    <w:rsid w:val="00A6466C"/>
    <w:rsid w:val="00A656CD"/>
    <w:rsid w:val="00A6775F"/>
    <w:rsid w:val="00A726ED"/>
    <w:rsid w:val="00A838DC"/>
    <w:rsid w:val="00A84AE0"/>
    <w:rsid w:val="00A9135E"/>
    <w:rsid w:val="00AA23FA"/>
    <w:rsid w:val="00AA4E34"/>
    <w:rsid w:val="00AB6BA4"/>
    <w:rsid w:val="00AC6774"/>
    <w:rsid w:val="00AD4C9C"/>
    <w:rsid w:val="00AE6487"/>
    <w:rsid w:val="00AE6C64"/>
    <w:rsid w:val="00B01B88"/>
    <w:rsid w:val="00B100EF"/>
    <w:rsid w:val="00B11389"/>
    <w:rsid w:val="00B12517"/>
    <w:rsid w:val="00B126A7"/>
    <w:rsid w:val="00B22801"/>
    <w:rsid w:val="00B24A4C"/>
    <w:rsid w:val="00B27E33"/>
    <w:rsid w:val="00B4326E"/>
    <w:rsid w:val="00B562D4"/>
    <w:rsid w:val="00B6677A"/>
    <w:rsid w:val="00B73A10"/>
    <w:rsid w:val="00B73AC3"/>
    <w:rsid w:val="00B74951"/>
    <w:rsid w:val="00B82938"/>
    <w:rsid w:val="00B93CFE"/>
    <w:rsid w:val="00BB13C2"/>
    <w:rsid w:val="00BB5D59"/>
    <w:rsid w:val="00C00041"/>
    <w:rsid w:val="00C031DA"/>
    <w:rsid w:val="00C15704"/>
    <w:rsid w:val="00C23A87"/>
    <w:rsid w:val="00C468C3"/>
    <w:rsid w:val="00C66A8C"/>
    <w:rsid w:val="00C71423"/>
    <w:rsid w:val="00C764BE"/>
    <w:rsid w:val="00C857A9"/>
    <w:rsid w:val="00CA308C"/>
    <w:rsid w:val="00CB16FF"/>
    <w:rsid w:val="00CB29BA"/>
    <w:rsid w:val="00CC2EB3"/>
    <w:rsid w:val="00CD328F"/>
    <w:rsid w:val="00CD74BD"/>
    <w:rsid w:val="00CE384A"/>
    <w:rsid w:val="00CF46C2"/>
    <w:rsid w:val="00CF63E7"/>
    <w:rsid w:val="00D01BC1"/>
    <w:rsid w:val="00D10241"/>
    <w:rsid w:val="00D31D50"/>
    <w:rsid w:val="00D42DFD"/>
    <w:rsid w:val="00D476F9"/>
    <w:rsid w:val="00D5491D"/>
    <w:rsid w:val="00D67754"/>
    <w:rsid w:val="00D763B7"/>
    <w:rsid w:val="00D85401"/>
    <w:rsid w:val="00D97534"/>
    <w:rsid w:val="00DA293F"/>
    <w:rsid w:val="00DA473D"/>
    <w:rsid w:val="00DB267C"/>
    <w:rsid w:val="00DC02CD"/>
    <w:rsid w:val="00DC08E6"/>
    <w:rsid w:val="00DD01FE"/>
    <w:rsid w:val="00DE0EDD"/>
    <w:rsid w:val="00DE145A"/>
    <w:rsid w:val="00DF4A6E"/>
    <w:rsid w:val="00E05633"/>
    <w:rsid w:val="00E13180"/>
    <w:rsid w:val="00E148A2"/>
    <w:rsid w:val="00E14B44"/>
    <w:rsid w:val="00E161F9"/>
    <w:rsid w:val="00E210A0"/>
    <w:rsid w:val="00E342C9"/>
    <w:rsid w:val="00E35A97"/>
    <w:rsid w:val="00E4304A"/>
    <w:rsid w:val="00E4505D"/>
    <w:rsid w:val="00E45BB8"/>
    <w:rsid w:val="00E51943"/>
    <w:rsid w:val="00E63BFD"/>
    <w:rsid w:val="00E65FB9"/>
    <w:rsid w:val="00E66C57"/>
    <w:rsid w:val="00E679DB"/>
    <w:rsid w:val="00E774C6"/>
    <w:rsid w:val="00E807D3"/>
    <w:rsid w:val="00E83642"/>
    <w:rsid w:val="00EA1489"/>
    <w:rsid w:val="00EB4102"/>
    <w:rsid w:val="00EB4E98"/>
    <w:rsid w:val="00EB7C16"/>
    <w:rsid w:val="00EC780B"/>
    <w:rsid w:val="00EC7A9C"/>
    <w:rsid w:val="00EE2BF0"/>
    <w:rsid w:val="00EE50F7"/>
    <w:rsid w:val="00F01F77"/>
    <w:rsid w:val="00F02F9C"/>
    <w:rsid w:val="00F04234"/>
    <w:rsid w:val="00F15448"/>
    <w:rsid w:val="00F21AAA"/>
    <w:rsid w:val="00F340F3"/>
    <w:rsid w:val="00F535DE"/>
    <w:rsid w:val="00F56107"/>
    <w:rsid w:val="00F634A7"/>
    <w:rsid w:val="00F805F0"/>
    <w:rsid w:val="00F957A8"/>
    <w:rsid w:val="00FA233C"/>
    <w:rsid w:val="00FC73A4"/>
    <w:rsid w:val="00FD35EB"/>
    <w:rsid w:val="00FE0475"/>
    <w:rsid w:val="00FE272F"/>
    <w:rsid w:val="00FF20E5"/>
    <w:rsid w:val="00FF3EEA"/>
    <w:rsid w:val="028013B5"/>
    <w:rsid w:val="09155F3F"/>
    <w:rsid w:val="0B0F2C7D"/>
    <w:rsid w:val="0CA048AE"/>
    <w:rsid w:val="14B85CE3"/>
    <w:rsid w:val="1E0140B3"/>
    <w:rsid w:val="2DD12406"/>
    <w:rsid w:val="35EA3095"/>
    <w:rsid w:val="59B75233"/>
    <w:rsid w:val="5C5C0587"/>
    <w:rsid w:val="6AD261CC"/>
    <w:rsid w:val="7554431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5"/>
    <w:semiHidden/>
    <w:unhideWhenUsed/>
    <w:qFormat/>
    <w:uiPriority w:val="99"/>
    <w:pPr>
      <w:ind w:left="100" w:leftChars="2500"/>
    </w:pPr>
  </w:style>
  <w:style w:type="paragraph" w:styleId="3">
    <w:name w:val="Balloon Text"/>
    <w:basedOn w:val="1"/>
    <w:link w:val="14"/>
    <w:semiHidden/>
    <w:unhideWhenUsed/>
    <w:qFormat/>
    <w:uiPriority w:val="99"/>
    <w:pPr>
      <w:spacing w:after="0"/>
    </w:pPr>
    <w:rPr>
      <w:sz w:val="18"/>
      <w:szCs w:val="18"/>
    </w:rPr>
  </w:style>
  <w:style w:type="paragraph" w:styleId="4">
    <w:name w:val="footer"/>
    <w:basedOn w:val="1"/>
    <w:link w:val="12"/>
    <w:unhideWhenUsed/>
    <w:qFormat/>
    <w:uiPriority w:val="99"/>
    <w:pPr>
      <w:tabs>
        <w:tab w:val="center" w:pos="4153"/>
        <w:tab w:val="right" w:pos="8306"/>
      </w:tabs>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jc w:val="center"/>
    </w:pPr>
    <w:rPr>
      <w:sz w:val="18"/>
      <w:szCs w:val="18"/>
    </w:rPr>
  </w:style>
  <w:style w:type="paragraph" w:styleId="6">
    <w:name w:val="Normal (Web)"/>
    <w:basedOn w:val="1"/>
    <w:unhideWhenUsed/>
    <w:qFormat/>
    <w:uiPriority w:val="99"/>
    <w:pPr>
      <w:adjustRightInd/>
      <w:snapToGrid/>
      <w:spacing w:before="100" w:beforeAutospacing="1" w:after="100" w:afterAutospacing="1"/>
    </w:pPr>
    <w:rPr>
      <w:rFonts w:ascii="宋体" w:hAnsi="宋体" w:eastAsia="宋体" w:cs="宋体"/>
      <w:sz w:val="24"/>
      <w:szCs w:val="24"/>
    </w:rPr>
  </w:style>
  <w:style w:type="character" w:styleId="9">
    <w:name w:val="Strong"/>
    <w:basedOn w:val="8"/>
    <w:qFormat/>
    <w:uiPriority w:val="22"/>
    <w:rPr>
      <w:b/>
      <w:bCs/>
    </w:rPr>
  </w:style>
  <w:style w:type="character" w:styleId="10">
    <w:name w:val="Hyperlink"/>
    <w:basedOn w:val="8"/>
    <w:semiHidden/>
    <w:unhideWhenUsed/>
    <w:qFormat/>
    <w:uiPriority w:val="99"/>
    <w:rPr>
      <w:color w:val="0000FF"/>
      <w:u w:val="single"/>
    </w:rPr>
  </w:style>
  <w:style w:type="character" w:customStyle="1" w:styleId="11">
    <w:name w:val="页眉 Char"/>
    <w:basedOn w:val="8"/>
    <w:link w:val="5"/>
    <w:qFormat/>
    <w:uiPriority w:val="99"/>
    <w:rPr>
      <w:rFonts w:ascii="Tahoma" w:hAnsi="Tahoma"/>
      <w:sz w:val="18"/>
      <w:szCs w:val="18"/>
    </w:rPr>
  </w:style>
  <w:style w:type="character" w:customStyle="1" w:styleId="12">
    <w:name w:val="页脚 Char"/>
    <w:basedOn w:val="8"/>
    <w:link w:val="4"/>
    <w:qFormat/>
    <w:uiPriority w:val="99"/>
    <w:rPr>
      <w:rFonts w:ascii="Tahoma" w:hAnsi="Tahoma"/>
      <w:sz w:val="18"/>
      <w:szCs w:val="18"/>
    </w:rPr>
  </w:style>
  <w:style w:type="character" w:customStyle="1" w:styleId="13">
    <w:name w:val="apple-converted-space"/>
    <w:basedOn w:val="8"/>
    <w:qFormat/>
    <w:uiPriority w:val="0"/>
  </w:style>
  <w:style w:type="character" w:customStyle="1" w:styleId="14">
    <w:name w:val="批注框文本 Char"/>
    <w:basedOn w:val="8"/>
    <w:link w:val="3"/>
    <w:semiHidden/>
    <w:qFormat/>
    <w:uiPriority w:val="99"/>
    <w:rPr>
      <w:rFonts w:ascii="Tahoma" w:hAnsi="Tahoma"/>
      <w:sz w:val="18"/>
      <w:szCs w:val="18"/>
    </w:rPr>
  </w:style>
  <w:style w:type="character" w:customStyle="1" w:styleId="15">
    <w:name w:val="日期 Char"/>
    <w:basedOn w:val="8"/>
    <w:link w:val="2"/>
    <w:semiHidden/>
    <w:qFormat/>
    <w:uiPriority w:val="99"/>
    <w:rPr>
      <w:rFonts w:ascii="Tahoma" w:hAnsi="Tahoma"/>
    </w:rPr>
  </w:style>
  <w:style w:type="paragraph" w:customStyle="1" w:styleId="16">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6DFE6C-F2A4-4F5F-BB65-0E9F1B7B5B86}">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475</Words>
  <Characters>2709</Characters>
  <Lines>22</Lines>
  <Paragraphs>6</Paragraphs>
  <TotalTime>0</TotalTime>
  <ScaleCrop>false</ScaleCrop>
  <LinksUpToDate>false</LinksUpToDate>
  <CharactersWithSpaces>3178</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2023-03-07T02:05:00Z</dcterms:created>
  <dc:creator>Administrator</dc:creator>
  <cp:lastModifiedBy>User</cp:lastModifiedBy>
  <cp:lastPrinted>2022-09-15T07:23:00Z</cp:lastPrinted>
  <dcterms:modified xsi:type="dcterms:W3CDTF">2024-01-30T10:07:40Z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263D29F5F26946879A4BE06764A6BD49</vt:lpwstr>
  </property>
</Properties>
</file>