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关于代销</w:t>
      </w:r>
      <w:r>
        <w:rPr>
          <w:rFonts w:hint="eastAsia" w:ascii="宋体" w:hAnsi="宋体" w:eastAsia="宋体" w:cs="宋体"/>
          <w:b/>
          <w:bCs/>
          <w:sz w:val="36"/>
          <w:lang w:eastAsia="zh-CN"/>
        </w:rPr>
        <w:t>南银理财珠联璧合鑫逸稳两年59期封闭式公募人民币理财产品</w:t>
      </w:r>
      <w:r>
        <w:rPr>
          <w:rFonts w:hint="eastAsia" w:ascii="宋体" w:hAnsi="宋体" w:eastAsia="宋体" w:cs="宋体"/>
          <w:b/>
          <w:bCs/>
          <w:sz w:val="36"/>
        </w:rPr>
        <w:t>的通知</w:t>
      </w:r>
    </w:p>
    <w:p>
      <w:pPr>
        <w:adjustRightInd/>
        <w:snapToGrid/>
        <w:spacing w:after="0" w:line="555" w:lineRule="atLeast"/>
        <w:rPr>
          <w:rFonts w:ascii="仿宋_GB2312" w:hAnsi="微软雅黑" w:eastAsia="仿宋_GB2312" w:cs="宋体"/>
          <w:color w:val="000000"/>
          <w:sz w:val="32"/>
          <w:szCs w:val="32"/>
        </w:rPr>
      </w:pPr>
    </w:p>
    <w:p>
      <w:pPr>
        <w:adjustRightInd/>
        <w:snapToGrid/>
        <w:spacing w:after="0" w:line="555" w:lineRule="atLeast"/>
        <w:rPr>
          <w:rFonts w:ascii="微软雅黑" w:hAnsi="微软雅黑" w:cs="宋体"/>
          <w:color w:val="000000"/>
          <w:sz w:val="30"/>
          <w:szCs w:val="30"/>
        </w:rPr>
      </w:pPr>
      <w:r>
        <w:rPr>
          <w:rFonts w:hint="eastAsia" w:ascii="仿宋_GB2312" w:hAnsi="微软雅黑" w:eastAsia="仿宋_GB2312" w:cs="宋体"/>
          <w:color w:val="000000"/>
          <w:sz w:val="32"/>
          <w:szCs w:val="32"/>
        </w:rPr>
        <w:t>各分(支)行、总行营业部：</w:t>
      </w:r>
    </w:p>
    <w:p>
      <w:pPr>
        <w:adjustRightInd/>
        <w:snapToGrid/>
        <w:spacing w:after="0"/>
        <w:ind w:firstLine="63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sz w:val="32"/>
          <w:szCs w:val="32"/>
          <w:lang w:eastAsia="zh-CN"/>
        </w:rPr>
        <w:t>2024年01月31日起代销</w:t>
      </w:r>
      <w:r>
        <w:rPr>
          <w:rFonts w:hint="eastAsia" w:ascii="仿宋_GB2312" w:hAnsi="仿宋_GB2312" w:eastAsia="仿宋_GB2312" w:cs="仿宋_GB2312"/>
          <w:color w:val="FF0000"/>
          <w:sz w:val="32"/>
          <w:szCs w:val="32"/>
          <w:lang w:eastAsia="zh-CN"/>
        </w:rPr>
        <w:t>南银理财有限责任公司</w:t>
      </w:r>
      <w:r>
        <w:rPr>
          <w:rFonts w:hint="eastAsia" w:ascii="仿宋_GB2312" w:hAnsi="微软雅黑" w:eastAsia="仿宋_GB2312" w:cs="宋体"/>
          <w:sz w:val="32"/>
          <w:szCs w:val="32"/>
          <w:lang w:eastAsia="zh-CN"/>
        </w:rPr>
        <w:t>发行的珠联璧合鑫逸稳两年59期封闭式公募人民币理财产品</w:t>
      </w:r>
      <w:r>
        <w:rPr>
          <w:rFonts w:hint="eastAsia" w:ascii="仿宋_GB2312" w:hAnsi="微软雅黑" w:eastAsia="仿宋_GB2312" w:cs="宋体"/>
          <w:sz w:val="32"/>
          <w:szCs w:val="32"/>
        </w:rPr>
        <w:t>，</w:t>
      </w:r>
      <w:r>
        <w:rPr>
          <w:rFonts w:hint="eastAsia" w:ascii="仿宋_GB2312" w:hAnsi="微软雅黑" w:eastAsia="仿宋_GB2312" w:cs="宋体"/>
          <w:color w:val="000000"/>
          <w:sz w:val="32"/>
          <w:szCs w:val="32"/>
        </w:rPr>
        <w:t>目前</w:t>
      </w:r>
      <w:r>
        <w:rPr>
          <w:rFonts w:hint="eastAsia" w:ascii="仿宋_GB2312" w:hAnsi="微软雅黑" w:eastAsia="仿宋_GB2312" w:cs="宋体"/>
          <w:b/>
          <w:color w:val="FF0000"/>
          <w:sz w:val="32"/>
          <w:szCs w:val="32"/>
        </w:rPr>
        <w:t>对公客户</w:t>
      </w:r>
      <w:r>
        <w:rPr>
          <w:rFonts w:hint="eastAsia" w:ascii="仿宋_GB2312" w:hAnsi="微软雅黑" w:eastAsia="仿宋_GB2312" w:cs="宋体"/>
          <w:color w:val="000000"/>
          <w:sz w:val="32"/>
          <w:szCs w:val="32"/>
        </w:rPr>
        <w:t>可在</w:t>
      </w:r>
      <w:r>
        <w:rPr>
          <w:rFonts w:hint="eastAsia" w:ascii="仿宋_GB2312" w:hAnsi="微软雅黑" w:eastAsia="仿宋_GB2312" w:cs="宋体"/>
          <w:b/>
          <w:color w:val="FF0000"/>
          <w:sz w:val="32"/>
          <w:szCs w:val="32"/>
        </w:rPr>
        <w:t>柜面、网银</w:t>
      </w:r>
      <w:r>
        <w:rPr>
          <w:rFonts w:hint="eastAsia" w:ascii="仿宋_GB2312" w:hAnsi="微软雅黑" w:eastAsia="仿宋_GB2312" w:cs="宋体"/>
          <w:color w:val="000000"/>
          <w:sz w:val="32"/>
          <w:szCs w:val="32"/>
        </w:rPr>
        <w:t>销售，</w:t>
      </w:r>
      <w:r>
        <w:rPr>
          <w:rFonts w:hint="eastAsia" w:ascii="仿宋_GB2312" w:hAnsi="微软雅黑" w:eastAsia="仿宋_GB2312" w:cs="宋体"/>
          <w:b/>
          <w:color w:val="FF0000"/>
          <w:sz w:val="32"/>
          <w:szCs w:val="32"/>
        </w:rPr>
        <w:t>个人客户</w:t>
      </w:r>
      <w:r>
        <w:rPr>
          <w:rFonts w:hint="eastAsia" w:ascii="仿宋_GB2312" w:hAnsi="微软雅黑" w:eastAsia="仿宋_GB2312" w:cs="宋体"/>
          <w:color w:val="000000"/>
          <w:sz w:val="32"/>
          <w:szCs w:val="32"/>
        </w:rPr>
        <w:t>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销售。该产品</w:t>
      </w:r>
      <w:r>
        <w:rPr>
          <w:rFonts w:hint="eastAsia" w:ascii="仿宋_GB2312" w:hAnsi="微软雅黑" w:eastAsia="仿宋_GB2312" w:cs="宋体"/>
          <w:b/>
          <w:color w:val="FF0000"/>
          <w:sz w:val="32"/>
          <w:szCs w:val="32"/>
        </w:rPr>
        <w:t>销售服务费率</w:t>
      </w:r>
      <w:r>
        <w:rPr>
          <w:rFonts w:hint="eastAsia" w:ascii="仿宋_GB2312" w:hAnsi="微软雅黑" w:eastAsia="仿宋_GB2312" w:cs="宋体"/>
          <w:b/>
          <w:color w:val="FF0000"/>
          <w:sz w:val="32"/>
          <w:szCs w:val="32"/>
          <w:lang w:eastAsia="zh-CN"/>
        </w:rPr>
        <w:t>0.30%</w:t>
      </w:r>
      <w:r>
        <w:rPr>
          <w:rFonts w:hint="eastAsia" w:ascii="仿宋_GB2312" w:hAnsi="微软雅黑" w:eastAsia="仿宋_GB2312" w:cs="宋体"/>
          <w:b/>
          <w:color w:val="FF0000"/>
          <w:sz w:val="32"/>
          <w:szCs w:val="32"/>
        </w:rPr>
        <w:t>/年</w:t>
      </w:r>
      <w:r>
        <w:rPr>
          <w:rFonts w:hint="eastAsia" w:ascii="仿宋_GB2312" w:hAnsi="微软雅黑" w:eastAsia="仿宋_GB2312" w:cs="宋体"/>
          <w:color w:val="000000"/>
          <w:sz w:val="32"/>
          <w:szCs w:val="32"/>
        </w:rPr>
        <w:t>。部分要素如下：</w:t>
      </w:r>
    </w:p>
    <w:p>
      <w:pPr>
        <w:pStyle w:val="17"/>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p>
    <w:tbl>
      <w:tblPr>
        <w:tblStyle w:val="7"/>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南银理财珠联璧合鑫逸稳两年59期封闭式公募人民币理财产品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ZZ700322303731</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Z7003224000024(投资者可依据该编码在中国理财网www.chinawealth.com.cn查询理财产品相关信息）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A份额：Y60059</w:t>
            </w:r>
          </w:p>
          <w:p>
            <w:pPr>
              <w:spacing w:line="200" w:lineRule="exact"/>
              <w:rPr>
                <w:rFonts w:hint="eastAsia" w:ascii="宋体" w:hAnsi="宋体" w:eastAsia="宋体" w:cs="宋体"/>
                <w:sz w:val="18"/>
              </w:rPr>
            </w:pPr>
            <w:r>
              <w:rPr>
                <w:rFonts w:hint="eastAsia" w:ascii="宋体" w:hAnsi="宋体" w:eastAsia="宋体" w:cs="宋体"/>
                <w:sz w:val="18"/>
                <w:szCs w:val="18"/>
              </w:rPr>
              <w:t>B份额：Y61059</w:t>
            </w:r>
          </w:p>
          <w:p>
            <w:pPr>
              <w:spacing w:line="200" w:lineRule="exact"/>
              <w:rPr>
                <w:rFonts w:hint="eastAsia" w:ascii="宋体" w:hAnsi="宋体" w:eastAsia="宋体" w:cs="宋体"/>
                <w:sz w:val="18"/>
              </w:rPr>
            </w:pPr>
            <w:r>
              <w:rPr>
                <w:rFonts w:hint="eastAsia" w:ascii="宋体" w:hAnsi="宋体" w:eastAsia="宋体" w:cs="宋体"/>
                <w:sz w:val="18"/>
                <w:szCs w:val="18"/>
              </w:rPr>
              <w:t>C份额：Y62059</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lang w:eastAsia="zh-CN"/>
              </w:rPr>
            </w:pPr>
            <w:r>
              <w:rPr>
                <w:rFonts w:hint="eastAsia" w:ascii="宋体" w:hAnsi="宋体" w:eastAsia="宋体" w:cs="宋体"/>
                <w:caps w:val="0"/>
                <w:smallCaps w:val="0"/>
                <w:snapToGrid/>
                <w:vanish w:val="0"/>
                <w:color w:val="auto"/>
                <w:kern w:val="0"/>
                <w:sz w:val="18"/>
                <w:szCs w:val="18"/>
                <w:vertAlign w:val="baseline"/>
                <w:lang w:eastAsia="zh-CN"/>
              </w:rPr>
              <w:t>A份额：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lang w:eastAsia="zh-CN"/>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szCs w:val="18"/>
                <w:lang w:eastAsia="zh-CN"/>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lang w:eastAsia="zh-CN"/>
              </w:rPr>
            </w:pPr>
            <w:r>
              <w:rPr>
                <w:rFonts w:hint="eastAsia" w:ascii="宋体" w:hAnsi="宋体" w:eastAsia="宋体" w:cs="宋体"/>
                <w:sz w:val="18"/>
                <w:lang w:eastAsia="zh-CN"/>
              </w:rPr>
              <w:t>A份额：Y60059</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2024年01月31日 09:00—2024年02月06日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360" w:lineRule="auto"/>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2024年02月07日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2024年02月07日—实际到期日（</w:t>
            </w:r>
            <w:r>
              <w:rPr>
                <w:rFonts w:hint="eastAsia" w:ascii="宋体" w:hAnsi="宋体" w:eastAsia="宋体" w:cs="宋体"/>
                <w:b/>
                <w:sz w:val="18"/>
                <w:szCs w:val="18"/>
              </w:rPr>
              <w:t>如名义到期日遇国家法定节假日，管理人可结合国家法定节假日安排进行调整。同时管理人有权提前终止本产品（提前终止情形详见本产品说明书其他说明事项第一条）。</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756天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2026年03月04日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b w:val="0"/>
                <w:sz w:val="18"/>
              </w:rPr>
            </w:pPr>
            <w:r>
              <w:rPr>
                <w:rFonts w:hint="eastAsia" w:ascii="宋体" w:hAnsi="宋体" w:eastAsia="宋体" w:cs="宋体"/>
                <w:b w:val="0"/>
                <w:sz w:val="18"/>
                <w:szCs w:val="18"/>
              </w:rPr>
              <w:t>当理财产品单位净值不低于1时，管理人可以根据实际情况进行收益分配，分配方式为现金分红，具体分配方案以信息披露为准（分配后理财产品净值不低于1）。</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rPr>
                <w:rFonts w:hint="eastAsia" w:ascii="宋体" w:hAnsi="宋体" w:eastAsia="宋体" w:cs="宋体"/>
                <w:sz w:val="18"/>
              </w:rPr>
            </w:pPr>
            <w:r>
              <w:rPr>
                <w:rFonts w:hint="eastAsia" w:ascii="宋体" w:hAnsi="宋体" w:eastAsia="宋体" w:cs="宋体"/>
                <w:sz w:val="18"/>
                <w:szCs w:val="18"/>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b w:val="0"/>
                <w:sz w:val="18"/>
              </w:rPr>
            </w:pPr>
            <w:r>
              <w:rPr>
                <w:rFonts w:hint="eastAsia" w:ascii="宋体" w:hAnsi="宋体" w:eastAsia="宋体" w:cs="宋体"/>
                <w:b w:val="0"/>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本理财产品投资于固定收益类资产的比例为100%,投资于非标准化债权类资产的比例不高于50%。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1、信托贷款：资产类型为信托公司设立的固定收益类信托计划，底层资产为向融资人邳州市产业投资控股集团有限公司发放信托贷款，融资人评级为AA+（评级机构为中诚信国际信用评级有限责任公司）。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固定收益类信托计划，底层资产为向融资人徐州经济技术开发区国有资产经营有限责任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3、信托贷款：资产类型为信托公司设立的固定收益类信托计划，底层资产为向融资人徐州金龙湖控股集团有限公司发放信托贷款，融资人评级为AA（评级机构为联合资信评估股份有限公司）。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4、信托贷款：资产类型为信托公司设立的固定收益类信托计划，底层资产为向融资人无锡惠山高科集团有限公司发放信托贷款，融资人评级为AA+（评级机构为上海新世纪资信评估投资服务有限公司）。</w:t>
            </w:r>
          </w:p>
          <w:p>
            <w:pPr>
              <w:spacing w:line="200" w:lineRule="exact"/>
              <w:rPr>
                <w:rFonts w:hint="eastAsia" w:ascii="宋体" w:hAnsi="宋体" w:eastAsia="宋体" w:cs="宋体"/>
                <w:sz w:val="18"/>
              </w:rPr>
            </w:pPr>
            <w:r>
              <w:rPr>
                <w:rFonts w:hint="eastAsia" w:ascii="宋体" w:hAnsi="宋体" w:eastAsia="宋体" w:cs="宋体"/>
                <w:sz w:val="18"/>
                <w:szCs w:val="18"/>
              </w:rPr>
              <w:t>5、信托贷款：资产类型为信托公司设立的固定收益类信托计划，底层资产为向融资人江苏开晟产业发展集团有限公司发放信托贷款，融资人评级为AA+（评级机构为联合资信评估股份有限公司）。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6、信托贷款：资产类型为信托公司设立的固定收益类信托计划，底层资产为向融资人江苏开晟产业发展集团有限公司发放信托贷款，融资人评级为AA+（评级机构为联合资信评估股份有限公司）。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A份额：业绩比较基准为年化3.5%-4.1% 。</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B份额：业绩比较基准为年化3.6%-4.2% 。</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C份额：业绩比较基准为年化3.7%-4.3% 。</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bCs/>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B份额：销售费年化0.15%</w:t>
            </w:r>
          </w:p>
          <w:p>
            <w:pPr>
              <w:spacing w:line="200" w:lineRule="exact"/>
              <w:rPr>
                <w:rFonts w:hint="eastAsia" w:ascii="宋体" w:hAnsi="宋体" w:eastAsia="宋体" w:cs="宋体"/>
                <w:sz w:val="18"/>
              </w:rPr>
            </w:pPr>
            <w:r>
              <w:rPr>
                <w:rFonts w:hint="eastAsia" w:ascii="宋体" w:hAnsi="宋体" w:eastAsia="宋体" w:cs="宋体"/>
                <w:b/>
                <w:sz w:val="18"/>
                <w:szCs w:val="18"/>
              </w:rPr>
              <w:t>C份额：销售费年化0.05%</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A份额：固定管理费年化0.3%</w:t>
            </w:r>
          </w:p>
          <w:p>
            <w:pPr>
              <w:spacing w:line="200" w:lineRule="exact"/>
              <w:rPr>
                <w:rFonts w:hint="eastAsia" w:ascii="宋体" w:hAnsi="宋体" w:eastAsia="宋体" w:cs="宋体"/>
                <w:sz w:val="18"/>
              </w:rPr>
            </w:pPr>
            <w:r>
              <w:rPr>
                <w:rFonts w:hint="eastAsia" w:ascii="宋体" w:hAnsi="宋体" w:eastAsia="宋体" w:cs="宋体"/>
                <w:b/>
                <w:sz w:val="18"/>
                <w:szCs w:val="18"/>
              </w:rPr>
              <w:t>B份额：固定管理费年化0.25%</w:t>
            </w:r>
          </w:p>
          <w:p>
            <w:pPr>
              <w:spacing w:line="200" w:lineRule="exact"/>
              <w:rPr>
                <w:rFonts w:hint="eastAsia" w:ascii="宋体" w:hAnsi="宋体" w:eastAsia="宋体" w:cs="宋体"/>
                <w:sz w:val="18"/>
              </w:rPr>
            </w:pPr>
            <w:r>
              <w:rPr>
                <w:rFonts w:hint="eastAsia" w:ascii="宋体" w:hAnsi="宋体" w:eastAsia="宋体" w:cs="宋体"/>
                <w:b/>
                <w:sz w:val="18"/>
                <w:szCs w:val="18"/>
              </w:rPr>
              <w:t>C份额：固定管理费年化0.25%</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sz w:val="18"/>
              </w:rPr>
            </w:pPr>
            <w:r>
              <w:rPr>
                <w:rFonts w:hint="eastAsia" w:ascii="宋体" w:hAnsi="宋体" w:eastAsia="宋体" w:cs="宋体"/>
                <w:b/>
                <w:sz w:val="18"/>
                <w:szCs w:val="18"/>
              </w:rPr>
              <w:t>A份额：到期兑付时，当期产品投资的实际资产组合收益（扣除销售费、固定管理费、托管费等相关费用）在3.5%（含）（年化，即产品该份额对应的业绩报酬计提基准）至4.1%（不含）之间的部分，管理人将按超过3.5%部分的50%收取业绩报酬；在4.1%（含）（年化，即产品该份额对应的业绩报酬计提基准）以上的部分，管理人将按超过4.1%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B份额：到期兑付时，当期产品投资的实际资产组合收益（扣除销售费、固定管理费、托管费等相关费用）在3.6%（含）（年化，即产品该份额对应的业绩报酬计提基准）至4.2%（不含）之间的部分，管理人将按超过3.6%部分的50%收取业绩报酬；在4.2%（含）（年化，即产品该份额对应的业绩报酬计提基准）以上的部分，管理人将按超过4.2%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C份额：到期兑付时，当期产品投资的实际资产组合收益（扣除销售费、固定管理费、托管费等相关费用）在3.7%（含）（年化，即产品该份额对应的业绩报酬计提基准）至4.3%（不含）之间的部分，管理人将按超过3.7%部分的50%收取业绩报酬；在4.3%（含）（年化，即产品该份额对应的业绩报酬计提基准）以上的部分，管理人将按超过4.3%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lang w:eastAsia="zh-CN"/>
              </w:rPr>
              <w:t>A份额：业绩比较基准为年化3.5%-4.1% 。</w:t>
            </w:r>
            <w:r>
              <w:rPr>
                <w:rFonts w:hint="eastAsia" w:ascii="宋体" w:hAnsi="宋体" w:eastAsia="宋体" w:cs="宋体"/>
                <w:b/>
                <w:sz w:val="18"/>
                <w:szCs w:val="18"/>
              </w:rPr>
              <w:t>》（财会〔2022〕14号）“将当期发生的管理人报酬计入当期损益”的相关规定，本理财产品将每日计提暂估的业绩报酬（如有）。</w:t>
            </w:r>
          </w:p>
          <w:p>
            <w:pPr>
              <w:spacing w:line="200" w:lineRule="exact"/>
              <w:rPr>
                <w:rFonts w:hint="eastAsia" w:ascii="宋体" w:hAnsi="宋体" w:eastAsia="宋体" w:cs="宋体"/>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bl>
    <w:p>
      <w:pPr>
        <w:adjustRightInd/>
        <w:snapToGrid/>
        <w:spacing w:after="0"/>
        <w:ind w:firstLine="630"/>
        <w:jc w:val="center"/>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ind w:firstLine="640" w:firstLineChars="200"/>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w:t>
      </w:r>
      <w:r>
        <w:rPr>
          <w:rFonts w:hint="eastAsia" w:ascii="仿宋_GB2312" w:hAnsi="微软雅黑" w:eastAsia="仿宋_GB2312" w:cs="宋体"/>
          <w:color w:val="FF0000"/>
          <w:sz w:val="32"/>
          <w:szCs w:val="32"/>
        </w:rPr>
        <w:t>紫金农商银行对本产品的风险评级为中低风险</w:t>
      </w:r>
      <w:r>
        <w:rPr>
          <w:rFonts w:ascii="仿宋_GB2312" w:hAnsi="微软雅黑" w:eastAsia="仿宋_GB2312" w:cs="宋体"/>
          <w:color w:val="FF0000"/>
          <w:sz w:val="32"/>
          <w:szCs w:val="32"/>
        </w:rPr>
        <w:t>。</w:t>
      </w:r>
    </w:p>
    <w:p>
      <w:pPr>
        <w:adjustRightInd/>
        <w:snapToGrid/>
        <w:spacing w:after="0"/>
        <w:ind w:firstLine="640" w:firstLineChars="20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4.如有其他未尽事宜以私人银行部解释为准。</w:t>
      </w:r>
    </w:p>
    <w:p>
      <w:pPr>
        <w:adjustRightInd/>
        <w:snapToGrid/>
        <w:spacing w:after="0"/>
        <w:ind w:firstLine="361" w:firstLineChars="200"/>
        <w:rPr>
          <w:rFonts w:hint="eastAsia" w:ascii="宋体" w:hAnsi="宋体" w:eastAsia="宋体" w:cs="宋体"/>
          <w:b/>
          <w:color w:val="000000"/>
          <w:sz w:val="18"/>
          <w:szCs w:val="32"/>
          <w:lang w:eastAsia="zh-CN"/>
        </w:rPr>
      </w:pPr>
      <w:bookmarkStart w:id="0" w:name="_GoBack"/>
      <w:r>
        <w:rPr>
          <w:rFonts w:hint="eastAsia" w:ascii="宋体" w:hAnsi="宋体" w:eastAsia="宋体" w:cs="宋体"/>
          <w:b/>
          <w:color w:val="000000"/>
          <w:sz w:val="18"/>
          <w:szCs w:val="32"/>
          <w:lang w:eastAsia="zh-CN"/>
        </w:rPr>
        <w:t>年59期封闭式公募人民币理财产品风险揭示书</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2.南银理财珠联璧合鑫逸稳两年59期封闭式公募人民币理财产品说明书</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A份额：销售费年化0.2%3.南银理财产品销售协议书</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4.南银理财投资者权益须知</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5.南银理财产品投资协议书</w:t>
      </w:r>
    </w:p>
    <w:p>
      <w:pPr>
        <w:adjustRightInd/>
        <w:snapToGrid/>
        <w:spacing w:after="0"/>
        <w:jc w:val="right"/>
        <w:rPr>
          <w:rFonts w:hint="eastAsia" w:ascii="宋体" w:hAnsi="宋体" w:eastAsia="宋体" w:cs="宋体"/>
          <w:b/>
          <w:color w:val="000000"/>
          <w:sz w:val="18"/>
          <w:szCs w:val="32"/>
          <w:lang w:val="en-US" w:eastAsia="zh-CN"/>
        </w:rPr>
      </w:pPr>
      <w:r>
        <w:rPr>
          <w:rFonts w:hint="eastAsia" w:ascii="宋体" w:hAnsi="宋体" w:eastAsia="宋体" w:cs="宋体"/>
          <w:b/>
          <w:color w:val="000000"/>
          <w:sz w:val="18"/>
          <w:szCs w:val="32"/>
          <w:lang w:val="en-US" w:eastAsia="zh-CN"/>
        </w:rPr>
        <w:t>A份额：固定管理费年化0.3%0日</w:t>
      </w:r>
    </w:p>
    <w:bookmarkEnd w:id="0"/>
    <w:sectPr>
      <w:headerReference r:id="rId5" w:type="default"/>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黑体_GBK">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right="34"/>
      <w:jc w:val="right"/>
      <w:rPr>
        <w:rFonts w:ascii="宋体" w:hAnsi="宋体" w:eastAsia="宋体" w:cs="宋体"/>
        <w:sz w:val="18"/>
        <w:szCs w:val="18"/>
      </w:rPr>
    </w:pPr>
    <w:r>
      <w:rPr>
        <w:rFonts w:ascii="Arial" w:hAnsi="Arial" w:eastAsia="Arial" w:cs="Arial"/>
        <w:sz w:val="21"/>
        <w:szCs w:val="21"/>
      </w:rPr>
      <w:pict>
        <v:shape id="_x0000_s71682" o:spid="_x0000_s71682" style="position:absolute;left:0pt;margin-left:88.6pt;margin-top:55.2pt;height:0.5pt;width:418.3pt;mso-position-horizontal-relative:page;mso-position-vertical-relative:page;z-index:251659264;mso-width-relative:page;mso-height-relative:page;" fillcolor="#000000" filled="t" stroked="f" coordsize="8365,10" o:allowincell="f" path="m0,9l8365,9,8365,0,0,0,0,9xe">
          <v:path/>
          <v:fill on="t" focussize="0,0"/>
          <v:stroke on="f"/>
          <v:imagedata o:title=""/>
          <o:lock v:ext="edit"/>
        </v:shape>
      </w:pict>
    </w:r>
    <w:r>
      <w:rPr>
        <w:rFonts w:ascii="宋体" w:hAnsi="宋体" w:eastAsia="宋体" w:cs="宋体"/>
        <w:spacing w:val="6"/>
        <w:sz w:val="18"/>
        <w:szCs w:val="18"/>
      </w:rPr>
      <w:t>南银理财</w:t>
    </w:r>
    <w:r>
      <w:rPr>
        <w:rFonts w:ascii="宋体" w:hAnsi="宋体" w:eastAsia="宋体" w:cs="宋体"/>
        <w:spacing w:val="5"/>
        <w:sz w:val="18"/>
        <w:szCs w:val="18"/>
      </w:rPr>
      <w:t>理</w:t>
    </w:r>
    <w:r>
      <w:rPr>
        <w:rFonts w:ascii="宋体" w:hAnsi="宋体" w:eastAsia="宋体" w:cs="宋体"/>
        <w:spacing w:val="3"/>
        <w:sz w:val="18"/>
        <w:szCs w:val="18"/>
      </w:rPr>
      <w:t>财产品销售文件(</w:t>
    </w:r>
    <w:r>
      <w:rPr>
        <w:rFonts w:ascii="Times New Roman" w:hAnsi="Times New Roman" w:eastAsia="Times New Roman" w:cs="Times New Roman"/>
        <w:spacing w:val="3"/>
        <w:sz w:val="18"/>
        <w:szCs w:val="18"/>
      </w:rPr>
      <w:t>2021</w:t>
    </w:r>
    <w:r>
      <w:rPr>
        <w:rFonts w:ascii="宋体" w:hAnsi="宋体" w:eastAsia="宋体" w:cs="宋体"/>
        <w:spacing w:val="3"/>
        <w:sz w:val="18"/>
        <w:szCs w:val="18"/>
      </w:rPr>
      <w:t>第</w:t>
    </w:r>
    <w:r>
      <w:rPr>
        <w:rFonts w:ascii="Times New Roman" w:hAnsi="Times New Roman" w:eastAsia="Times New Roman" w:cs="Times New Roman"/>
        <w:spacing w:val="3"/>
        <w:sz w:val="18"/>
        <w:szCs w:val="18"/>
      </w:rPr>
      <w:t>2</w:t>
    </w:r>
    <w:r>
      <w:rPr>
        <w:rFonts w:ascii="宋体" w:hAnsi="宋体" w:eastAsia="宋体" w:cs="宋体"/>
        <w:spacing w:val="3"/>
        <w:sz w:val="18"/>
        <w:szCs w:val="18"/>
      </w:rP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hdrShapeDefaults>
    <o:shapelayout v:ext="edit">
      <o:idmap v:ext="edit" data="70"/>
    </o:shapelayout>
  </w:hdrShapeDefaults>
  <w:footnotePr>
    <w:footnote w:id="0"/>
    <w:footnote w:id="1"/>
  </w:footnotePr>
  <w:endnotePr>
    <w:endnote w:id="0"/>
    <w:endnote w:id="1"/>
  </w:endnotePr>
  <w:compat>
    <w:useFELayout/>
    <w:compatSetting w:name="compatibilityMode" w:uri="http://schemas.microsoft.com/office/word" w:val="12"/>
  </w:compat>
  <w:rsids>
    <w:rsidRoot w:val="00D31D50"/>
    <w:rsid w:val="000108F3"/>
    <w:rsid w:val="00010C68"/>
    <w:rsid w:val="00012652"/>
    <w:rsid w:val="00015217"/>
    <w:rsid w:val="00015DAC"/>
    <w:rsid w:val="0002233E"/>
    <w:rsid w:val="00023665"/>
    <w:rsid w:val="000263A0"/>
    <w:rsid w:val="00031FB1"/>
    <w:rsid w:val="000430CA"/>
    <w:rsid w:val="00050465"/>
    <w:rsid w:val="000547BB"/>
    <w:rsid w:val="000571BC"/>
    <w:rsid w:val="000609B0"/>
    <w:rsid w:val="0006322B"/>
    <w:rsid w:val="00067DDC"/>
    <w:rsid w:val="000729EB"/>
    <w:rsid w:val="00072D1A"/>
    <w:rsid w:val="000812F4"/>
    <w:rsid w:val="000819E6"/>
    <w:rsid w:val="000936F7"/>
    <w:rsid w:val="000957AC"/>
    <w:rsid w:val="00097209"/>
    <w:rsid w:val="000A5028"/>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247F8"/>
    <w:rsid w:val="00340741"/>
    <w:rsid w:val="00347193"/>
    <w:rsid w:val="00353BA9"/>
    <w:rsid w:val="003720A3"/>
    <w:rsid w:val="00376FEA"/>
    <w:rsid w:val="003813E5"/>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A72FB"/>
    <w:rsid w:val="004B5451"/>
    <w:rsid w:val="004B5827"/>
    <w:rsid w:val="004C175A"/>
    <w:rsid w:val="004C7210"/>
    <w:rsid w:val="004D2CAE"/>
    <w:rsid w:val="005100BA"/>
    <w:rsid w:val="005168C5"/>
    <w:rsid w:val="005218F6"/>
    <w:rsid w:val="00522DB4"/>
    <w:rsid w:val="00523BDD"/>
    <w:rsid w:val="00536DF2"/>
    <w:rsid w:val="00543782"/>
    <w:rsid w:val="00556398"/>
    <w:rsid w:val="005B45CF"/>
    <w:rsid w:val="005B4703"/>
    <w:rsid w:val="005B4D07"/>
    <w:rsid w:val="005B62F6"/>
    <w:rsid w:val="005B7796"/>
    <w:rsid w:val="005C31E9"/>
    <w:rsid w:val="005C3BAB"/>
    <w:rsid w:val="005C59D9"/>
    <w:rsid w:val="005D072F"/>
    <w:rsid w:val="005D1CEE"/>
    <w:rsid w:val="005D3ACB"/>
    <w:rsid w:val="005F28C4"/>
    <w:rsid w:val="005F2B78"/>
    <w:rsid w:val="00604AF8"/>
    <w:rsid w:val="00606205"/>
    <w:rsid w:val="00607EC0"/>
    <w:rsid w:val="00610019"/>
    <w:rsid w:val="006110FC"/>
    <w:rsid w:val="00611544"/>
    <w:rsid w:val="006148C9"/>
    <w:rsid w:val="0061606F"/>
    <w:rsid w:val="006214F4"/>
    <w:rsid w:val="00633DBB"/>
    <w:rsid w:val="00656C6E"/>
    <w:rsid w:val="00664732"/>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95DC6"/>
    <w:rsid w:val="007B320A"/>
    <w:rsid w:val="007C4E2D"/>
    <w:rsid w:val="007D35F2"/>
    <w:rsid w:val="007D71A4"/>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2C"/>
    <w:rsid w:val="008B2745"/>
    <w:rsid w:val="008B4334"/>
    <w:rsid w:val="008B6523"/>
    <w:rsid w:val="008B7726"/>
    <w:rsid w:val="008D6E85"/>
    <w:rsid w:val="008F2B7A"/>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1BA8"/>
    <w:rsid w:val="009B278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562D4"/>
    <w:rsid w:val="00B6677A"/>
    <w:rsid w:val="00B73A10"/>
    <w:rsid w:val="00B73AC3"/>
    <w:rsid w:val="00B74951"/>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85401"/>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EF45B7"/>
    <w:rsid w:val="00EF5899"/>
    <w:rsid w:val="00F01F77"/>
    <w:rsid w:val="00F02F9C"/>
    <w:rsid w:val="00F04234"/>
    <w:rsid w:val="00F15448"/>
    <w:rsid w:val="00F21AAA"/>
    <w:rsid w:val="00F340F3"/>
    <w:rsid w:val="00F535DE"/>
    <w:rsid w:val="00F56107"/>
    <w:rsid w:val="00F634A7"/>
    <w:rsid w:val="00F805F0"/>
    <w:rsid w:val="00F957A8"/>
    <w:rsid w:val="00F97C18"/>
    <w:rsid w:val="00FA233C"/>
    <w:rsid w:val="00FC73A4"/>
    <w:rsid w:val="00FD35EB"/>
    <w:rsid w:val="00FE0475"/>
    <w:rsid w:val="00FE272F"/>
    <w:rsid w:val="00FF20E5"/>
    <w:rsid w:val="00FF3EEA"/>
    <w:rsid w:val="05F32D86"/>
    <w:rsid w:val="074A2176"/>
    <w:rsid w:val="07527F15"/>
    <w:rsid w:val="07906AD3"/>
    <w:rsid w:val="0AB33FF3"/>
    <w:rsid w:val="0B432900"/>
    <w:rsid w:val="158F6A70"/>
    <w:rsid w:val="166A3655"/>
    <w:rsid w:val="169228A4"/>
    <w:rsid w:val="2AC24537"/>
    <w:rsid w:val="2C8C50AD"/>
    <w:rsid w:val="2D804DBE"/>
    <w:rsid w:val="3B550E9F"/>
    <w:rsid w:val="3E3871C6"/>
    <w:rsid w:val="426A4F53"/>
    <w:rsid w:val="4B702A6C"/>
    <w:rsid w:val="4E5F590F"/>
    <w:rsid w:val="57FF6D09"/>
    <w:rsid w:val="5A3469C0"/>
    <w:rsid w:val="5AEC1BD4"/>
    <w:rsid w:val="61070171"/>
    <w:rsid w:val="62924880"/>
    <w:rsid w:val="63F34D6C"/>
    <w:rsid w:val="66D83D00"/>
    <w:rsid w:val="6AAE060D"/>
    <w:rsid w:val="6BDB2263"/>
    <w:rsid w:val="77C13657"/>
    <w:rsid w:val="79E85921"/>
    <w:rsid w:val="7C6067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table" w:customStyle="1" w:styleId="16">
    <w:name w:val="Table Normal"/>
    <w:semiHidden/>
    <w:unhideWhenUsed/>
    <w:qFormat/>
    <w:uiPriority w:val="0"/>
    <w:pPr>
      <w:spacing w:after="0" w:line="240" w:lineRule="auto"/>
    </w:pPr>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17">
    <w:name w:val="Normal (Web)fca9735c"/>
    <w:next w:val="5"/>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7168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1029</Words>
  <Characters>5871</Characters>
  <Lines>48</Lines>
  <Paragraphs>13</Paragraphs>
  <TotalTime>0</TotalTime>
  <ScaleCrop>false</ScaleCrop>
  <LinksUpToDate>false</LinksUpToDate>
  <CharactersWithSpaces>6887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2023-05-23T01:55:00Z</dcterms:created>
  <dc:creator>Administrator</dc:creator>
  <cp:lastModifiedBy>User</cp:lastModifiedBy>
  <cp:lastPrinted>2022-09-15T07:23:00Z</cp:lastPrinted>
  <dcterms:modified xsi:type="dcterms:W3CDTF">2024-01-30T04:20:03Z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55B1A358E2294A458B9C1BD86FEB5CE3</vt:lpwstr>
  </property>
</Properties>
</file>