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南银理财珠联璧合鑫逸稳三个月16期封闭式公募人民币理财产品</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2024年01月31日起代销</w:t>
      </w:r>
      <w:r>
        <w:rPr>
          <w:rFonts w:hint="eastAsia" w:ascii="仿宋_GB2312" w:hAnsi="仿宋_GB2312" w:eastAsia="仿宋_GB2312" w:cs="仿宋_GB2312"/>
          <w:color w:val="FF0000"/>
          <w:sz w:val="32"/>
          <w:szCs w:val="32"/>
          <w:lang w:eastAsia="zh-CN"/>
        </w:rPr>
        <w:t>南银理财有限责任公司</w:t>
      </w:r>
      <w:r>
        <w:rPr>
          <w:rFonts w:hint="eastAsia" w:ascii="仿宋_GB2312" w:hAnsi="微软雅黑" w:eastAsia="仿宋_GB2312" w:cs="宋体"/>
          <w:sz w:val="32"/>
          <w:szCs w:val="32"/>
          <w:lang w:eastAsia="zh-CN"/>
        </w:rPr>
        <w:t>发行的珠联璧合鑫逸稳三个月16期封闭式公募人民币理财产品</w:t>
      </w:r>
      <w:r>
        <w:rPr>
          <w:rFonts w:hint="eastAsia" w:ascii="仿宋_GB2312" w:hAnsi="微软雅黑" w:eastAsia="仿宋_GB2312" w:cs="宋体"/>
          <w:sz w:val="32"/>
          <w:szCs w:val="32"/>
        </w:rPr>
        <w:t>，</w:t>
      </w:r>
      <w:r>
        <w:rPr>
          <w:rFonts w:hint="eastAsia" w:ascii="仿宋_GB2312" w:hAnsi="微软雅黑" w:eastAsia="仿宋_GB2312" w:cs="宋体"/>
          <w:color w:val="000000"/>
          <w:sz w:val="32"/>
          <w:szCs w:val="32"/>
        </w:rPr>
        <w:t>目前</w:t>
      </w:r>
      <w:r>
        <w:rPr>
          <w:rFonts w:hint="eastAsia" w:ascii="仿宋_GB2312" w:hAnsi="微软雅黑" w:eastAsia="仿宋_GB2312" w:cs="宋体"/>
          <w:b/>
          <w:color w:val="FF0000"/>
          <w:sz w:val="32"/>
          <w:szCs w:val="32"/>
        </w:rPr>
        <w:t>对公客户</w:t>
      </w:r>
      <w:r>
        <w:rPr>
          <w:rFonts w:hint="eastAsia" w:ascii="仿宋_GB2312" w:hAnsi="微软雅黑" w:eastAsia="仿宋_GB2312" w:cs="宋体"/>
          <w:color w:val="000000"/>
          <w:sz w:val="32"/>
          <w:szCs w:val="32"/>
        </w:rPr>
        <w:t>可在</w:t>
      </w:r>
      <w:r>
        <w:rPr>
          <w:rFonts w:hint="eastAsia" w:ascii="仿宋_GB2312" w:hAnsi="微软雅黑" w:eastAsia="仿宋_GB2312" w:cs="宋体"/>
          <w:b/>
          <w:color w:val="FF0000"/>
          <w:sz w:val="32"/>
          <w:szCs w:val="32"/>
        </w:rPr>
        <w:t>柜面、网银</w:t>
      </w:r>
      <w:r>
        <w:rPr>
          <w:rFonts w:hint="eastAsia" w:ascii="仿宋_GB2312" w:hAnsi="微软雅黑" w:eastAsia="仿宋_GB2312" w:cs="宋体"/>
          <w:color w:val="000000"/>
          <w:sz w:val="32"/>
          <w:szCs w:val="32"/>
        </w:rPr>
        <w:t>销售，</w:t>
      </w:r>
      <w:r>
        <w:rPr>
          <w:rFonts w:hint="eastAsia" w:ascii="仿宋_GB2312" w:hAnsi="微软雅黑" w:eastAsia="仿宋_GB2312" w:cs="宋体"/>
          <w:b/>
          <w:color w:val="FF0000"/>
          <w:sz w:val="32"/>
          <w:szCs w:val="32"/>
        </w:rPr>
        <w:t>个人客户</w:t>
      </w:r>
      <w:r>
        <w:rPr>
          <w:rFonts w:hint="eastAsia" w:ascii="仿宋_GB2312" w:hAnsi="微软雅黑" w:eastAsia="仿宋_GB2312" w:cs="宋体"/>
          <w:color w:val="000000"/>
          <w:sz w:val="32"/>
          <w:szCs w:val="32"/>
        </w:rPr>
        <w:t>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0.30%</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7"/>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p>
    <w:tbl>
      <w:tblPr>
        <w:tblStyle w:val="7"/>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南银理财珠联璧合鑫逸稳三个月16期封闭式公募人民币理财产品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ZZ700322400007</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Z7003224000043(投资者可依据该编码在中国理财网www.chinawealth.com.cn查询理财产品相关信息）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szCs w:val="18"/>
                <w:lang w:eastAsia="zh-CN"/>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2024年01月31日 09:00—2024年02月06日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2024年02月07日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lang w:eastAsia="zh-CN"/>
              </w:rPr>
              <w:t>A份额：Y80016</w:t>
            </w:r>
            <w:r>
              <w:rPr>
                <w:rFonts w:hint="eastAsia" w:ascii="宋体" w:hAnsi="宋体" w:eastAsia="宋体" w:cs="宋体"/>
                <w:sz w:val="18"/>
                <w:szCs w:val="18"/>
              </w:rPr>
              <w:t>2024年02月07日—实际到期日（</w:t>
            </w:r>
            <w:r>
              <w:rPr>
                <w:rFonts w:hint="eastAsia" w:ascii="宋体" w:hAnsi="宋体" w:eastAsia="宋体" w:cs="宋体"/>
                <w:b/>
                <w:sz w:val="18"/>
                <w:szCs w:val="18"/>
              </w:rPr>
              <w:t>如名义到期日遇国家法定节假日，管理人可结合国家法定节假日安排进行调整。同时管理人有权提前终止本产品（提前终止情形详见本产品说明书其他说明事项第一条）。</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lang w:eastAsia="zh-CN"/>
              </w:rPr>
            </w:pPr>
            <w:r>
              <w:rPr>
                <w:rFonts w:hint="eastAsia" w:ascii="宋体" w:hAnsi="宋体" w:eastAsia="宋体" w:cs="宋体"/>
                <w:caps w:val="0"/>
                <w:smallCaps w:val="0"/>
                <w:snapToGrid/>
                <w:vanish w:val="0"/>
                <w:color w:val="auto"/>
                <w:kern w:val="0"/>
                <w:sz w:val="18"/>
                <w:szCs w:val="18"/>
                <w:vertAlign w:val="baseline"/>
                <w:lang w:eastAsia="zh-CN"/>
              </w:rPr>
              <w:t>A份额：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2024年05月16日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当理财产品单位净值不低于1时，管理人可以根据实际情况进行收益分配，分配方式为现金分红，具体分配方案以信息披露为准（分配后理财产品净值不低于1）。</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rPr>
                <w:rFonts w:hint="eastAsia" w:ascii="宋体" w:hAnsi="宋体" w:eastAsia="宋体" w:cs="宋体"/>
                <w:sz w:val="18"/>
              </w:rPr>
            </w:pPr>
            <w:r>
              <w:rPr>
                <w:rFonts w:hint="eastAsia" w:ascii="宋体" w:hAnsi="宋体" w:eastAsia="宋体" w:cs="宋体"/>
                <w:sz w:val="18"/>
                <w:szCs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本理财产品投资于固定收益类资产的比例为100%,投资于非标准化债权类资产的比例不高于50%。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1、信托贷款：资产类型为信托公司设立的固定收益类信托计划，底层资产为向融资人邳州市产业投资控股集团有限公司发放信托贷款，融资人评级为AA+（评级机构为中诚信国际信用评级有限责任公司）。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固定收益类信托计划，底层资产为向融资人徐州经济技术开发区国有资产经营有限责任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3、信托贷款：资产类型为信托公司设立的固定收益类信托计划，底层资产为向融资人徐州金龙湖控股集团有限公司发放信托贷款，融资人评级为AA（评级机构为联合资信评估股份有限公司）。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4、信托贷款：资产类型为信托公司设立的固定收益类信托计划，底层资产为向融资人无锡惠山高科集团有限公司发放信托贷款，融资人评级为AA+（评级机构为上海新世纪资信评估投资服务有限公司）。</w:t>
            </w:r>
          </w:p>
          <w:p>
            <w:pPr>
              <w:spacing w:line="200" w:lineRule="exact"/>
              <w:rPr>
                <w:rFonts w:hint="eastAsia" w:ascii="宋体" w:hAnsi="宋体" w:eastAsia="宋体" w:cs="宋体"/>
                <w:sz w:val="18"/>
              </w:rPr>
            </w:pPr>
            <w:r>
              <w:rPr>
                <w:rFonts w:hint="eastAsia" w:ascii="宋体" w:hAnsi="宋体" w:eastAsia="宋体" w:cs="宋体"/>
                <w:sz w:val="18"/>
                <w:szCs w:val="18"/>
              </w:rPr>
              <w:t>5、信托贷款：资产类型为信托公司设立的固定收益类信托计划，底层资产为向融资人江苏开晟产业发展集团有限公司发放信托贷款，融资人评级为AA+（评级机构为联合资信评估股份有限公司）。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A份额：业绩比较基准为年化3.2%-3.6%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B份额：业绩比较基准为年化3.3%-3.7%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C份额：业绩比较基准为年化3.4%-3.8% 。</w:t>
            </w:r>
          </w:p>
          <w:p>
            <w:pPr>
              <w:spacing w:line="200" w:lineRule="exact"/>
              <w:rPr>
                <w:rFonts w:hint="eastAsia" w:ascii="宋体" w:hAnsi="宋体" w:eastAsia="宋体" w:cs="宋体"/>
                <w:sz w:val="18"/>
              </w:rPr>
            </w:pPr>
            <w:r>
              <w:rPr>
                <w:rFonts w:hint="eastAsia" w:ascii="宋体" w:hAnsi="宋体" w:eastAsia="宋体" w:cs="宋体"/>
                <w:sz w:val="18"/>
                <w:szCs w:val="18"/>
              </w:rPr>
              <w:t>E份额：业绩比较基准为年化3.45%-3.85% 。</w:t>
            </w:r>
          </w:p>
          <w:p>
            <w:pPr>
              <w:spacing w:line="200" w:lineRule="exact"/>
              <w:rPr>
                <w:rFonts w:hint="eastAsia" w:ascii="宋体" w:hAnsi="宋体" w:eastAsia="宋体" w:cs="宋体"/>
                <w:b w:val="0"/>
                <w:sz w:val="18"/>
              </w:rPr>
            </w:pPr>
            <w:r>
              <w:rPr>
                <w:rFonts w:hint="eastAsia" w:ascii="宋体" w:hAnsi="宋体" w:eastAsia="宋体" w:cs="宋体"/>
                <w:b w:val="0"/>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bCs/>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b w:val="0"/>
                <w:sz w:val="18"/>
              </w:rPr>
            </w:pPr>
            <w:r>
              <w:rPr>
                <w:rFonts w:hint="eastAsia" w:ascii="宋体" w:hAnsi="宋体" w:eastAsia="宋体" w:cs="宋体"/>
                <w:b w:val="0"/>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C份额：销售费年化0.1%</w:t>
            </w:r>
          </w:p>
          <w:p>
            <w:pPr>
              <w:spacing w:line="200" w:lineRule="exact"/>
              <w:rPr>
                <w:rFonts w:hint="eastAsia" w:ascii="宋体" w:hAnsi="宋体" w:eastAsia="宋体" w:cs="宋体"/>
                <w:sz w:val="18"/>
              </w:rPr>
            </w:pPr>
            <w:r>
              <w:rPr>
                <w:rFonts w:hint="eastAsia" w:ascii="宋体" w:hAnsi="宋体" w:eastAsia="宋体" w:cs="宋体"/>
                <w:b/>
                <w:sz w:val="18"/>
                <w:szCs w:val="18"/>
              </w:rPr>
              <w:t>E份额：销售费年化0.05%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E份额：固定管理费年化0.1%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lang w:eastAsia="zh-CN"/>
              </w:rPr>
              <w:t>A份额：业绩比较基准为年化3.2%-3.6% 。</w:t>
            </w:r>
            <w:r>
              <w:rPr>
                <w:rFonts w:hint="eastAsia" w:ascii="宋体" w:hAnsi="宋体" w:eastAsia="宋体" w:cs="宋体"/>
                <w:b/>
                <w:sz w:val="18"/>
                <w:szCs w:val="18"/>
              </w:rPr>
              <w:t>扣除销售费、固定管理费、托管费等相关费用）在3.45%（含）（年化，即产品该份额对应的业绩报酬计提基准）至3.85%（不含）之间的部分，管理人将按超过3.45%部分的50%收取业绩报酬；在3.85%（含）（年化，即产品该份额对应的业绩报酬计提基准）以上的部分，管理人将按超过3.85%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adjustRightInd/>
        <w:snapToGrid/>
        <w:spacing w:after="0"/>
        <w:ind w:firstLine="361" w:firstLineChars="200"/>
        <w:rPr>
          <w:rFonts w:hint="eastAsia" w:ascii="宋体" w:hAnsi="宋体" w:eastAsia="宋体" w:cs="宋体"/>
          <w:b/>
          <w:color w:val="000000"/>
          <w:sz w:val="18"/>
          <w:szCs w:val="32"/>
          <w:lang w:eastAsia="zh-CN"/>
        </w:rPr>
      </w:pPr>
      <w:bookmarkStart w:id="0" w:name="_GoBack"/>
      <w:r>
        <w:rPr>
          <w:rFonts w:hint="eastAsia" w:ascii="宋体" w:hAnsi="宋体" w:eastAsia="宋体" w:cs="宋体"/>
          <w:b/>
          <w:color w:val="000000"/>
          <w:sz w:val="18"/>
          <w:szCs w:val="32"/>
          <w:lang w:eastAsia="zh-CN"/>
        </w:rPr>
        <w:t>鑫逸稳三个月16期封闭式公募人民币理财产品风险揭示书</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2.南银理财珠联璧合鑫逸稳三个月16期封闭式公募人民币理财产品说明书</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3.南银理财产品销售协议书</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A份额：销售费年化0.2%4.南银理财投资者权益须知</w:t>
      </w:r>
    </w:p>
    <w:p>
      <w:pPr>
        <w:adjustRightInd/>
        <w:snapToGrid/>
        <w:spacing w:after="0"/>
        <w:ind w:firstLine="361" w:firstLineChars="200"/>
        <w:rPr>
          <w:rFonts w:hint="eastAsia" w:ascii="宋体" w:hAnsi="宋体" w:eastAsia="宋体" w:cs="宋体"/>
          <w:b/>
          <w:color w:val="000000"/>
          <w:sz w:val="18"/>
          <w:szCs w:val="32"/>
          <w:lang w:eastAsia="zh-CN"/>
        </w:rPr>
      </w:pPr>
      <w:r>
        <w:rPr>
          <w:rFonts w:hint="eastAsia" w:ascii="宋体" w:hAnsi="宋体" w:eastAsia="宋体" w:cs="宋体"/>
          <w:b/>
          <w:color w:val="000000"/>
          <w:sz w:val="18"/>
          <w:szCs w:val="32"/>
          <w:lang w:eastAsia="zh-CN"/>
        </w:rPr>
        <w:t>5.南银理财产品投资协议书</w:t>
      </w:r>
    </w:p>
    <w:p>
      <w:pPr>
        <w:adjustRightInd/>
        <w:snapToGrid/>
        <w:spacing w:after="0"/>
        <w:ind w:firstLine="361" w:firstLineChars="200"/>
        <w:rPr>
          <w:rFonts w:hint="eastAsia" w:ascii="宋体" w:hAnsi="宋体" w:eastAsia="宋体" w:cs="宋体"/>
          <w:b/>
          <w:color w:val="000000"/>
          <w:sz w:val="18"/>
          <w:szCs w:val="32"/>
          <w:lang w:val="en-US"/>
        </w:rPr>
      </w:pPr>
      <w:r>
        <w:rPr>
          <w:rFonts w:hint="eastAsia" w:ascii="宋体" w:hAnsi="宋体" w:eastAsia="宋体" w:cs="宋体"/>
          <w:b/>
          <w:color w:val="000000"/>
          <w:sz w:val="18"/>
          <w:szCs w:val="32"/>
          <w:lang w:eastAsia="zh-CN"/>
        </w:rPr>
        <w:t>6.机构客户理财风险承受能力评估表</w:t>
      </w:r>
      <w:r>
        <w:rPr>
          <w:rFonts w:hint="eastAsia" w:ascii="宋体" w:hAnsi="宋体" w:eastAsia="宋体" w:cs="宋体"/>
          <w:b/>
          <w:color w:val="000000"/>
          <w:sz w:val="18"/>
          <w:szCs w:val="32"/>
          <w:lang w:val="en-US"/>
        </w:rPr>
        <w:t xml:space="preserve"> </w:t>
      </w:r>
    </w:p>
    <w:p>
      <w:pPr>
        <w:adjustRightInd/>
        <w:snapToGrid/>
        <w:spacing w:after="0"/>
        <w:jc w:val="right"/>
        <w:rPr>
          <w:rFonts w:hint="eastAsia" w:ascii="宋体" w:hAnsi="宋体" w:eastAsia="宋体" w:cs="宋体"/>
          <w:b/>
          <w:color w:val="000000"/>
          <w:sz w:val="18"/>
          <w:szCs w:val="32"/>
          <w:lang w:val="en-US" w:eastAsia="zh-CN"/>
        </w:rPr>
      </w:pPr>
      <w:r>
        <w:rPr>
          <w:rFonts w:hint="eastAsia" w:ascii="宋体" w:hAnsi="宋体" w:eastAsia="宋体" w:cs="宋体"/>
          <w:b/>
          <w:color w:val="000000"/>
          <w:sz w:val="18"/>
          <w:szCs w:val="32"/>
          <w:lang w:val="en-US" w:eastAsia="zh-CN"/>
        </w:rPr>
        <w:t>A份额：固定管理费年化0.2%日</w:t>
      </w:r>
    </w:p>
    <w:bookmarkEnd w:id="0"/>
    <w:sectPr>
      <w:head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right="34"/>
      <w:jc w:val="right"/>
      <w:rPr>
        <w:rFonts w:ascii="宋体" w:hAnsi="宋体" w:eastAsia="宋体" w:cs="宋体"/>
        <w:sz w:val="18"/>
        <w:szCs w:val="18"/>
      </w:rPr>
    </w:pPr>
    <w:r>
      <w:rPr>
        <w:rFonts w:ascii="Arial" w:hAnsi="Arial" w:eastAsia="Arial" w:cs="Arial"/>
        <w:sz w:val="21"/>
        <w:szCs w:val="21"/>
      </w:rPr>
      <w:pict>
        <v:shape id="_x0000_s71682" o:spid="_x0000_s71682" style="position:absolute;left:0pt;margin-left:88.6pt;margin-top:55.2pt;height:0.5pt;width:418.3pt;mso-position-horizontal-relative:page;mso-position-vertical-relative:page;z-index:251659264;mso-width-relative:page;mso-height-relative:page;" fillcolor="#000000" filled="t" stroked="f" coordsize="8365,10" o:allowincell="f" path="m0,9l8365,9,8365,0,0,0,0,9xe">
          <v:path/>
          <v:fill on="t" focussize="0,0"/>
          <v:stroke on="f"/>
          <v:imagedata o:title=""/>
          <o:lock v:ext="edit"/>
        </v:shape>
      </w:pict>
    </w:r>
    <w:r>
      <w:rPr>
        <w:rFonts w:ascii="宋体" w:hAnsi="宋体" w:eastAsia="宋体" w:cs="宋体"/>
        <w:spacing w:val="6"/>
        <w:sz w:val="18"/>
        <w:szCs w:val="18"/>
      </w:rPr>
      <w:t>南银理财</w:t>
    </w:r>
    <w:r>
      <w:rPr>
        <w:rFonts w:ascii="宋体" w:hAnsi="宋体" w:eastAsia="宋体" w:cs="宋体"/>
        <w:spacing w:val="5"/>
        <w:sz w:val="18"/>
        <w:szCs w:val="18"/>
      </w:rPr>
      <w:t>理</w:t>
    </w:r>
    <w:r>
      <w:rPr>
        <w:rFonts w:ascii="宋体" w:hAnsi="宋体" w:eastAsia="宋体" w:cs="宋体"/>
        <w:spacing w:val="3"/>
        <w:sz w:val="18"/>
        <w:szCs w:val="18"/>
      </w:rPr>
      <w:t>财产品销售文件(</w:t>
    </w:r>
    <w:r>
      <w:rPr>
        <w:rFonts w:ascii="Times New Roman" w:hAnsi="Times New Roman" w:eastAsia="Times New Roman" w:cs="Times New Roman"/>
        <w:spacing w:val="3"/>
        <w:sz w:val="18"/>
        <w:szCs w:val="18"/>
      </w:rPr>
      <w:t>2021</w:t>
    </w:r>
    <w:r>
      <w:rPr>
        <w:rFonts w:ascii="宋体" w:hAnsi="宋体" w:eastAsia="宋体" w:cs="宋体"/>
        <w:spacing w:val="3"/>
        <w:sz w:val="18"/>
        <w:szCs w:val="18"/>
      </w:rPr>
      <w:t>第</w:t>
    </w:r>
    <w:r>
      <w:rPr>
        <w:rFonts w:ascii="Times New Roman" w:hAnsi="Times New Roman" w:eastAsia="Times New Roman" w:cs="Times New Roman"/>
        <w:spacing w:val="3"/>
        <w:sz w:val="18"/>
        <w:szCs w:val="18"/>
      </w:rPr>
      <w:t>2</w:t>
    </w:r>
    <w:r>
      <w:rPr>
        <w:rFonts w:ascii="宋体" w:hAnsi="宋体" w:eastAsia="宋体" w:cs="宋体"/>
        <w:spacing w:val="3"/>
        <w:sz w:val="18"/>
        <w:szCs w:val="18"/>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hdrShapeDefaults>
    <o:shapelayout v:ext="edit">
      <o:idmap v:ext="edit" data="70"/>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4D2CAE"/>
    <w:rsid w:val="005100BA"/>
    <w:rsid w:val="005168C5"/>
    <w:rsid w:val="005218F6"/>
    <w:rsid w:val="00522DB4"/>
    <w:rsid w:val="00523BDD"/>
    <w:rsid w:val="00536DF2"/>
    <w:rsid w:val="00543782"/>
    <w:rsid w:val="00556398"/>
    <w:rsid w:val="005B45CF"/>
    <w:rsid w:val="005B4703"/>
    <w:rsid w:val="005B4D07"/>
    <w:rsid w:val="005B62F6"/>
    <w:rsid w:val="005B779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2C"/>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1BA8"/>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EF45B7"/>
    <w:rsid w:val="00EF5899"/>
    <w:rsid w:val="00F01F77"/>
    <w:rsid w:val="00F02F9C"/>
    <w:rsid w:val="00F04234"/>
    <w:rsid w:val="00F15448"/>
    <w:rsid w:val="00F21AAA"/>
    <w:rsid w:val="00F340F3"/>
    <w:rsid w:val="00F535DE"/>
    <w:rsid w:val="00F56107"/>
    <w:rsid w:val="00F634A7"/>
    <w:rsid w:val="00F805F0"/>
    <w:rsid w:val="00F957A8"/>
    <w:rsid w:val="00F97C18"/>
    <w:rsid w:val="00FA233C"/>
    <w:rsid w:val="00FC73A4"/>
    <w:rsid w:val="00FD35EB"/>
    <w:rsid w:val="00FE0475"/>
    <w:rsid w:val="00FE272F"/>
    <w:rsid w:val="00FF20E5"/>
    <w:rsid w:val="00FF3EEA"/>
    <w:rsid w:val="074A2176"/>
    <w:rsid w:val="07527F15"/>
    <w:rsid w:val="0AB33FF3"/>
    <w:rsid w:val="0B432900"/>
    <w:rsid w:val="12957230"/>
    <w:rsid w:val="140B004A"/>
    <w:rsid w:val="292B07C2"/>
    <w:rsid w:val="2B4777C5"/>
    <w:rsid w:val="2D804DBE"/>
    <w:rsid w:val="35E04478"/>
    <w:rsid w:val="3B550E9F"/>
    <w:rsid w:val="3E3871C6"/>
    <w:rsid w:val="449677E2"/>
    <w:rsid w:val="47E95EB6"/>
    <w:rsid w:val="4B702A6C"/>
    <w:rsid w:val="54345E56"/>
    <w:rsid w:val="58220A89"/>
    <w:rsid w:val="5A3469C0"/>
    <w:rsid w:val="5AEC1BD4"/>
    <w:rsid w:val="61070171"/>
    <w:rsid w:val="63F34D6C"/>
    <w:rsid w:val="66D83D00"/>
    <w:rsid w:val="6B502657"/>
    <w:rsid w:val="6BDB2263"/>
    <w:rsid w:val="77157FC1"/>
    <w:rsid w:val="77AD32ED"/>
    <w:rsid w:val="77C13657"/>
    <w:rsid w:val="79E85921"/>
    <w:rsid w:val="7C6067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table" w:customStyle="1" w:styleId="16">
    <w:name w:val="Table Normal"/>
    <w:semiHidden/>
    <w:unhideWhenUsed/>
    <w:qFormat/>
    <w:uiPriority w:val="0"/>
    <w:pPr>
      <w:spacing w:after="0" w:line="240" w:lineRule="auto"/>
    </w:pPr>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7">
    <w:name w:val="Normal (Web)395644dc"/>
    <w:next w:val="5"/>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7168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1029</Words>
  <Characters>5871</Characters>
  <Lines>48</Lines>
  <Paragraphs>13</Paragraphs>
  <TotalTime>0</TotalTime>
  <ScaleCrop>false</ScaleCrop>
  <LinksUpToDate>false</LinksUpToDate>
  <CharactersWithSpaces>6887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2023-05-23T01:55:00Z</dcterms:created>
  <dc:creator>Administrator</dc:creator>
  <cp:lastModifiedBy>User</cp:lastModifiedBy>
  <cp:lastPrinted>2022-09-15T07:23:00Z</cp:lastPrinted>
  <dcterms:modified xsi:type="dcterms:W3CDTF">2024-01-30T04:16:55Z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55B1A358E2294A458B9C1BD86FEB5CE3</vt:lpwstr>
  </property>
</Properties>
</file>