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59"/>
        <w:gridCol w:w="1"/>
        <w:gridCol w:w="59"/>
        <w:gridCol w:w="1"/>
        <w:gridCol w:w="139"/>
        <w:gridCol w:w="1"/>
      </w:tblGrid>
      <w:tr>
        <w:tblPrEx>
          <w:tblCellMar>
            <w:top w:w="0" w:type="dxa"/>
            <w:left w:w="10" w:type="dxa"/>
            <w:bottom w:w="0" w:type="dxa"/>
            <w:right w:w="10" w:type="dxa"/>
          </w:tblCellMar>
        </w:tblPrEx>
        <w:trPr>
          <w:gridAfter w:val="10"/>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兴银理财添利9号净值型理财产品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10"/>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r>
              <w:rPr>
                <w:rFonts w:ascii="宋体" w:hAnsi="宋体" w:eastAsia="宋体" w:cs="宋体"/>
                <w:color w:val="000000"/>
                <w:sz w:val="21"/>
              </w:rPr>
              <w:br w:type="textWrapping"/>
            </w:r>
            <w:r>
              <w:rPr>
                <w:rFonts w:ascii="宋体" w:hAnsi="宋体" w:eastAsia="宋体" w:cs="宋体"/>
                <w:color w:val="000000"/>
                <w:sz w:val="21"/>
              </w:rPr>
              <w:t xml:space="preserve">     8. 影响理财份额投资人决策的其他重要信息</w:t>
            </w:r>
          </w:p>
        </w:tc>
        <w:tc>
          <w:p>
            <w:pPr>
              <w:pStyle w:val="4"/>
            </w:pPr>
          </w:p>
        </w:tc>
        <w:tc>
          <w:p>
            <w:pPr>
              <w:pStyle w:val="4"/>
            </w:pPr>
          </w:p>
        </w:tc>
      </w:tr>
      <w:tr>
        <w:tblPrEx>
          <w:tblCellMar>
            <w:top w:w="0" w:type="dxa"/>
            <w:left w:w="10" w:type="dxa"/>
            <w:bottom w:w="0" w:type="dxa"/>
            <w:right w:w="10" w:type="dxa"/>
          </w:tblCellMar>
        </w:tblPrEx>
        <w:trPr>
          <w:gridAfter w:val="10"/>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兴银理财添利9号净值型理财产品</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9B310005</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Z7002020000173</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127,506,741,587.85份</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R1</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10"/>
          <w:trHeight w:val="30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兴银添利宝（中信专属）</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9B310015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9,529,252,280.48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添利天天赢</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9B310025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10,919,052,848.40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兴银添利宝C</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9B310035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26,506,423,414.88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兴银添利宝D</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9B310045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18,939,018,718.30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10"/>
          <w:trHeight w:val="4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3" w:name="JR_PAGE_ANCHOR_0_4"/>
            <w:bookmarkEnd w:id="3"/>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72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兴银添利宝E</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9B310055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3,121,666,693.19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兴银添利宝F-浦发专属</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9B310065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3,911,694,064.07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兴银添利宝G</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9B310075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8,287,576,128.46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兴银添利9号H</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9B310085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30,170,148,491.47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兴银添利宝I</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11,161,793,143.62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兴银添利宝J</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9B310105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759,654,196.31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兴银添利宝K</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9B310115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343,908,594.72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兴银添利宝M</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9B310125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3,295,914,304.68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兴银添利宝N</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9B310135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106,453,888.74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兴银添利宝O</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9B310145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452,529,840.52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添利9号T</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9B3101T5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1,654,980.01</w:t>
                        </w:r>
                      </w:p>
                    </w:tc>
                  </w:tr>
                </w:tbl>
                <w:p>
                  <w:pPr>
                    <w:pStyle w:val="4"/>
                    <w:jc w:val="center"/>
                  </w:pPr>
                </w:p>
              </w:tc>
            </w:tr>
          </w:tbl>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3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3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1900" w:hRule="atLeast"/>
        </w:trPr>
        <w:tc>
          <w:p>
            <w:pPr>
              <w:pStyle w:val="4"/>
            </w:pPr>
          </w:p>
        </w:tc>
        <w:tc>
          <w:tcPr>
            <w:gridSpan w:val="14"/>
            <w:tcMar>
              <w:top w:w="0" w:type="dxa"/>
              <w:left w:w="0" w:type="dxa"/>
              <w:bottom w:w="0" w:type="dxa"/>
              <w:right w:w="0" w:type="dxa"/>
            </w:tcMar>
            <w:vAlign w:val="center"/>
          </w:tcPr>
          <w:p>
            <w:pPr>
              <w:spacing w:before="0" w:after="0" w:line="320" w:lineRule="exact"/>
              <w:ind w:firstLine="0"/>
            </w:pPr>
            <w:r>
              <w:rPr>
                <w:rFonts w:ascii="宋体" w:hAnsi="宋体" w:eastAsia="宋体" w:cs="宋体"/>
                <w:color w:val="000000"/>
                <w:sz w:val="21"/>
              </w:rPr>
              <w:t xml:space="preserve">    报告期内，9B310015七日年化收益率均值2.5342%，9B310025七日年化收益率均值2.3306%，9B310035七日年化收益率均值2.4828%，9B310045七日年化收益率均值2.2270%，9B310055七日年化收益率均值2.4322%，9B310065七日年化收益率均值2.4315%，9B310075七日年化收益率均值2.5340%，9B310085七日年化收益率均值2.4843%，9B310095七日年化收益率均值2.3298%，9B310105七日年化收益率均值2.5851%，9B310115七日年化收益率均值2.4308%，9B310125七日年化收益率均值2.4319%，9B310135七日年化收益率均值2.5336%，9B310145七日年化收益率均值2.2298%，9B3101T5七日年化收益率均值1.2764%。同期业绩比较基准¹如下：</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1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2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AFAFA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适用期间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业绩比较基准</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9B310065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9B3101T5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2023-11-16至2023-12-31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9B310085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9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0"/>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2"/>
            <w:tcMar>
              <w:top w:w="0" w:type="dxa"/>
              <w:left w:w="0" w:type="dxa"/>
              <w:bottom w:w="0" w:type="dxa"/>
              <w:right w:w="0" w:type="dxa"/>
            </w:tcMar>
            <w:vAlign w:val="center"/>
          </w:tcPr>
          <w:p>
            <w:r>
              <w:rPr>
                <w:rFonts w:ascii="宋体" w:hAnsi="宋体" w:eastAsia="宋体" w:cs="宋体"/>
                <w:color w:val="000000"/>
                <w:sz w:val="21"/>
              </w:rPr>
              <w:t>报告期末，产品收益具体如下：</w:t>
            </w: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127,506,741,587.85</w:t>
                        </w:r>
                      </w:p>
                    </w:tc>
                  </w:tr>
                </w:tbl>
                <w:p>
                  <w:pPr>
                    <w:pStyle w:val="4"/>
                  </w:pPr>
                </w:p>
              </w:tc>
            </w:tr>
          </w:tbl>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7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9,529,252,280.48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10,919,052,848.40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26,506,423,414.88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0.6069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18,939,018,718.30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3,121,666,693.19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9B310065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3,911,694,064.07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8,287,576,128.46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9B310085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30,170,148,491.47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11,161,793,143.62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0.7028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759,654,196.31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343,908,594.72</w:t>
                        </w:r>
                      </w:p>
                    </w:tc>
                  </w:tr>
                </w:tbl>
                <w:p>
                  <w:pPr>
                    <w:pStyle w:val="4"/>
                  </w:pPr>
                </w:p>
              </w:tc>
            </w:tr>
          </w:tbl>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3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3,295,914,304.68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106,453,888.74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0.6069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452,529,840.52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9B3101T5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0.7028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1,654,980.01</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156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资产管理部流动性管理，管理总规模逾万亿，擅长大资金的资产配置和流动性管理；2019年转入兴银理财，现担任兴银理财添利9号、添利5号、添利10号、日日新2号和现金宝4号净值型理财产品投资经理。</w:t>
            </w:r>
          </w:p>
        </w:tc>
        <w:tc>
          <w:p>
            <w:pPr>
              <w:pStyle w:val="4"/>
            </w:pPr>
          </w:p>
        </w:tc>
      </w:tr>
      <w:tr>
        <w:tblPrEx>
          <w:tblCellMar>
            <w:top w:w="0" w:type="dxa"/>
            <w:left w:w="10" w:type="dxa"/>
            <w:bottom w:w="0" w:type="dxa"/>
            <w:right w:w="10" w:type="dxa"/>
          </w:tblCellMar>
        </w:tblPrEx>
        <w:trPr>
          <w:gridAfter w:val="8"/>
          <w:trHeight w:val="6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1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80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 宏观经济及市场情况</w:t>
            </w:r>
            <w:r>
              <w:rPr>
                <w:rFonts w:ascii="宋体" w:hAnsi="宋体" w:eastAsia="宋体" w:cs="宋体"/>
                <w:color w:val="000000"/>
                <w:sz w:val="21"/>
              </w:rPr>
              <w:br w:type="textWrapping"/>
            </w:r>
            <w:r>
              <w:rPr>
                <w:rFonts w:ascii="宋体" w:hAnsi="宋体" w:eastAsia="宋体" w:cs="宋体"/>
                <w:color w:val="000000"/>
                <w:sz w:val="21"/>
              </w:rPr>
              <w:t xml:space="preserve">    2023年债券市场主要围绕资金面、稳增长政策及经济修复预期几方面进行交易，随着经济基本面缓慢修复，“资产荒”继续演绎，债市整体处于慢牛的环境中。地产放松政策和万亿国债增发对债市冲击有限，超预期降准与两次降息推动宽货币行情，10年国债收益率先下后上再震荡下行，从年初的2.82%下行至年末的2.50%附近，全年下行约32BP，整体呈现“M”型走势。信用方面，随着7月政治局会议提出“一揽子化债方案”及特殊再融资债等化债方案逐步落地，高等级信用债收益率全线下行，信用利差全线收窄，市场情绪高涨。</w:t>
            </w:r>
            <w:r>
              <w:rPr>
                <w:rFonts w:ascii="宋体" w:hAnsi="宋体" w:eastAsia="宋体" w:cs="宋体"/>
                <w:color w:val="000000"/>
                <w:sz w:val="21"/>
              </w:rPr>
              <w:br w:type="textWrapping"/>
            </w:r>
            <w:r>
              <w:rPr>
                <w:rFonts w:ascii="宋体" w:hAnsi="宋体" w:eastAsia="宋体" w:cs="宋体"/>
                <w:color w:val="000000"/>
                <w:sz w:val="21"/>
              </w:rPr>
              <w:t xml:space="preserve">    展望后市，市场对基本面和经济修复的预期较为充分，进出口回暖有望延续，在 “加强信贷均衡投放”、“平滑信贷波动”背景下，信贷增长预计较为稳和。一月降准降息预期落空后期待仍在，整体资金面料将保持平衡宽松，流动性分层背景下春节等时点可能存在边际扰动。当前短端3M以上曲线极为平坦，岁末年初利率下行后配置价值有所弱化，但考虑到流动性乐观预期和机构配置需求，对具备绝对收益率配置价值的品种保持关注，适度博弈曲线走陡的可能性。</w:t>
            </w:r>
            <w:r>
              <w:rPr>
                <w:rFonts w:ascii="宋体" w:hAnsi="宋体" w:eastAsia="宋体" w:cs="宋体"/>
                <w:color w:val="000000"/>
                <w:sz w:val="21"/>
              </w:rPr>
              <w:br w:type="textWrapping"/>
            </w:r>
            <w:r>
              <w:rPr>
                <w:rFonts w:ascii="宋体" w:hAnsi="宋体" w:eastAsia="宋体" w:cs="宋体"/>
                <w:color w:val="000000"/>
                <w:sz w:val="21"/>
              </w:rPr>
              <w:t>二 前期运作回顾</w:t>
            </w:r>
            <w:r>
              <w:rPr>
                <w:rFonts w:ascii="宋体" w:hAnsi="宋体" w:eastAsia="宋体" w:cs="宋体"/>
                <w:color w:val="000000"/>
                <w:sz w:val="21"/>
              </w:rPr>
              <w:br w:type="textWrapping"/>
            </w:r>
            <w:r>
              <w:rPr>
                <w:rFonts w:ascii="宋体" w:hAnsi="宋体" w:eastAsia="宋体" w:cs="宋体"/>
                <w:color w:val="000000"/>
                <w:sz w:val="21"/>
              </w:rPr>
              <w:t xml:space="preserve">    报告期内，虽然受到打榜产品的扰动，但本产品终将保持初心，避免收益大幅波动，始终把流动性安全和防范信用风险作为第一要务，在此基础上通过稳健的投资风格实现相对有竞争力的收益。</w:t>
            </w:r>
            <w:r>
              <w:rPr>
                <w:rFonts w:ascii="宋体" w:hAnsi="宋体" w:eastAsia="宋体" w:cs="宋体"/>
                <w:color w:val="000000"/>
                <w:sz w:val="21"/>
              </w:rPr>
              <w:br w:type="textWrapping"/>
            </w:r>
            <w:r>
              <w:rPr>
                <w:rFonts w:ascii="宋体" w:hAnsi="宋体" w:eastAsia="宋体" w:cs="宋体"/>
                <w:color w:val="000000"/>
                <w:sz w:val="21"/>
              </w:rPr>
              <w:t xml:space="preserve">    四季度，债市利率整体震荡下行。其中9、10月围绕特殊再融资债、国债增发、防空转等事件冲击、更多呈现震荡；12月随着中央经济工作会议落地叠加银行缺负债局面缓解，收益率下行较为流畅。</w:t>
            </w:r>
            <w:r>
              <w:rPr>
                <w:rFonts w:ascii="宋体" w:hAnsi="宋体" w:eastAsia="宋体" w:cs="宋体"/>
                <w:color w:val="000000"/>
                <w:sz w:val="21"/>
              </w:rPr>
              <w:br w:type="textWrapping"/>
            </w:r>
            <w:r>
              <w:rPr>
                <w:rFonts w:ascii="宋体" w:hAnsi="宋体" w:eastAsia="宋体" w:cs="宋体"/>
                <w:color w:val="000000"/>
                <w:sz w:val="21"/>
              </w:rPr>
              <w:t xml:space="preserve">    配置上，积极把握资金面波动带来的资产买入机会，尤其是月末税期等关键时间节点。品种上，信用债依旧择优建仓。鉴于银行负债缺口较大，存放同业、中小银行存单等配置价值凸显。此外，加上产品处于持续净赎回的状态，流动性依然是第一考虑因素，部分银行的活期存款也是不错的选择。</w:t>
            </w:r>
            <w:r>
              <w:rPr>
                <w:rFonts w:ascii="宋体" w:hAnsi="宋体" w:eastAsia="宋体" w:cs="宋体"/>
                <w:color w:val="000000"/>
                <w:sz w:val="21"/>
              </w:rPr>
              <w:br w:type="textWrapping"/>
            </w:r>
            <w:r>
              <w:rPr>
                <w:rFonts w:ascii="宋体" w:hAnsi="宋体" w:eastAsia="宋体" w:cs="宋体"/>
                <w:color w:val="000000"/>
                <w:sz w:val="21"/>
              </w:rPr>
              <w:t xml:space="preserve">    当前，6M-1年以内资产收益率曲线非常扁平，对于现金产品而言，保持组合短久期依然有掉头快的优势。所以在期限品种的选择上，以哑铃型结构作为建仓主力品种。</w:t>
            </w:r>
            <w:r>
              <w:rPr>
                <w:rFonts w:ascii="宋体" w:hAnsi="宋体" w:eastAsia="宋体" w:cs="宋体"/>
                <w:color w:val="000000"/>
                <w:sz w:val="21"/>
              </w:rPr>
              <w:br w:type="textWrapping"/>
            </w:r>
            <w:r>
              <w:rPr>
                <w:rFonts w:ascii="宋体" w:hAnsi="宋体" w:eastAsia="宋体" w:cs="宋体"/>
                <w:color w:val="000000"/>
                <w:sz w:val="21"/>
              </w:rPr>
              <w:t>三 后期投资策略</w:t>
            </w:r>
            <w:r>
              <w:rPr>
                <w:rFonts w:ascii="宋体" w:hAnsi="宋体" w:eastAsia="宋体" w:cs="宋体"/>
                <w:color w:val="000000"/>
                <w:sz w:val="21"/>
              </w:rPr>
              <w:br w:type="textWrapping"/>
            </w:r>
            <w:r>
              <w:rPr>
                <w:rFonts w:ascii="宋体" w:hAnsi="宋体" w:eastAsia="宋体" w:cs="宋体"/>
                <w:color w:val="000000"/>
                <w:sz w:val="21"/>
              </w:rPr>
              <w:t xml:space="preserve">    展望一季度，虽然降息暂时落空，但债市总体还算坚挺，特别是长端利率。考虑到目前通胀和商品房价格趋势仍在低位，较高的真实利率将抑制融资需求。而实体融资需求不足，则会导致信贷增速放缓，从而影响经济复苏进</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6" w:name="JR_PAGE_ANCHOR_0_7"/>
            <w:bookmarkEnd w:id="6"/>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度。从另一角度说，降息预期的存在体现为利多未出尽，债市机会仍存。</w:t>
            </w:r>
            <w:r>
              <w:rPr>
                <w:rFonts w:ascii="宋体" w:hAnsi="宋体" w:eastAsia="宋体" w:cs="宋体"/>
                <w:color w:val="000000"/>
                <w:sz w:val="21"/>
              </w:rPr>
              <w:br w:type="textWrapping"/>
            </w:r>
            <w:r>
              <w:rPr>
                <w:rFonts w:ascii="宋体" w:hAnsi="宋体" w:eastAsia="宋体" w:cs="宋体"/>
                <w:color w:val="000000"/>
                <w:sz w:val="21"/>
              </w:rPr>
              <w:t xml:space="preserve">    综上，本产品依然会按照《关于规范现金管理类理财产品管理有关事项的通知》的相关要求，坚持以安全性和流动性优先、兼顾收益性的稳健策略，结合宏观基本面、资金面，持续动态监控产品投资组合，保障产品合规、平稳地运作。</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42.60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报告期末本产品总资产未超过该产品净资产规模的120%，符合产品协议对本产品杠杆比例的要求。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58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gridAfter w:val="6"/>
          <w:trHeight w:val="1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bookmarkStart w:id="14"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农业银行昆明分行活期存款</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5,401,963,194.44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定期存款20230330013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2,046,372,601.77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w:t>
                        </w:r>
                      </w:p>
                    </w:tc>
                  </w:tr>
                </w:tbl>
                <w:p>
                  <w:pPr>
                    <w:pStyle w:val="4"/>
                    <w:jc w:val="center"/>
                  </w:pPr>
                </w:p>
              </w:tc>
            </w:tr>
            <w:bookmarkEnd w:id="14"/>
          </w:tbl>
          <w:p>
            <w:pPr>
              <w:pStyle w:val="4"/>
            </w:pPr>
          </w:p>
        </w:tc>
        <w:tc>
          <w:p>
            <w:pPr>
              <w:pStyle w:val="4"/>
            </w:pPr>
          </w:p>
        </w:tc>
      </w:tr>
      <w:tr>
        <w:tblPrEx>
          <w:tblCellMar>
            <w:top w:w="0" w:type="dxa"/>
            <w:left w:w="10" w:type="dxa"/>
            <w:bottom w:w="0" w:type="dxa"/>
            <w:right w:w="10" w:type="dxa"/>
          </w:tblCellMar>
        </w:tblPrEx>
        <w:trPr>
          <w:gridAfter w:val="6"/>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23CSFD59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2,019,655,111.64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Z存放同业（线上）20230112016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1,538,349,998.82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Z存放同业（线上）20230214003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1,229,104,001.07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Z存放同业20230111006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1,025,836,111.90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Z存放同业（线上）20230106007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1,025,700,000.40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Z存放同业（线上）20230113002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1,025,690,556.34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Z存放同业（线上）20230105003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1,025,169,721.42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23CSFD128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1,017,529,731.20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21鲁能源MTN007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19福州城投MTN001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19连云城建MTN001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19青岛城投MTN001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21常德经建MTN001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21徐州矿务MTN001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21海宁城投MTN002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21淮安城资MTN001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8" w:name="JR_PAGE_ANCHOR_0_9"/>
            <w:bookmarkEnd w:id="8"/>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21福建石化MTN001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21通商租赁MTN002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21龙城发展MTN001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22晋能装备MTN009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22韵达股份MTN001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21华润控股MTN002A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22龙盛MTN001(科创票据)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23声赫保理ABN002(科创票据)优先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23中交一航1ABN002优先(科创票据)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21湘高速MTN006(革命老区)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21鲁高速MTN006(革命老区)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23红狮CP001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19发展01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21兴杭01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19赣投MTN001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19大连港MTN001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21中节能MTN002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21大悦城MTN001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21大悦城MTN002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21浙国贸MTN002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19淮安交通MTN001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19紫金矿业MTN003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20汉江国资MTN006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21东南国资MTN001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9" w:name="JR_PAGE_ANCHOR_0_10"/>
            <w:bookmarkEnd w:id="9"/>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21中银投资MTN001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21武汉城建MTN002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22中储发展MTN001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23九江银行CD177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23九江银行CD210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23九江银行CD228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22象屿G1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23葛洲坝ABN003优先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23宝冶1号ABN001优先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23优生活五ABN002优先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23前海南山ABN003优先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23春风一方ABN002优先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23山西建投4ABN001优先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19鲁高02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23徐工机械ABN003优先A1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19正泰MTN001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21金地MTN005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19湖交投MTN001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19陕有色MTN003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21乌城投MTN002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21北部湾MTN005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21新静安MTN001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21杭金投MTN002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21胶州湾MTN001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10/</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0" w:name="JR_PAGE_ANCHOR_0_11"/>
            <w:bookmarkEnd w:id="10"/>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21苏沙钢MTN002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21赣国资MTN001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21华远陆港PPN001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21徐州兴铜PPN001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21江北新区PPN004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21泰州城投PPN001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21滨江城建PPN002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21胶州城投PPN001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22盐城资产PPN001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23上合控股PPN003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23上合控股PPN004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23吴江城投PPN006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23豫航空港PPN010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23中拓SCP010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23瀚蓝SCP005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23象屿SCP009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23金隅SCP004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23乌高新SCP003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23湘高速SCP006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23知识城SCP007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23联发集SCP005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23赣水投SCP006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23闽漳龙SCP004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23中原资产SCP005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1" w:name="JR_PAGE_ANCHOR_0_12"/>
            <w:bookmarkEnd w:id="11"/>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23乐山国资SCP004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23华数传媒SCP001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23南昌建投SCP002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23厦门资管SCP001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23威海产投SCP002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23安徽港航SCP002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23泰山财金SCP004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23海尔金盈SCP006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23物产中大SCP006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23福建漳州SCP007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23青岛海控SCP003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23青岛西海SCP003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23龙盛SCP009(科创票据)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23龙盛SCP014(科创票据)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23云投CP004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23云能投CP009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23宁河西CP002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23湘高速CP002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23一汽租赁CP005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23中兴国资CP001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23四川路桥CP001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23建安投资CP002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23武清国资CP002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12" w:name="JR_PAGE_ANCHOR_0_13"/>
            <w:bookmarkEnd w:id="12"/>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23海发集团CP001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23温江兴蓉CP002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23芯鑫租赁CP001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23荆州城发CP001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23越秀资本CP001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23镇江交通CP005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23青岛华通CP002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23青岛黄岛CP002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16青建投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26.3761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快赎垫资服务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1,083.5240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tcPr>
            <w:gridSpan w:val="6"/>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051010100101101745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r>
          </w:tbl>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b/>
                <w:color w:val="000000"/>
                <w:sz w:val="21"/>
              </w:rPr>
              <w:t>8.影响理财份额投资人决策的其他重要信息</w:t>
            </w: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color w:val="000000"/>
                <w:sz w:val="20"/>
              </w:rPr>
              <w:t xml:space="preserve"> 8.1报告期内单一投资者持有产品份额达到或者超过该产品总份额20%的情形</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pPr>
                        <w:r>
                          <w:rPr>
                            <w:rFonts w:ascii="宋体" w:hAnsi="宋体" w:eastAsia="宋体" w:cs="宋体"/>
                            <w:color w:val="000000"/>
                            <w:sz w:val="21"/>
                          </w:rPr>
                          <w:t xml:space="preserve">    本产品本报告期无单一投资者持有产品份额达到或者超过该产品总份额20%的情形。</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4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3" w:name="JR_PAGE_ANCHOR_0_14"/>
            <w:bookmarkEnd w:id="13"/>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2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p>
            <w:pPr>
              <w:pStyle w:val="4"/>
            </w:pPr>
          </w:p>
        </w:tc>
      </w:tr>
      <w:tr>
        <w:tblPrEx>
          <w:tblCellMar>
            <w:top w:w="0" w:type="dxa"/>
            <w:left w:w="10" w:type="dxa"/>
            <w:bottom w:w="0" w:type="dxa"/>
            <w:right w:w="10" w:type="dxa"/>
          </w:tblCellMar>
        </w:tblPrEx>
        <w:trPr>
          <w:gridAfter w:val="10"/>
          <w:trHeight w:val="12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14</w:t>
            </w:r>
          </w:p>
        </w:tc>
        <w:tc>
          <w:tcPr>
            <w:gridSpan w:val="3"/>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800"/>
  <w:compat>
    <w:useFELayout/>
    <w:splitPgBreakAndParaMark/>
    <w:compatSetting w:name="compatibilityMode" w:uri="http://schemas.microsoft.com/office/word" w:val="12"/>
  </w:compat>
  <w:rsids>
    <w:rsidRoot w:val="00000000"/>
    <w:rsid w:val="2B9C17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 2_TH"/>
    <w:qFormat/>
    <w:uiPriority w:val="0"/>
    <w:pPr>
      <w:spacing w:line="240" w:lineRule="auto"/>
    </w:pPr>
    <w:rPr>
      <w:rFonts w:ascii="SansSerif" w:hAnsi="SansSerif" w:eastAsia="SansSerif" w:cs="SansSerif"/>
      <w:color w:val="000000"/>
      <w:sz w:val="20"/>
      <w:szCs w:val="22"/>
    </w:rPr>
  </w:style>
  <w:style w:type="paragraph" w:customStyle="1" w:styleId="12">
    <w:name w:val="Table 2_CH"/>
    <w:qFormat/>
    <w:uiPriority w:val="0"/>
    <w:pPr>
      <w:spacing w:line="240" w:lineRule="auto"/>
    </w:pPr>
    <w:rPr>
      <w:rFonts w:ascii="SansSerif" w:hAnsi="SansSerif" w:eastAsia="SansSerif" w:cs="SansSerif"/>
      <w:color w:val="000000"/>
      <w:sz w:val="20"/>
      <w:szCs w:val="22"/>
    </w:rPr>
  </w:style>
  <w:style w:type="paragraph" w:customStyle="1" w:styleId="13">
    <w:name w:val="Table 2_TD"/>
    <w:qFormat/>
    <w:uiPriority w:val="0"/>
    <w:pPr>
      <w:spacing w:line="240" w:lineRule="auto"/>
    </w:pPr>
    <w:rPr>
      <w:rFonts w:ascii="SansSerif" w:hAnsi="SansSerif" w:eastAsia="SansSerif" w:cs="SansSerif"/>
      <w:color w:val="000000"/>
      <w:sz w:val="20"/>
      <w:szCs w:val="22"/>
    </w:rPr>
  </w:style>
  <w:style w:type="paragraph" w:customStyle="1" w:styleId="14">
    <w:name w:val="Table_C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2024-01-19T06:04:34Z</dcterms:created>
  <dc:creator>wot_kangyuwei_zy</dc:creator>
  <cp:lastModifiedBy>wot_kangyuwei_zy</cp:lastModifiedBy>
  <dcterms:modified xsi:type="dcterms:W3CDTF">2024-01-19T06:18:52Z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