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兴银理财丰利兴动多策略封闭式33号增强型固收类理财产品2023年第四季度报告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兴银理财丰利兴动多策略封闭式33号增强型固收类理财产品</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兴银理财丰利兴动多策略封闭式33号增强型固收类理财产品2023年第四季度报告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兴银理财丰利兴动多策略封闭式33号增强型固收类理财产品2023年第四季度报告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兴银理财丰利兴动多策略封闭式33号增强型固收类理财产品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9K766330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Z7002023000282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227,919,773.72份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94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9K76633A：敲出：年化【4.60%-4.90%】/  未敲出：年化【0.01%-0.15%】/4.75%</w:t>
            </w:r>
            <w:r>
              <w:rPr>
                <w:rFonts w:ascii="宋体" w:hAnsi="宋体" w:eastAsia="宋体" w:cs="宋体"/>
                <w:color w:val="000000"/>
                <w:sz w:val="21"/>
              </w:rPr>
              <w:br w:type="textWrapping"/>
            </w:r>
            <w:r>
              <w:rPr>
                <w:rFonts w:ascii="宋体" w:hAnsi="宋体" w:eastAsia="宋体" w:cs="宋体"/>
                <w:color w:val="000000"/>
                <w:sz w:val="21"/>
              </w:rPr>
              <w:t xml:space="preserve">  9K76633G：敲出：年化【4.60%-4.90%】/  未敲出：年化【0.01%-0.15%】/4.75%</w:t>
            </w:r>
          </w:p>
        </w:tc>
        <w:tc>
          <w:p>
            <w:pPr>
              <w:pStyle w:val="4"/>
            </w:pPr>
          </w:p>
        </w:tc>
      </w:tr>
      <w:tr>
        <w:tblPrEx>
          <w:tblCellMar>
            <w:top w:w="0" w:type="dxa"/>
            <w:left w:w="10" w:type="dxa"/>
            <w:bottom w:w="0" w:type="dxa"/>
            <w:right w:w="10" w:type="dxa"/>
          </w:tblCellMar>
        </w:tblPrEx>
        <w:trPr>
          <w:gridAfter w:val="4"/>
          <w:wAfter w:w="40" w:type="dxa"/>
          <w:trHeight w:val="218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兴银理财丰利兴动多策略封闭式33号增强型固收类理财产品2023年第四季度报告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丰利兴动多策略封闭式33A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9K76633A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122,466,973.72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兴银理财丰利兴动多策略封闭式33号（私银）</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9K76633G</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105,452,800.00</w:t>
                        </w:r>
                      </w:p>
                    </w:tc>
                  </w:tr>
                </w:tbl>
                <w:p>
                  <w:pPr>
                    <w:pStyle w:val="4"/>
                    <w:jc w:val="center"/>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产品9K76633A自成立日以来，累计净值增长率为0.0570%，年化累计净值增长率为0.1196%。</w:t>
            </w:r>
            <w:r>
              <w:rPr>
                <w:rFonts w:ascii="宋体" w:hAnsi="宋体" w:eastAsia="宋体" w:cs="宋体"/>
                <w:color w:val="000000"/>
                <w:sz w:val="21"/>
              </w:rPr>
              <w:br w:type="textWrapping"/>
            </w:r>
            <w:r>
              <w:rPr>
                <w:rFonts w:ascii="宋体" w:hAnsi="宋体" w:eastAsia="宋体" w:cs="宋体"/>
                <w:color w:val="000000"/>
                <w:sz w:val="21"/>
              </w:rPr>
              <w:t>产品9K76633G自成立日以来，累计净值增长率为0.0570%，年化累计净值增长率为0.1196%。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9K766330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228,048,768.94</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9K76633A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122,536,285.99</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9K76633G</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105,512,482.95</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孙新华，清华大学计算机系本科、硕士，金融领域从业8年。历任华创证券资产管理部投资经理、投资经理助理、通联数据量化研究员。2020年11月加入兴银理财，任多资产投资部投资经理。投资理念偏向系统化投资，运用量化投资方法寻求绝对收益。  </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746"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2023年以来，挂钩标的中证1000指数先是经历了一波快速上涨后一直在6800~7000点位区间震荡，波动率一路走低，市场一直处于存量博弈的状态，增量资金未有明显跟进。及至年中，国内出口数据疲软，PMI数据承压，CPI/PPI下探，市场意识到经济内生动能修复有待更多政策出台，市场从强预期弱现实转向了弱预期弱现实。三季度以来，美国经济数据强势超预期，10年美债利率一度上行至4.8%，而国内经济复苏相对缓慢，市场情绪愈发脆弱，股债阶段性双杀，股债两方面的策略均转向确定性，如红利策略、票息策略等。中证1000这种偏成长的指数表</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兴银理财丰利兴动多策略封闭式33号增强型固收类理财产品2023年第四季度报告</w:t>
            </w:r>
          </w:p>
        </w:tc>
        <w:tc>
          <w:tcPr>
            <w:gridSpan w:val="2"/>
          </w:tcPr>
          <w:p>
            <w:pPr>
              <w:pStyle w:val="4"/>
            </w:pPr>
          </w:p>
        </w:tc>
        <w:tc>
          <w:p>
            <w:pPr>
              <w:pStyle w:val="4"/>
            </w:pPr>
          </w:p>
        </w:tc>
      </w:tr>
      <w:tr>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现不</w:t>
            </w:r>
            <w:bookmarkStart w:id="7" w:name="_GoBack"/>
            <w:bookmarkEnd w:id="7"/>
            <w:r>
              <w:rPr>
                <w:rFonts w:ascii="宋体" w:hAnsi="宋体" w:eastAsia="宋体" w:cs="宋体"/>
                <w:color w:val="000000"/>
                <w:sz w:val="21"/>
              </w:rPr>
              <w:t>尽如人意，因此产品买入的期权绝大部分时间处于虚值状态。生息资产部分坚持稳健生息策略，对于利率敞口暴露及其有限，因此在经历2023年8月债券市场的调整，生息资产的表现依然相对稳健，我们将继续坚持稳健生息策略，继续严控利率和信用敞口，保持固收部分收益稳定。</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为防范无法支付到期赎回款而产生的流动性风险，本理财产品管理人将合理安排所投资产期限，产品到期前完成所投资组合中相关资产变现，尽可能降低产品流动性风险，有效保障理财持有人利益。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兴银理财丰利兴动多策略封闭式33号增强型固收类理财产品2023年第四季度报告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19,391,362.85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13,875,885.61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11,409,807.32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10,953,415.03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9,283,436.51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8,991,597.45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8,987,064.47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OPTION20230712000416043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8,601,629.82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6,744,264.71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6,743,698.09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兴银理财丰利兴动多策略封闭式33号增强型固收类理财产品2023年第四季度报告</w:t>
            </w:r>
          </w:p>
        </w:tc>
        <w:tc>
          <w:tcPr>
            <w:gridSpan w:val="4"/>
          </w:tcPr>
          <w:p>
            <w:pPr>
              <w:pStyle w:val="4"/>
            </w:pPr>
          </w:p>
        </w:tc>
        <w:tc>
          <w:p>
            <w:pPr>
              <w:pStyle w:val="4"/>
            </w:pPr>
          </w:p>
        </w:tc>
      </w:tr>
      <w:tr>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兴银理财丰利兴动多策略封闭式33号增强型固收类理财产品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1.9306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兴银理财丰利兴动多策略封闭式33号增强型固收类理财产品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7.6196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051010100101601714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兴银理财丰利兴动多策略封闭式33号增强型固收类理财产品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4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661D330B"/>
    <w:rsid w:val="78FE2B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2024-01-19T11:47:00Z</dcterms:created>
  <dc:creator>wot_hufangting_zy</dc:creator>
  <cp:lastModifiedBy>xihonghu</cp:lastModifiedBy>
  <dcterms:modified xsi:type="dcterms:W3CDTF">2024-01-20T06:32:12Z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