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兴银理财丰利兴动多策略封闭式31号增强型固收类理财产品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兴银理财丰利兴动多策略封闭式31号增强型固收类理财产品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9K766310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Z7002023000284</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303,233,774.78份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142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9K76631A：敲出：年化【4.75%-5.05%】/  未敲出：年化【0.01%-0.15%】/4.90%</w:t>
            </w:r>
            <w:r>
              <w:rPr>
                <w:rFonts w:ascii="宋体" w:hAnsi="宋体" w:eastAsia="宋体" w:cs="宋体"/>
                <w:color w:val="000000"/>
                <w:sz w:val="21"/>
              </w:rPr>
              <w:br w:type="textWrapping"/>
            </w:r>
            <w:r>
              <w:rPr>
                <w:rFonts w:ascii="宋体" w:hAnsi="宋体" w:eastAsia="宋体" w:cs="宋体"/>
                <w:color w:val="000000"/>
                <w:sz w:val="21"/>
              </w:rPr>
              <w:t xml:space="preserve">  9K76631B：敲出：年化【4.75%-5.05%】/  未敲出：年化【0.01%-0.15%】/4.90%</w:t>
            </w:r>
            <w:r>
              <w:rPr>
                <w:rFonts w:ascii="宋体" w:hAnsi="宋体" w:eastAsia="宋体" w:cs="宋体"/>
                <w:color w:val="000000"/>
                <w:sz w:val="21"/>
              </w:rPr>
              <w:br w:type="textWrapping"/>
            </w:r>
            <w:r>
              <w:rPr>
                <w:rFonts w:ascii="宋体" w:hAnsi="宋体" w:eastAsia="宋体" w:cs="宋体"/>
                <w:color w:val="000000"/>
                <w:sz w:val="21"/>
              </w:rPr>
              <w:t xml:space="preserve">  9K76631G：敲出：年化【4.75%-5.05%】/  未敲出：年化【0.01%-0.15%】/4.90%</w:t>
            </w:r>
          </w:p>
        </w:tc>
        <w:tc>
          <w:p>
            <w:pPr>
              <w:pStyle w:val="4"/>
            </w:pPr>
          </w:p>
        </w:tc>
      </w:tr>
      <w:tr>
        <w:tblPrEx>
          <w:tblCellMar>
            <w:top w:w="0" w:type="dxa"/>
            <w:left w:w="10" w:type="dxa"/>
            <w:bottom w:w="0" w:type="dxa"/>
            <w:right w:w="10" w:type="dxa"/>
          </w:tblCellMar>
        </w:tblPrEx>
        <w:trPr>
          <w:gridAfter w:val="4"/>
          <w:wAfter w:w="40" w:type="dxa"/>
          <w:trHeight w:val="2234"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丰利兴动多策略封闭式31A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225,055,274.78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丰利兴动多策略封闭式31号（私行尊享）</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25,640,000.00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兴银理财丰利兴动多策略封闭式31号（私银）</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9K76631G</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52,538,500.00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产品9K76631A自成立日以来，累计净值增长率为0.0580%，年化累计净值增长率为0.1086%。</w:t>
            </w:r>
            <w:r>
              <w:rPr>
                <w:rFonts w:ascii="宋体" w:hAnsi="宋体" w:eastAsia="宋体" w:cs="宋体"/>
                <w:color w:val="000000"/>
                <w:sz w:val="21"/>
              </w:rPr>
              <w:br w:type="textWrapping"/>
            </w:r>
            <w:r>
              <w:rPr>
                <w:rFonts w:ascii="宋体" w:hAnsi="宋体" w:eastAsia="宋体" w:cs="宋体"/>
                <w:color w:val="000000"/>
                <w:sz w:val="21"/>
              </w:rPr>
              <w:t>产品9K76631B自成立日以来，累计净值增长率为0.0580%，年化累计净值增长率为0.1086%。</w:t>
            </w:r>
            <w:r>
              <w:rPr>
                <w:rFonts w:ascii="宋体" w:hAnsi="宋体" w:eastAsia="宋体" w:cs="宋体"/>
                <w:color w:val="000000"/>
                <w:sz w:val="21"/>
              </w:rPr>
              <w:br w:type="textWrapping"/>
            </w:r>
            <w:r>
              <w:rPr>
                <w:rFonts w:ascii="宋体" w:hAnsi="宋体" w:eastAsia="宋体" w:cs="宋体"/>
                <w:color w:val="000000"/>
                <w:sz w:val="21"/>
              </w:rPr>
              <w:t>产品9K76631G自成立日以来，累计净值增长率为0.0580%，年化累计净值增长率为0.1086%。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303,410,307.70</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225,186,294.62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25,654,926.65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9K76631G</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52,569,086.43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新华，清华大学计算机系本科、硕士，金融领域从业8年。历任华创证券资产管理部投资经理、投资经理助理、通联数据量化研究员。2020年11月加入兴银理财，任多资产投资部投资经理。投资理念偏向系统化投资，运用量化投资方法寻求绝对收益。</w:t>
            </w:r>
            <w:r>
              <w:rPr>
                <w:rFonts w:ascii="宋体" w:hAnsi="宋体" w:eastAsia="宋体" w:cs="宋体"/>
                <w:color w:val="000000"/>
                <w:sz w:val="21"/>
              </w:rPr>
              <w:br w:type="textWrapping"/>
            </w:r>
            <w:r>
              <w:rPr>
                <w:rFonts w:ascii="宋体" w:hAnsi="宋体" w:eastAsia="宋体" w:cs="宋体"/>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303"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本产品投资于挂钩中证1000指数的二元看涨敲出期权。期初观察价格为6548.41点，从第3个月开始每月观察，截收益止2023年12月31日中证1000指数收盘价为5887.24点，暂时距离敲出价格10.10%。</w:t>
            </w:r>
            <w:r>
              <w:rPr>
                <w:rFonts w:ascii="宋体" w:hAnsi="宋体" w:eastAsia="宋体" w:cs="宋体"/>
                <w:color w:val="000000"/>
                <w:sz w:val="21"/>
              </w:rPr>
              <w:br w:type="textWrapping"/>
            </w:r>
            <w:r>
              <w:rPr>
                <w:rFonts w:ascii="宋体" w:hAnsi="宋体" w:eastAsia="宋体" w:cs="宋体"/>
                <w:color w:val="000000"/>
                <w:sz w:val="21"/>
              </w:rPr>
              <w:t xml:space="preserve">    今年中证1000指数整体表现是前高后低。年初受疫情放开，全市场对2023年经济复苏充满信心，一季度中证1000指数有一波10~15%的涨幅。但4月以后经济数据反映经济复苏低于预期，因此二季度中证1000开始回调。在2023年下半年经济整体恢复情况较弱，因此中央出台多项组合拳以期提振经济，于7月底中央政治局会议提出“要活跃资本市场，提振投资者信心”，后续陆续推出大力度的政策包——降低印花税、优化IPO和再融资安排、规范减持要求、交易所调降融资保证金比例、限制融券等，都表现出政策对资本市场的呵护，同时针对房地产进一步放松，部分城市放开限购、降低首套房认定标准、调降房贷利率、降低首付比例等，可以说市场政策底基本探明。四季度的中央经济工作会议为2024年的经济定调，继续延续刺激的财政政策和宽松的货币政策，并且发行1万亿特别国债为2024年的经济助力准备好弹药。因此，预期2024年经济整体呈现向好的态势，二级市场有望在“市场底”探明后走出上升态势。预计后续中证1000指数的表现会向好，后续有望敲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7"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84.71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97.27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9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14,004,999.47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14,004,999.47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OPTION20230621000399867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11,443,959.58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9,342,155.11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9,342,155.11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9,342,155.11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9,335,882.21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9,311,855.26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9,267,218.41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永诚永兴分红3号持有定期存款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9,267,218.41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兴银理财丰利兴动多策略封闭式31号增强型固收类理财产品2023年第四季度报告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兴银理财丰利兴动多策略封闭式31号增强型固收类理财产品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兴银理财丰利兴动多策略封闭式31号增强型固收类理财产品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9.5412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051010100101601460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兴银理财丰利兴动多策略封闭式31号增强型固收类理财产品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0197462A"/>
    <w:rsid w:val="1D6C7680"/>
    <w:rsid w:val="233014CF"/>
    <w:rsid w:val="6ABE3B79"/>
    <w:rsid w:val="6D2F06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2024-01-19T11:47:10Z</dcterms:created>
  <dc:creator>wot_hufangting_zy</dc:creator>
  <cp:lastModifiedBy>wot_hufangting_zy</cp:lastModifiedBy>
  <dcterms:modified xsi:type="dcterms:W3CDTF">2024-01-19T11:49:24Z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