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78259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23ED79C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019DDEB">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D25BC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6FAE00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7CB79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南银理财珠联璧合鑫逸稳半年197期封闭式公募人民币理财产品</w:t>
            </w:r>
          </w:p>
        </w:tc>
      </w:tr>
      <w:tr w14:paraId="2C29EC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755FD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558E1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1EDA23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E6743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7550C7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12AC3F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723D91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A8116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ZZ700322600272</w:t>
            </w:r>
          </w:p>
        </w:tc>
      </w:tr>
      <w:tr w14:paraId="74AAEB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AEDE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7455EE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Z7003226000245(投资者可依据该编码在中国理财网www.chinawealth.com.cn查询理财产品相关信息）</w:t>
            </w:r>
          </w:p>
        </w:tc>
      </w:tr>
      <w:tr w14:paraId="745792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CC1C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40DDB5FC">
            <w:pPr>
              <w:spacing w:line="200" w:lineRule="exact"/>
            </w:pPr>
            <w:r>
              <w:rPr>
                <w:rFonts w:ascii="方正黑体_GBK" w:hAnsi="方正黑体_GBK" w:eastAsia="方正黑体_GBK" w:cs="宋体"/>
                <w:sz w:val="18"/>
                <w:szCs w:val="18"/>
              </w:rPr>
              <w:t>A份额：NYXY001664</w:t>
            </w:r>
          </w:p>
          <w:p w14:paraId="3EF924D7">
            <w:pPr>
              <w:spacing w:line="200" w:lineRule="exact"/>
            </w:pPr>
            <w:r>
              <w:rPr>
                <w:rFonts w:ascii="方正黑体_GBK" w:hAnsi="方正黑体_GBK" w:eastAsia="方正黑体_GBK" w:cs="宋体"/>
                <w:sz w:val="18"/>
                <w:szCs w:val="18"/>
              </w:rPr>
              <w:t>B份额：NYXY001665</w:t>
            </w:r>
          </w:p>
          <w:p w14:paraId="6554CF2B">
            <w:pPr>
              <w:spacing w:line="200" w:lineRule="exact"/>
            </w:pPr>
            <w:r>
              <w:rPr>
                <w:rFonts w:ascii="方正黑体_GBK" w:hAnsi="方正黑体_GBK" w:eastAsia="方正黑体_GBK" w:cs="宋体"/>
                <w:sz w:val="18"/>
                <w:szCs w:val="18"/>
              </w:rPr>
              <w:t>C份额：NYXY001666</w:t>
            </w:r>
          </w:p>
          <w:p w14:paraId="760B510A">
            <w:pPr>
              <w:spacing w:line="200" w:lineRule="exact"/>
            </w:pPr>
            <w:r>
              <w:rPr>
                <w:rFonts w:ascii="方正黑体_GBK" w:hAnsi="方正黑体_GBK" w:eastAsia="方正黑体_GBK" w:cs="宋体"/>
                <w:sz w:val="18"/>
                <w:szCs w:val="18"/>
              </w:rPr>
              <w:t>F份额：NYXY001857</w:t>
            </w:r>
          </w:p>
          <w:p w14:paraId="4CE8B533">
            <w:pPr>
              <w:spacing w:line="200" w:lineRule="exact"/>
            </w:pPr>
            <w:r>
              <w:rPr>
                <w:rFonts w:ascii="方正黑体_GBK" w:hAnsi="方正黑体_GBK" w:eastAsia="方正黑体_GBK" w:cs="宋体"/>
                <w:sz w:val="18"/>
                <w:szCs w:val="18"/>
              </w:rPr>
              <w:t>J份额：NYXY001667</w:t>
            </w:r>
          </w:p>
          <w:p w14:paraId="41A1810B">
            <w:pPr>
              <w:spacing w:line="200" w:lineRule="exact"/>
            </w:pPr>
            <w:r>
              <w:rPr>
                <w:rFonts w:ascii="方正黑体_GBK" w:hAnsi="方正黑体_GBK" w:eastAsia="方正黑体_GBK" w:cs="宋体"/>
                <w:sz w:val="18"/>
                <w:szCs w:val="18"/>
              </w:rPr>
              <w:t>L份额：NYXY001668</w:t>
            </w:r>
          </w:p>
          <w:p w14:paraId="5BC0D3A3">
            <w:pPr>
              <w:spacing w:line="200" w:lineRule="exact"/>
            </w:pPr>
            <w:r>
              <w:rPr>
                <w:rFonts w:ascii="方正黑体_GBK" w:hAnsi="方正黑体_GBK" w:eastAsia="方正黑体_GBK" w:cs="宋体"/>
                <w:sz w:val="18"/>
                <w:szCs w:val="18"/>
              </w:rPr>
              <w:t>N份额：NYXY001858</w:t>
            </w:r>
          </w:p>
          <w:p w14:paraId="521BC7AB">
            <w:pPr>
              <w:spacing w:line="200" w:lineRule="exact"/>
            </w:pPr>
            <w:r>
              <w:rPr>
                <w:rFonts w:ascii="方正黑体_GBK" w:hAnsi="方正黑体_GBK" w:eastAsia="方正黑体_GBK" w:cs="宋体"/>
                <w:sz w:val="18"/>
                <w:szCs w:val="18"/>
              </w:rPr>
              <w:t>O份额：NYXY001859</w:t>
            </w:r>
          </w:p>
          <w:p w14:paraId="1E930153">
            <w:pPr>
              <w:spacing w:line="200" w:lineRule="exact"/>
            </w:pPr>
            <w:r>
              <w:rPr>
                <w:rFonts w:ascii="方正黑体_GBK" w:hAnsi="方正黑体_GBK" w:eastAsia="方正黑体_GBK" w:cs="宋体"/>
                <w:sz w:val="18"/>
                <w:szCs w:val="18"/>
              </w:rPr>
              <w:t>D2份额：NYXY001861</w:t>
            </w:r>
          </w:p>
          <w:p w14:paraId="6DEA7546">
            <w:pPr>
              <w:spacing w:line="200" w:lineRule="exact"/>
            </w:pPr>
            <w:r>
              <w:rPr>
                <w:rFonts w:ascii="方正黑体_GBK" w:hAnsi="方正黑体_GBK" w:eastAsia="方正黑体_GBK" w:cs="宋体"/>
                <w:sz w:val="18"/>
                <w:szCs w:val="18"/>
              </w:rPr>
              <w:t>I2份额：NYXY001862</w:t>
            </w:r>
          </w:p>
          <w:p w14:paraId="504FC0C2">
            <w:pPr>
              <w:spacing w:line="200" w:lineRule="exact"/>
            </w:pPr>
            <w:r>
              <w:rPr>
                <w:rFonts w:ascii="方正黑体_GBK" w:hAnsi="方正黑体_GBK" w:eastAsia="方正黑体_GBK" w:cs="宋体"/>
                <w:sz w:val="18"/>
                <w:szCs w:val="18"/>
              </w:rPr>
              <w:t>Q份额：NYXY001669</w:t>
            </w:r>
          </w:p>
          <w:p w14:paraId="55DE8FCC">
            <w:pPr>
              <w:spacing w:line="200" w:lineRule="exact"/>
            </w:pPr>
            <w:r>
              <w:rPr>
                <w:rFonts w:ascii="方正黑体_GBK" w:hAnsi="方正黑体_GBK" w:eastAsia="方正黑体_GBK" w:cs="宋体"/>
                <w:sz w:val="18"/>
                <w:szCs w:val="18"/>
              </w:rPr>
              <w:t>Q2份额：NYXY001860</w:t>
            </w:r>
          </w:p>
          <w:p w14:paraId="65BBF508">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1C35D6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3D92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4AAF9E8D">
            <w:pPr>
              <w:spacing w:line="200" w:lineRule="exact"/>
            </w:pPr>
            <w:r>
              <w:rPr>
                <w:rFonts w:ascii="方正黑体_GBK" w:hAnsi="方正黑体_GBK" w:eastAsia="方正黑体_GBK" w:cs="宋体"/>
                <w:sz w:val="18"/>
                <w:szCs w:val="18"/>
              </w:rPr>
              <w:t>全国</w:t>
            </w:r>
          </w:p>
        </w:tc>
      </w:tr>
      <w:tr w14:paraId="0893A0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B800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2392837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5C69EF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11BE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727A4AB">
            <w:pPr>
              <w:spacing w:line="200" w:lineRule="exact"/>
            </w:pPr>
            <w:r>
              <w:rPr>
                <w:rFonts w:ascii="方正黑体_GBK" w:hAnsi="方正黑体_GBK" w:eastAsia="方正黑体_GBK" w:cs="宋体"/>
                <w:sz w:val="18"/>
                <w:szCs w:val="18"/>
              </w:rPr>
              <w:t>本理财产品规模上限为100亿元。</w:t>
            </w:r>
          </w:p>
        </w:tc>
      </w:tr>
      <w:tr w14:paraId="678602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830D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41DED42B">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595E0A8">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53F3AC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D2DF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AD70C50">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5F5A84ED">
            <w:pPr>
              <w:spacing w:line="200" w:lineRule="exact"/>
            </w:pPr>
            <w:r>
              <w:rPr>
                <w:rFonts w:ascii="方正黑体_GBK" w:hAnsi="方正黑体_GBK" w:eastAsia="方正黑体_GBK" w:cs="宋体"/>
                <w:sz w:val="18"/>
                <w:szCs w:val="18"/>
              </w:rPr>
              <w:t>A份额：南银理财有限责任公司、南京银行股份有限公司（除新客、 新资金、代发、对公客户、拥军优属客户以外的其他客户）、交通银行股份有限公司、北京农村商业银行股份有限公司、青岛银行股份有限公司、江苏常熟农村商业银行股份有限公司（1元起购）、江苏苏州农村商业银行股份有限公司、金华银行股份有限公司、江苏江南农村商业银行股份有限公司（除财富、代发薪客户和新资金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私行客户和私钻客户外的其他客户)、山西银行股份有限公司、德州银行股份有限公司、云南红塔银行股份有限公司（手机银行版本为尊享家园版的个人客户）、宁夏银行股份有限公司、九江银行股份有限公司、湖北银行股份有限公司、海南银行股份有限公司、廊坊银行股份有限公司、乌鲁木齐银行股份有限公司、上海农村商业银行股份有限公司（除新客新资金外的其他客户）、湖州银行股份有限公司、桂林银行股份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除新客户和临界客户外的其他客户）、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除代发客户外的1元起购客户）、江苏灌南农村商业银行股份有限公司、江苏仪征农村商业银行股份有限公司（1元起购）、江苏沭阳农村商业银行股份有限公司、连云港东方农村商业银行股份有限公司、江苏灌云农村商业银行股份有限公司、朝阳银行股份有限公司。</w:t>
            </w:r>
          </w:p>
          <w:p w14:paraId="2C14FD4A">
            <w:pPr>
              <w:spacing w:line="200" w:lineRule="exact"/>
            </w:pPr>
            <w:r>
              <w:rPr>
                <w:rFonts w:ascii="方正黑体_GBK" w:hAnsi="方正黑体_GBK" w:eastAsia="方正黑体_GBK" w:cs="宋体"/>
                <w:sz w:val="18"/>
                <w:szCs w:val="18"/>
              </w:rPr>
              <w:t>B份额：南京银行股份有限公司(新客或新资金或代发客户 )、江苏太仓农村商业银行股份有限公司、徽商银行股份有限公司、温州银行股份有限公司、江苏张家港农村商业银行股份有限公司、齐商银行股份有限公司、浙江民泰商业银行股份有限公司、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云南红塔银行股份有限公司（时点资产较上月末提升5万元的个人客户）、兰州银行股份有限公司、甘肃银行股份有限公司、上海农村商业银行股份有限公司（新客新资金客户）、东营银行股份有限公司、桂林银行股份有限公司（财富客户）、海南农村商业银行股份有限公司、石嘴山银行股份有限公司（财富客户）、江苏高淳农村商业银行股份有限公司、江苏新沂农村商业银行股份有限公司（1元起购）、江苏阜宁农村商业银行股份有限公司、江苏江都农村商业银行股份有限公司、江苏淮安农村商业银行股份有限公司(财富客户)、江苏大丰农村商业银行股份有限公司、江苏镇江农村商业银行股份有限公司( 除代发客户外的20万元起购客户)、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14:paraId="60FF8158">
            <w:pPr>
              <w:spacing w:line="200" w:lineRule="exact"/>
            </w:pPr>
            <w:r>
              <w:rPr>
                <w:rFonts w:ascii="方正黑体_GBK" w:hAnsi="方正黑体_GBK" w:eastAsia="方正黑体_GBK" w:cs="宋体"/>
                <w:sz w:val="18"/>
                <w:szCs w:val="18"/>
              </w:rPr>
              <w:t>C份额：南京银行股份有限公司(对公客户)、江苏江南农村商业银行股份有限公司(代发薪客户和新资金客户)、长沙银行股份有限公司、郑州银行股份有限公司、泰安银行股份有限公司、齐鲁银行股份有限公司(财富客户)、天津农村商业银行股份有限公司(个人新客)、江苏泰兴农村商业银行股份有限公司、江苏响水农村商业银行股份有限公司(50万元起购)、江苏靖江农村商业银行股份有限公司、江苏新沂农村商业银行股份有限公司（30万元起购）、江苏扬州农村商业银行股份有限公司（临界客户）、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14:paraId="38401FA7">
            <w:pPr>
              <w:spacing w:line="200" w:lineRule="exact"/>
            </w:pPr>
            <w:r>
              <w:rPr>
                <w:rFonts w:ascii="方正黑体_GBK" w:hAnsi="方正黑体_GBK" w:eastAsia="方正黑体_GBK" w:cs="宋体"/>
                <w:sz w:val="18"/>
                <w:szCs w:val="18"/>
              </w:rPr>
              <w:t>F份额：兴业银行股份有限公司。</w:t>
            </w:r>
          </w:p>
          <w:p w14:paraId="6C91EFC7">
            <w:pPr>
              <w:spacing w:line="200" w:lineRule="exact"/>
            </w:pPr>
            <w:r>
              <w:rPr>
                <w:rFonts w:ascii="方正黑体_GBK" w:hAnsi="方正黑体_GBK" w:eastAsia="方正黑体_GBK" w:cs="宋体"/>
                <w:sz w:val="18"/>
                <w:szCs w:val="18"/>
              </w:rPr>
              <w:t>J份额：昆山鹿城村镇银行股份有限公司。</w:t>
            </w:r>
          </w:p>
          <w:p w14:paraId="53CA5F35">
            <w:pPr>
              <w:spacing w:line="200" w:lineRule="exact"/>
            </w:pPr>
            <w:r>
              <w:rPr>
                <w:rFonts w:ascii="方正黑体_GBK" w:hAnsi="方正黑体_GBK" w:eastAsia="方正黑体_GBK" w:cs="宋体"/>
                <w:sz w:val="18"/>
                <w:szCs w:val="18"/>
              </w:rPr>
              <w:t>L份额：天津农村商业银行股份有限公司(私钻客户)、江苏姜堰农村商业银行股份有限公司（代发客户）、江苏扬州农村商业银行股份有限公司（新客户）。</w:t>
            </w:r>
          </w:p>
          <w:p w14:paraId="5000885B">
            <w:pPr>
              <w:spacing w:line="200" w:lineRule="exact"/>
            </w:pPr>
            <w:r>
              <w:rPr>
                <w:rFonts w:ascii="方正黑体_GBK" w:hAnsi="方正黑体_GBK" w:eastAsia="方正黑体_GBK" w:cs="宋体"/>
                <w:sz w:val="18"/>
                <w:szCs w:val="18"/>
              </w:rPr>
              <w:t>N份额：蒙商银行股份有限公司（除财富客户外的其他客户）。</w:t>
            </w:r>
          </w:p>
          <w:p w14:paraId="79A8E04D">
            <w:pPr>
              <w:spacing w:line="200" w:lineRule="exact"/>
            </w:pPr>
            <w:r>
              <w:rPr>
                <w:rFonts w:ascii="方正黑体_GBK" w:hAnsi="方正黑体_GBK" w:eastAsia="方正黑体_GBK" w:cs="宋体"/>
                <w:sz w:val="18"/>
                <w:szCs w:val="18"/>
              </w:rPr>
              <w:t>O份额：蒙商银行股份有限公司（财富客户）。</w:t>
            </w:r>
          </w:p>
          <w:p w14:paraId="6B7BB443">
            <w:pPr>
              <w:spacing w:line="200" w:lineRule="exact"/>
            </w:pPr>
            <w:r>
              <w:rPr>
                <w:rFonts w:ascii="方正黑体_GBK" w:hAnsi="方正黑体_GBK" w:eastAsia="方正黑体_GBK" w:cs="宋体"/>
                <w:sz w:val="18"/>
                <w:szCs w:val="18"/>
              </w:rPr>
              <w:t>D2份额：成都银行股份有限公司。</w:t>
            </w:r>
          </w:p>
          <w:p w14:paraId="7E700DEC">
            <w:pPr>
              <w:spacing w:line="200" w:lineRule="exact"/>
            </w:pPr>
            <w:r>
              <w:rPr>
                <w:rFonts w:ascii="方正黑体_GBK" w:hAnsi="方正黑体_GBK" w:eastAsia="方正黑体_GBK" w:cs="宋体"/>
                <w:sz w:val="18"/>
                <w:szCs w:val="18"/>
              </w:rPr>
              <w:t>I2份额：南京银行股份有限公司(拥军优属客户)。</w:t>
            </w:r>
          </w:p>
          <w:p w14:paraId="4C29B6E8">
            <w:pPr>
              <w:spacing w:line="200" w:lineRule="exact"/>
            </w:pPr>
            <w:r>
              <w:rPr>
                <w:rFonts w:ascii="方正黑体_GBK" w:hAnsi="方正黑体_GBK" w:eastAsia="方正黑体_GBK" w:cs="宋体"/>
                <w:sz w:val="18"/>
                <w:szCs w:val="18"/>
              </w:rPr>
              <w:t>Q份额：天津农村商业银行股份有限公司(私行客户)。</w:t>
            </w:r>
          </w:p>
          <w:p w14:paraId="2870E2FB">
            <w:pPr>
              <w:spacing w:line="200" w:lineRule="exact"/>
            </w:pPr>
            <w:r>
              <w:rPr>
                <w:rFonts w:ascii="方正黑体_GBK" w:hAnsi="方正黑体_GBK" w:eastAsia="方正黑体_GBK" w:cs="宋体"/>
                <w:sz w:val="18"/>
                <w:szCs w:val="18"/>
              </w:rPr>
              <w:t>Q2份额：中国银行股份有限公司。</w:t>
            </w:r>
          </w:p>
          <w:p w14:paraId="4E6D4AE4">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1F643DEC">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14:paraId="5B8FE4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1AE9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6F10A49">
            <w:pPr>
              <w:spacing w:line="200" w:lineRule="exact"/>
            </w:pPr>
            <w:r>
              <w:rPr>
                <w:rFonts w:ascii="方正黑体_GBK" w:hAnsi="方正黑体_GBK" w:eastAsia="方正黑体_GBK" w:cs="宋体"/>
                <w:sz w:val="18"/>
                <w:szCs w:val="18"/>
              </w:rPr>
              <w:t>A份额/B份额/C份额/F份额/J份额/L份额/N份额/O份额/D2份额/I2份额/Q份额/Q2份额：</w:t>
            </w:r>
          </w:p>
          <w:p w14:paraId="359A6157">
            <w:pPr>
              <w:spacing w:line="200" w:lineRule="exact"/>
            </w:pPr>
            <w:r>
              <w:rPr>
                <w:rFonts w:ascii="方正黑体_GBK" w:hAnsi="方正黑体_GBK" w:eastAsia="方正黑体_GBK" w:cs="宋体"/>
                <w:sz w:val="18"/>
                <w:szCs w:val="18"/>
              </w:rPr>
              <w:t>个人投资者投资起点金额1元人民币，以1元的整数倍递增；</w:t>
            </w:r>
          </w:p>
          <w:p w14:paraId="1C7199F2">
            <w:pPr>
              <w:spacing w:line="200" w:lineRule="exact"/>
            </w:pPr>
            <w:r>
              <w:rPr>
                <w:rFonts w:ascii="方正黑体_GBK" w:hAnsi="方正黑体_GBK" w:eastAsia="方正黑体_GBK" w:cs="宋体"/>
                <w:sz w:val="18"/>
                <w:szCs w:val="18"/>
              </w:rPr>
              <w:t>机构投资者投资起点金额1元人民币，以1元的整数倍递增；</w:t>
            </w:r>
          </w:p>
        </w:tc>
      </w:tr>
      <w:tr w14:paraId="27E8BC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8"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E34747">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r>
              <w:rPr>
                <w:rFonts w:hint="eastAsia" w:ascii="方正黑体_GBK" w:hAnsi="方正黑体_GBK" w:eastAsia="方正黑体_GBK"/>
                <w:kern w:val="0"/>
                <w:sz w:val="18"/>
                <w:szCs w:val="18"/>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79F047D1">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D14D732">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6774C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342D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705916BD">
            <w:pPr>
              <w:spacing w:line="200" w:lineRule="exact"/>
              <w:jc w:val="left"/>
            </w:pPr>
            <w:r>
              <w:rPr>
                <w:rFonts w:ascii="方正黑体_GBK" w:hAnsi="方正黑体_GBK" w:eastAsia="方正黑体_GBK" w:cs="宋体"/>
                <w:color w:val="000000"/>
                <w:sz w:val="18"/>
                <w:szCs w:val="18"/>
              </w:rPr>
              <w:t>2026年08月19日 09:00—2026年08月25日 17:00</w:t>
            </w:r>
          </w:p>
        </w:tc>
      </w:tr>
      <w:tr w14:paraId="727336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0C66DF">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1C1E178">
            <w:pPr>
              <w:spacing w:line="200" w:lineRule="exact"/>
            </w:pPr>
            <w:r>
              <w:rPr>
                <w:rFonts w:ascii="方正黑体_GBK" w:hAnsi="方正黑体_GBK" w:eastAsia="方正黑体_GBK" w:cs="宋体"/>
                <w:sz w:val="18"/>
                <w:szCs w:val="18"/>
              </w:rPr>
              <w:t>认购份额=确认认购金额/1。（认购份额以去尾法保留两位小数）</w:t>
            </w:r>
          </w:p>
        </w:tc>
      </w:tr>
      <w:tr w14:paraId="42B067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8EB2B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A26C1AE">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1AF336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CEF2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535A57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2026年08月26日</w:t>
            </w:r>
          </w:p>
        </w:tc>
      </w:tr>
      <w:tr w14:paraId="1AEE24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38E2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39AF34F">
            <w:pPr>
              <w:spacing w:line="200" w:lineRule="exact"/>
            </w:pPr>
            <w:r>
              <w:rPr>
                <w:rFonts w:ascii="方正黑体_GBK" w:hAnsi="方正黑体_GBK" w:eastAsia="方正黑体_GBK" w:cs="宋体"/>
                <w:sz w:val="18"/>
                <w:szCs w:val="18"/>
              </w:rPr>
              <w:t>2026年08月26日—实际到期日（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59879C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481A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E8F52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2027年03月10日</w:t>
            </w:r>
          </w:p>
        </w:tc>
      </w:tr>
      <w:tr w14:paraId="6B0059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8D9D5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0AEA8CD">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2B41FC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BD6B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6744DE40">
            <w:pPr>
              <w:spacing w:line="200" w:lineRule="exact"/>
            </w:pPr>
            <w:r>
              <w:rPr>
                <w:rFonts w:ascii="方正黑体_GBK" w:hAnsi="方正黑体_GBK" w:eastAsia="方正黑体_GBK" w:cs="宋体"/>
                <w:sz w:val="18"/>
                <w:szCs w:val="18"/>
              </w:rPr>
              <w:t>本理财产品存续期间不进行分红。</w:t>
            </w:r>
          </w:p>
          <w:p w14:paraId="6F1313DB">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6754A0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B1B9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16CA1903">
            <w:pPr>
              <w:spacing w:line="200" w:lineRule="exact"/>
            </w:pPr>
            <w:r>
              <w:rPr>
                <w:rFonts w:ascii="方正黑体_GBK" w:hAnsi="方正黑体_GBK" w:eastAsia="方正黑体_GBK" w:cs="宋体"/>
                <w:sz w:val="18"/>
                <w:szCs w:val="18"/>
              </w:rPr>
              <w:t>到期资金将于实际到期日后5个工作日内划入投资者授权指定账户。</w:t>
            </w:r>
          </w:p>
        </w:tc>
      </w:tr>
      <w:tr w14:paraId="3560FE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3EEC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0D85CBB">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0C853E00">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5BC82F9">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22C0AA78">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26D14E76">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1014B62">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tc>
      </w:tr>
      <w:tr w14:paraId="3425B2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7028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1099E67">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6E1CDA0">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w:t>
            </w:r>
          </w:p>
        </w:tc>
      </w:tr>
      <w:tr w14:paraId="0ABD5D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EAE0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65004E5F">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7E1D21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6681D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4EADD43">
            <w:pPr>
              <w:spacing w:line="200" w:lineRule="exact"/>
            </w:pPr>
            <w:r>
              <w:rPr>
                <w:rFonts w:ascii="方正黑体_GBK" w:hAnsi="方正黑体_GBK" w:eastAsia="方正黑体_GBK" w:cs="宋体"/>
                <w:b/>
                <w:sz w:val="18"/>
                <w:szCs w:val="18"/>
              </w:rPr>
              <w:t>本理财产品拟投资以下备选非标准化债权类资产：</w:t>
            </w:r>
          </w:p>
          <w:p w14:paraId="3528389D">
            <w:pPr>
              <w:spacing w:line="200" w:lineRule="exact"/>
            </w:pPr>
            <w:r>
              <w:rPr>
                <w:rFonts w:ascii="方正黑体_GBK" w:hAnsi="方正黑体_GBK" w:eastAsia="方正黑体_GBK" w:cs="宋体"/>
                <w:sz w:val="18"/>
                <w:szCs w:val="18"/>
              </w:rPr>
              <w:t>1.   同业借款：资产类型为南银理财有限责任公司向持牌金融机构发放的同业借款，资产到期日不超过理财产品到期日，融资人为中国中信金融资产管理股份有限公司。</w:t>
            </w:r>
          </w:p>
          <w:p w14:paraId="08121DE5">
            <w:pPr>
              <w:spacing w:line="200" w:lineRule="exact"/>
            </w:pPr>
            <w:r>
              <w:rPr>
                <w:rFonts w:ascii="方正黑体_GBK" w:hAnsi="方正黑体_GBK" w:eastAsia="方正黑体_GBK" w:cs="宋体"/>
                <w:sz w:val="18"/>
                <w:szCs w:val="18"/>
              </w:rPr>
              <w:t>2.   同业借款：资产类型为南银理财有限责任公司向持牌金融机构发放的同业借款，资产到期日不超过理财产品到期日，融资人为中国东方资产管理股份有限公司。</w:t>
            </w:r>
          </w:p>
          <w:p w14:paraId="6148AE4F">
            <w:pPr>
              <w:spacing w:line="200" w:lineRule="exact"/>
            </w:pPr>
            <w:r>
              <w:rPr>
                <w:rFonts w:ascii="方正黑体_GBK" w:hAnsi="方正黑体_GBK" w:eastAsia="方正黑体_GBK" w:cs="宋体"/>
                <w:sz w:val="18"/>
                <w:szCs w:val="18"/>
              </w:rPr>
              <w:t>3.   同业借款：资产类型为南银理财有限责任公司向持牌金融机构发放的同业借款，资产到期日不超过理财产品到期日，融资人为中国信达资产管理股份有限公司。</w:t>
            </w:r>
          </w:p>
          <w:p w14:paraId="4913C483">
            <w:pPr>
              <w:spacing w:line="200" w:lineRule="exact"/>
            </w:pPr>
            <w:r>
              <w:rPr>
                <w:rFonts w:ascii="方正黑体_GBK" w:hAnsi="方正黑体_GBK" w:eastAsia="方正黑体_GBK" w:cs="宋体"/>
                <w:sz w:val="18"/>
                <w:szCs w:val="18"/>
              </w:rPr>
              <w:t>4.   同业借款：资产类型为南银理财有限责任公司向持牌金融机构发放的同业借款，资产到期日不超过理财产品到期日，融资人为中国长城资产管理股份有限公司。</w:t>
            </w:r>
          </w:p>
          <w:p w14:paraId="267A5698">
            <w:pPr>
              <w:spacing w:line="200" w:lineRule="exact"/>
            </w:pPr>
            <w:r>
              <w:rPr>
                <w:rFonts w:ascii="方正黑体_GBK" w:hAnsi="方正黑体_GBK" w:eastAsia="方正黑体_GBK" w:cs="宋体"/>
                <w:sz w:val="18"/>
                <w:szCs w:val="18"/>
              </w:rPr>
              <w:t>5.   券商收益凭证：资产类型为证券公司发行的收益凭证，资产到期日不超过理财产品到期日，融资人为华宝证券股份有限公司，融资人评级为AA+（评级机构为联合资信评估股份有限公司）。</w:t>
            </w:r>
          </w:p>
          <w:p w14:paraId="632D2EEA">
            <w:pPr>
              <w:spacing w:line="200" w:lineRule="exact"/>
            </w:pPr>
            <w:r>
              <w:rPr>
                <w:rFonts w:ascii="方正黑体_GBK" w:hAnsi="方正黑体_GBK" w:eastAsia="方正黑体_GBK" w:cs="宋体"/>
                <w:sz w:val="18"/>
                <w:szCs w:val="18"/>
              </w:rPr>
              <w:t>6.   券商收益凭证：资产类型为证券公司发行的收益凭证，资产到期日不超过理财产品到期日，融资人为上海证券有限责任公司，融资人评级为AAA（评级机构为上海新世纪资信评估投资服务有限公司）。</w:t>
            </w:r>
          </w:p>
          <w:p w14:paraId="1B2136DB">
            <w:pPr>
              <w:spacing w:line="200" w:lineRule="exact"/>
            </w:pPr>
            <w:r>
              <w:rPr>
                <w:rFonts w:ascii="方正黑体_GBK" w:hAnsi="方正黑体_GBK" w:eastAsia="方正黑体_GBK" w:cs="宋体"/>
                <w:sz w:val="18"/>
                <w:szCs w:val="18"/>
              </w:rPr>
              <w:t>7.   券商收益凭证：资产类型为证券公司发行的收益凭证，资产到期日不超过理财产品到期日，融资人为山西证券股份有限公司，融资人评级为AAA（评级机构为中诚信国际信用评级有限责任公司）。</w:t>
            </w:r>
          </w:p>
          <w:p w14:paraId="20AC7C20">
            <w:pPr>
              <w:spacing w:line="200" w:lineRule="exact"/>
            </w:pPr>
            <w:r>
              <w:rPr>
                <w:rFonts w:ascii="方正黑体_GBK" w:hAnsi="方正黑体_GBK" w:eastAsia="方正黑体_GBK" w:cs="宋体"/>
                <w:sz w:val="18"/>
                <w:szCs w:val="18"/>
              </w:rPr>
              <w:t>8.   券商收益凭证：资产类型为证券公司发行的收益凭证，资产到期日不超过理财产品到期日，融资人为中银国际证券股份有限公司，融资人评级为AAA（评级机构为中诚信国际信用评级有限责任公司）。</w:t>
            </w:r>
          </w:p>
          <w:p w14:paraId="537682A2">
            <w:pPr>
              <w:spacing w:line="200" w:lineRule="exact"/>
            </w:pPr>
            <w:r>
              <w:rPr>
                <w:rFonts w:ascii="方正黑体_GBK" w:hAnsi="方正黑体_GBK" w:eastAsia="方正黑体_GBK" w:cs="宋体"/>
                <w:sz w:val="18"/>
                <w:szCs w:val="18"/>
              </w:rPr>
              <w:t>9.   券商收益凭证：资产类型为证券公司发行的收益凭证，资产到期日不超过理财产品到期日，融资人为首创证券股份有限公司，融资人评级为AAA（评级机构为中诚信国际信用评级有限责任公司）。</w:t>
            </w:r>
          </w:p>
          <w:p w14:paraId="15982E42">
            <w:pPr>
              <w:spacing w:line="200" w:lineRule="exact"/>
            </w:pPr>
            <w:r>
              <w:rPr>
                <w:rFonts w:ascii="方正黑体_GBK" w:hAnsi="方正黑体_GBK" w:eastAsia="方正黑体_GBK" w:cs="宋体"/>
                <w:sz w:val="18"/>
                <w:szCs w:val="18"/>
              </w:rPr>
              <w:t>10.  券商收益凭证：资产类型为证券公司发行的收益凭证，资产到期日不超过理财产品到期日，融资人为国泰海通证券股份有限公司，融资人评级为AAA（评级机构为上海新世纪资信评估投资服务有限公司）。</w:t>
            </w:r>
          </w:p>
          <w:p w14:paraId="0CCA8C2B">
            <w:pPr>
              <w:spacing w:line="200" w:lineRule="exact"/>
            </w:pPr>
            <w:r>
              <w:rPr>
                <w:rFonts w:ascii="方正黑体_GBK" w:hAnsi="方正黑体_GBK" w:eastAsia="方正黑体_GBK" w:cs="宋体"/>
                <w:sz w:val="18"/>
                <w:szCs w:val="18"/>
              </w:rPr>
              <w:t>11.  券商收益凭证：资产类型为证券公司发行的收益凭证，资产到期日不超过理财产品到期日，融资人为中信证券股份有限公司，融资人评级为AAA（评级机构为中诚信国际信用评级有限责任公司）。</w:t>
            </w:r>
          </w:p>
          <w:p w14:paraId="427366BB">
            <w:pPr>
              <w:spacing w:line="200" w:lineRule="exact"/>
            </w:pPr>
            <w:r>
              <w:rPr>
                <w:rFonts w:ascii="方正黑体_GBK" w:hAnsi="方正黑体_GBK" w:eastAsia="方正黑体_GBK" w:cs="宋体"/>
                <w:sz w:val="18"/>
                <w:szCs w:val="18"/>
              </w:rPr>
              <w:t>12.  券商收益凭证：资产类型为证券公司发行的收益凭证，资产到期日不超过理财产品到期日，融资人为华泰证券股份有限公司，融资人评级为AAA（评级机构为上海新世纪资信评估投资服务有限公司）。</w:t>
            </w:r>
          </w:p>
          <w:p w14:paraId="2BE7AB0C">
            <w:pPr>
              <w:spacing w:line="200" w:lineRule="exact"/>
            </w:pPr>
            <w:r>
              <w:rPr>
                <w:rFonts w:ascii="方正黑体_GBK" w:hAnsi="方正黑体_GBK" w:eastAsia="方正黑体_GBK" w:cs="宋体"/>
                <w:sz w:val="18"/>
                <w:szCs w:val="18"/>
              </w:rPr>
              <w:t>13.  券商收益凭证：资产类型为证券公司发行的收益凭证，资产到期日不超过理财产品到期日，融资人为中信建投证券股份有限公司，融资人评级为AAA（评级机构为中诚信国际信用评级有限责任公司）。</w:t>
            </w:r>
          </w:p>
          <w:p w14:paraId="2900BA54">
            <w:pPr>
              <w:spacing w:line="200" w:lineRule="exact"/>
            </w:pPr>
            <w:r>
              <w:rPr>
                <w:rFonts w:ascii="方正黑体_GBK" w:hAnsi="方正黑体_GBK" w:eastAsia="方正黑体_GBK" w:cs="宋体"/>
                <w:sz w:val="18"/>
                <w:szCs w:val="18"/>
              </w:rPr>
              <w:t>14.  券商收益凭证：资产类型为证券公司发行的收益凭证，资产到期日不超过理财产品到期日，融资人为中国银河证券股份有限公司，融资人评级为AAA（评级机构为联合资信评估股份有限公司）。</w:t>
            </w:r>
          </w:p>
          <w:p w14:paraId="245E2B8F">
            <w:pPr>
              <w:spacing w:line="200" w:lineRule="exact"/>
            </w:pPr>
            <w:r>
              <w:rPr>
                <w:rFonts w:ascii="方正黑体_GBK" w:hAnsi="方正黑体_GBK" w:eastAsia="方正黑体_GBK" w:cs="宋体"/>
                <w:sz w:val="18"/>
                <w:szCs w:val="18"/>
              </w:rPr>
              <w:t>15.  券商收益凭证：资产类型为证券公司发行的收益凭证，资产到期日不超过理财产品到期日，融资人为申万宏源证券有限公司，融资人评级为AAA（评级机构为联合资信评估股份有限公司）。</w:t>
            </w:r>
          </w:p>
          <w:p w14:paraId="26A4A1AB">
            <w:pPr>
              <w:spacing w:line="200" w:lineRule="exact"/>
            </w:pPr>
            <w:r>
              <w:rPr>
                <w:rFonts w:ascii="方正黑体_GBK" w:hAnsi="方正黑体_GBK" w:eastAsia="方正黑体_GBK" w:cs="宋体"/>
                <w:sz w:val="18"/>
                <w:szCs w:val="18"/>
              </w:rPr>
              <w:t>16.  券商收益凭证：资产类型为证券公司发行的收益凭证，资产到期日不超过理财产品到期日，融资人为中国国际金融股份有限公司，融资人评级为AAA（评级机构为中诚信国际信用评级有限责任公司）。</w:t>
            </w:r>
          </w:p>
          <w:p w14:paraId="70E5E2C8">
            <w:pPr>
              <w:spacing w:line="200" w:lineRule="exact"/>
            </w:pPr>
            <w:r>
              <w:rPr>
                <w:rFonts w:ascii="方正黑体_GBK" w:hAnsi="方正黑体_GBK" w:eastAsia="方正黑体_GBK" w:cs="宋体"/>
                <w:sz w:val="18"/>
                <w:szCs w:val="18"/>
              </w:rPr>
              <w:t>17.  券商收益凭证：资产类型为证券公司发行的收益凭证，资产到期日不超过理财产品到期日，融资人为招商证券股份有限公司，融资人评级为AAA（评级机构为联合资信评估股份有限公司）。</w:t>
            </w:r>
          </w:p>
          <w:p w14:paraId="46BA1AF2">
            <w:pPr>
              <w:spacing w:line="200" w:lineRule="exact"/>
            </w:pPr>
            <w:r>
              <w:rPr>
                <w:rFonts w:ascii="方正黑体_GBK" w:hAnsi="方正黑体_GBK" w:eastAsia="方正黑体_GBK" w:cs="宋体"/>
                <w:sz w:val="18"/>
                <w:szCs w:val="18"/>
              </w:rPr>
              <w:t>18.  券商收益凭证：资产类型为证券公司发行的收益凭证，资产到期日不超过理财产品到期日，融资人为平安证券股份有限公司，融资人评级为AAA（评级机构为中诚信国际信用评级有限责任公司）。</w:t>
            </w:r>
          </w:p>
          <w:p w14:paraId="1E5FA8D1">
            <w:pPr>
              <w:spacing w:line="200" w:lineRule="exact"/>
            </w:pPr>
            <w:r>
              <w:rPr>
                <w:rFonts w:ascii="方正黑体_GBK" w:hAnsi="方正黑体_GBK" w:eastAsia="方正黑体_GBK" w:cs="宋体"/>
                <w:sz w:val="18"/>
                <w:szCs w:val="18"/>
              </w:rPr>
              <w:t>19.  券商收益凭证：资产类型为证券公司发行的收益凭证，资产到期日不超过理财产品到期日，融资人为广发证券股份有限公司，融资人评级为AAA（评级机构为中诚信国际信用评级有限责任公司）。</w:t>
            </w:r>
          </w:p>
          <w:p w14:paraId="75139C1F">
            <w:pPr>
              <w:spacing w:line="200" w:lineRule="exact"/>
            </w:pPr>
            <w:r>
              <w:rPr>
                <w:rFonts w:ascii="方正黑体_GBK" w:hAnsi="方正黑体_GBK" w:eastAsia="方正黑体_GBK" w:cs="宋体"/>
                <w:sz w:val="18"/>
                <w:szCs w:val="18"/>
              </w:rPr>
              <w:t>20.  券商收益凭证：资产类型为证券公司发行的收益凭证，资产到期日不超过理财产品到期日，融资人为国信证券股份有限公司，融资人评级为AAA（评级机构为中诚信国际信用评级有限责任公司）。</w:t>
            </w:r>
          </w:p>
          <w:p w14:paraId="7AE93C92">
            <w:pPr>
              <w:spacing w:line="200" w:lineRule="exact"/>
            </w:pPr>
            <w:r>
              <w:rPr>
                <w:rFonts w:ascii="方正黑体_GBK" w:hAnsi="方正黑体_GBK" w:eastAsia="方正黑体_GBK" w:cs="宋体"/>
                <w:sz w:val="18"/>
                <w:szCs w:val="18"/>
              </w:rPr>
              <w:t>21.  券商收益凭证：资产类型为证券公司发行的收益凭证，资产到期日不超过理财产品到期日，融资人为兴业证券股份有限公司，融资人评级为AAA（评级机构为联合资信评估股份有限公司）。</w:t>
            </w:r>
          </w:p>
          <w:p w14:paraId="330988D2">
            <w:pPr>
              <w:spacing w:line="200" w:lineRule="exact"/>
            </w:pPr>
            <w:r>
              <w:rPr>
                <w:rFonts w:ascii="方正黑体_GBK" w:hAnsi="方正黑体_GBK" w:eastAsia="方正黑体_GBK" w:cs="宋体"/>
                <w:sz w:val="18"/>
                <w:szCs w:val="18"/>
              </w:rPr>
              <w:t>22.  券商收益凭证：资产类型为证券公司发行的收益凭证，资产到期日不超过理财产品到期日，融资人为光大证券股份有限公司，融资人评级为AAA（评级机构为联合资信评估股份有限公司）。</w:t>
            </w:r>
          </w:p>
          <w:p w14:paraId="00E407FD">
            <w:pPr>
              <w:spacing w:line="200" w:lineRule="exact"/>
            </w:pPr>
            <w:r>
              <w:rPr>
                <w:rFonts w:ascii="方正黑体_GBK" w:hAnsi="方正黑体_GBK" w:eastAsia="方正黑体_GBK" w:cs="宋体"/>
                <w:sz w:val="18"/>
                <w:szCs w:val="18"/>
              </w:rPr>
              <w:t>23.  券商收益凭证：资产类型为证券公司发行的收益凭证，资产到期日不超过理财产品到期日，融资人为华鑫证券有限责任公司，融资人评级为AA+（评级机构为上海新世纪资信评估投资服务有限公司）。</w:t>
            </w:r>
          </w:p>
          <w:p w14:paraId="464BB917">
            <w:pPr>
              <w:spacing w:line="200" w:lineRule="exact"/>
            </w:pPr>
            <w:r>
              <w:rPr>
                <w:rFonts w:ascii="方正黑体_GBK" w:hAnsi="方正黑体_GBK" w:eastAsia="方正黑体_GBK" w:cs="宋体"/>
                <w:sz w:val="18"/>
                <w:szCs w:val="18"/>
              </w:rPr>
              <w:t>24.  券商收益凭证：资产类型为证券公司发行的收益凭证，资产到期日不超过理财产品到期日，融资人为财通证券股份有限公司，融资人评级为AAA（评级机构为中诚信国际信用评级有限责任公司）。</w:t>
            </w:r>
          </w:p>
          <w:p w14:paraId="1EBFAE75">
            <w:pPr>
              <w:spacing w:line="200" w:lineRule="exact"/>
            </w:pPr>
            <w:r>
              <w:rPr>
                <w:rFonts w:ascii="方正黑体_GBK" w:hAnsi="方正黑体_GBK" w:eastAsia="方正黑体_GBK" w:cs="宋体"/>
                <w:sz w:val="18"/>
                <w:szCs w:val="18"/>
              </w:rPr>
              <w:t>25.  券商收益凭证：资产类型为证券公司发行的收益凭证，资产到期日不超过理财产品到期日，融资人为长江证券股份有限公司，融资人评级为AAA（评级机构为联合资信评估股份有限公司）。</w:t>
            </w:r>
          </w:p>
          <w:p w14:paraId="17033C6D">
            <w:pPr>
              <w:spacing w:line="200" w:lineRule="exact"/>
            </w:pPr>
            <w:r>
              <w:rPr>
                <w:rFonts w:ascii="方正黑体_GBK" w:hAnsi="方正黑体_GBK" w:eastAsia="方正黑体_GBK" w:cs="宋体"/>
                <w:sz w:val="18"/>
                <w:szCs w:val="18"/>
              </w:rPr>
              <w:t>26.  券商收益凭证：资产类型为证券公司发行的收益凭证，资产到期日不超过理财产品到期日，融资人为国金证券股份有限公司，融资人评级为AAA（评级机构为上海新世纪资信评估投资服务有限公司）。</w:t>
            </w:r>
          </w:p>
          <w:p w14:paraId="56692897">
            <w:pPr>
              <w:spacing w:line="200" w:lineRule="exact"/>
            </w:pPr>
            <w:r>
              <w:rPr>
                <w:rFonts w:ascii="方正黑体_GBK" w:hAnsi="方正黑体_GBK" w:eastAsia="方正黑体_GBK" w:cs="宋体"/>
                <w:sz w:val="18"/>
                <w:szCs w:val="18"/>
              </w:rPr>
              <w:t>27.  券商收益凭证：资产类型为证券公司发行的收益凭证，资产到期日不超过理财产品到期日，融资人为东方证券股份有限公司，融资人评级为AAA（评级机构为中诚信国际信用评级有限责任公司）。</w:t>
            </w:r>
          </w:p>
          <w:p w14:paraId="6DD3EA43">
            <w:pPr>
              <w:spacing w:line="200" w:lineRule="exact"/>
            </w:pPr>
            <w:r>
              <w:rPr>
                <w:rFonts w:ascii="方正黑体_GBK" w:hAnsi="方正黑体_GBK" w:eastAsia="方正黑体_GBK" w:cs="宋体"/>
                <w:sz w:val="18"/>
                <w:szCs w:val="18"/>
              </w:rPr>
              <w:t>28.  券商收益凭证：资产类型为证券公司发行的收益凭证，资产到期日不超过理财产品到期日，融资人为国投证券股份有限公司，融资人评级为AAA（评级机构为联合资信评估股份有限公司）。</w:t>
            </w:r>
          </w:p>
          <w:p w14:paraId="74197446">
            <w:pPr>
              <w:spacing w:line="200" w:lineRule="exact"/>
            </w:pPr>
            <w:r>
              <w:rPr>
                <w:rFonts w:ascii="方正黑体_GBK" w:hAnsi="方正黑体_GBK" w:eastAsia="方正黑体_GBK" w:cs="宋体"/>
                <w:b/>
                <w:sz w:val="18"/>
                <w:szCs w:val="18"/>
              </w:rPr>
              <w:t>以上资产剩余期限均不超过产品期限。</w:t>
            </w:r>
          </w:p>
          <w:p w14:paraId="63591D90">
            <w:pPr>
              <w:spacing w:line="200" w:lineRule="exact"/>
            </w:pPr>
            <w:r>
              <w:rPr>
                <w:rFonts w:ascii="方正黑体_GBK" w:hAnsi="方正黑体_GBK" w:eastAsia="方正黑体_GBK"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14:paraId="7F3DD4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20A4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6DEC65A6">
            <w:pPr>
              <w:spacing w:line="200" w:lineRule="exact"/>
            </w:pPr>
            <w:r>
              <w:rPr>
                <w:rFonts w:ascii="方正黑体_GBK" w:hAnsi="方正黑体_GBK" w:eastAsia="方正黑体_GBK" w:cs="宋体"/>
                <w:sz w:val="18"/>
                <w:szCs w:val="18"/>
              </w:rPr>
              <w:t>A份额：业绩比较基准为2.09%(年化)。</w:t>
            </w:r>
          </w:p>
          <w:p w14:paraId="5E103440">
            <w:pPr>
              <w:spacing w:line="200" w:lineRule="exact"/>
            </w:pPr>
            <w:r>
              <w:rPr>
                <w:rFonts w:ascii="方正黑体_GBK" w:hAnsi="方正黑体_GBK" w:eastAsia="方正黑体_GBK" w:cs="宋体"/>
                <w:sz w:val="18"/>
                <w:szCs w:val="18"/>
              </w:rPr>
              <w:t>B份额：业绩比较基准为2.19%(年化)。</w:t>
            </w:r>
          </w:p>
          <w:p w14:paraId="5A38C5EC">
            <w:pPr>
              <w:spacing w:line="200" w:lineRule="exact"/>
            </w:pPr>
            <w:r>
              <w:rPr>
                <w:rFonts w:ascii="方正黑体_GBK" w:hAnsi="方正黑体_GBK" w:eastAsia="方正黑体_GBK" w:cs="宋体"/>
                <w:sz w:val="18"/>
                <w:szCs w:val="18"/>
              </w:rPr>
              <w:t>C份额：业绩比较基准为2.29%(年化)。</w:t>
            </w:r>
          </w:p>
          <w:p w14:paraId="19F3DC24">
            <w:pPr>
              <w:spacing w:line="200" w:lineRule="exact"/>
            </w:pPr>
            <w:r>
              <w:rPr>
                <w:rFonts w:ascii="方正黑体_GBK" w:hAnsi="方正黑体_GBK" w:eastAsia="方正黑体_GBK" w:cs="宋体"/>
                <w:sz w:val="18"/>
                <w:szCs w:val="18"/>
              </w:rPr>
              <w:t>F份额：业绩比较基准为2.19%(年化)。</w:t>
            </w:r>
          </w:p>
          <w:p w14:paraId="486C0389">
            <w:pPr>
              <w:spacing w:line="200" w:lineRule="exact"/>
            </w:pPr>
            <w:r>
              <w:rPr>
                <w:rFonts w:ascii="方正黑体_GBK" w:hAnsi="方正黑体_GBK" w:eastAsia="方正黑体_GBK" w:cs="宋体"/>
                <w:sz w:val="18"/>
                <w:szCs w:val="18"/>
              </w:rPr>
              <w:t>J份额：业绩比较基准为2.09%(年化)。</w:t>
            </w:r>
          </w:p>
          <w:p w14:paraId="59EA000C">
            <w:pPr>
              <w:spacing w:line="200" w:lineRule="exact"/>
            </w:pPr>
            <w:r>
              <w:rPr>
                <w:rFonts w:ascii="方正黑体_GBK" w:hAnsi="方正黑体_GBK" w:eastAsia="方正黑体_GBK" w:cs="宋体"/>
                <w:sz w:val="18"/>
                <w:szCs w:val="18"/>
              </w:rPr>
              <w:t>L份额：业绩比较基准为2.34%(年化)。</w:t>
            </w:r>
          </w:p>
          <w:p w14:paraId="63B410D4">
            <w:pPr>
              <w:spacing w:line="200" w:lineRule="exact"/>
            </w:pPr>
            <w:r>
              <w:rPr>
                <w:rFonts w:ascii="方正黑体_GBK" w:hAnsi="方正黑体_GBK" w:eastAsia="方正黑体_GBK" w:cs="宋体"/>
                <w:sz w:val="18"/>
                <w:szCs w:val="18"/>
              </w:rPr>
              <w:t>N份额：业绩比较基准为2.09%(年化)。</w:t>
            </w:r>
          </w:p>
          <w:p w14:paraId="5D1E6C64">
            <w:pPr>
              <w:spacing w:line="200" w:lineRule="exact"/>
            </w:pPr>
            <w:r>
              <w:rPr>
                <w:rFonts w:ascii="方正黑体_GBK" w:hAnsi="方正黑体_GBK" w:eastAsia="方正黑体_GBK" w:cs="宋体"/>
                <w:sz w:val="18"/>
                <w:szCs w:val="18"/>
              </w:rPr>
              <w:t>O份额：业绩比较基准为2.29%(年化)。</w:t>
            </w:r>
          </w:p>
          <w:p w14:paraId="4048775C">
            <w:pPr>
              <w:spacing w:line="200" w:lineRule="exact"/>
            </w:pPr>
            <w:r>
              <w:rPr>
                <w:rFonts w:ascii="方正黑体_GBK" w:hAnsi="方正黑体_GBK" w:eastAsia="方正黑体_GBK" w:cs="宋体"/>
                <w:sz w:val="18"/>
                <w:szCs w:val="18"/>
              </w:rPr>
              <w:t>D2份额：业绩比较基准为2.24%(年化)。</w:t>
            </w:r>
          </w:p>
          <w:p w14:paraId="4084A89C">
            <w:pPr>
              <w:spacing w:line="200" w:lineRule="exact"/>
            </w:pPr>
            <w:r>
              <w:rPr>
                <w:rFonts w:ascii="方正黑体_GBK" w:hAnsi="方正黑体_GBK" w:eastAsia="方正黑体_GBK" w:cs="宋体"/>
                <w:sz w:val="18"/>
                <w:szCs w:val="18"/>
              </w:rPr>
              <w:t>I2份额：业绩比较基准为2.19%(年化)。</w:t>
            </w:r>
          </w:p>
          <w:p w14:paraId="0C4FBA7F">
            <w:pPr>
              <w:spacing w:line="200" w:lineRule="exact"/>
            </w:pPr>
            <w:r>
              <w:rPr>
                <w:rFonts w:ascii="方正黑体_GBK" w:hAnsi="方正黑体_GBK" w:eastAsia="方正黑体_GBK" w:cs="宋体"/>
                <w:sz w:val="18"/>
                <w:szCs w:val="18"/>
              </w:rPr>
              <w:t>Q份额：业绩比较基准为2.24%(年化)。</w:t>
            </w:r>
          </w:p>
          <w:p w14:paraId="78125FE3">
            <w:pPr>
              <w:spacing w:line="200" w:lineRule="exact"/>
            </w:pPr>
            <w:r>
              <w:rPr>
                <w:rFonts w:ascii="方正黑体_GBK" w:hAnsi="方正黑体_GBK" w:eastAsia="方正黑体_GBK" w:cs="宋体"/>
                <w:sz w:val="18"/>
                <w:szCs w:val="18"/>
              </w:rPr>
              <w:t>Q2份额：业绩比较基准为2.3%(年化)。</w:t>
            </w:r>
          </w:p>
          <w:p w14:paraId="679F99D2">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0F77CD1B">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382A71D">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839AD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F1B3BA">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7CDB5D72">
            <w:pPr>
              <w:spacing w:line="200" w:lineRule="exact"/>
            </w:pPr>
            <w:r>
              <w:rPr>
                <w:rFonts w:ascii="方正黑体_GBK" w:hAnsi="方正黑体_GBK" w:eastAsia="方正黑体_GBK" w:cs="宋体"/>
                <w:b/>
                <w:sz w:val="18"/>
                <w:szCs w:val="18"/>
              </w:rPr>
              <w:t>认/申购费：本理财产品暂不收取认/申购费。</w:t>
            </w:r>
          </w:p>
          <w:p w14:paraId="5ED86422">
            <w:pPr>
              <w:spacing w:line="200" w:lineRule="exact"/>
            </w:pPr>
            <w:r>
              <w:rPr>
                <w:rFonts w:ascii="方正黑体_GBK" w:hAnsi="方正黑体_GBK" w:eastAsia="方正黑体_GBK" w:cs="宋体"/>
                <w:b/>
                <w:sz w:val="18"/>
                <w:szCs w:val="18"/>
              </w:rPr>
              <w:t>赎回费：本理财产品暂不收取赎回费。</w:t>
            </w:r>
          </w:p>
          <w:p w14:paraId="70FC8F5C">
            <w:pPr>
              <w:spacing w:line="200" w:lineRule="exact"/>
            </w:pPr>
            <w:r>
              <w:rPr>
                <w:rFonts w:ascii="方正黑体_GBK" w:hAnsi="方正黑体_GBK" w:eastAsia="方正黑体_GBK" w:cs="宋体"/>
                <w:b/>
                <w:sz w:val="18"/>
                <w:szCs w:val="18"/>
              </w:rPr>
              <w:t>销售费：</w:t>
            </w:r>
          </w:p>
          <w:p w14:paraId="1C5D6625">
            <w:pPr>
              <w:spacing w:line="200" w:lineRule="exact"/>
            </w:pPr>
            <w:r>
              <w:rPr>
                <w:rFonts w:ascii="方正黑体_GBK" w:hAnsi="方正黑体_GBK" w:eastAsia="方正黑体_GBK" w:cs="宋体"/>
                <w:b/>
                <w:sz w:val="18"/>
                <w:szCs w:val="18"/>
              </w:rPr>
              <w:t>A份额，F份额，J份额：</w:t>
            </w:r>
          </w:p>
          <w:p w14:paraId="26827E77">
            <w:pPr>
              <w:spacing w:line="200" w:lineRule="exact"/>
            </w:pPr>
            <w:r>
              <w:rPr>
                <w:rFonts w:ascii="方正黑体_GBK" w:hAnsi="方正黑体_GBK" w:eastAsia="方正黑体_GBK" w:cs="宋体"/>
                <w:b/>
                <w:sz w:val="18"/>
                <w:szCs w:val="18"/>
              </w:rPr>
              <w:t>本理财产品按前一日理财产品资产净值收取年化0.2%的销售费，按日计提。</w:t>
            </w:r>
          </w:p>
          <w:p w14:paraId="20DCA22C">
            <w:pPr>
              <w:spacing w:line="200" w:lineRule="exact"/>
            </w:pPr>
            <w:r>
              <w:rPr>
                <w:rFonts w:ascii="方正黑体_GBK" w:hAnsi="方正黑体_GBK" w:eastAsia="方正黑体_GBK" w:cs="宋体"/>
                <w:b/>
                <w:sz w:val="18"/>
                <w:szCs w:val="18"/>
              </w:rPr>
              <w:t>每日计提的销售费=前一日理财产品资产净值×年化销售费率÷365</w:t>
            </w:r>
          </w:p>
          <w:p w14:paraId="62F60425">
            <w:pPr>
              <w:spacing w:line="200" w:lineRule="exact"/>
            </w:pPr>
            <w:r>
              <w:rPr>
                <w:rFonts w:ascii="方正黑体_GBK" w:hAnsi="方正黑体_GBK" w:eastAsia="方正黑体_GBK" w:cs="宋体"/>
                <w:b/>
                <w:sz w:val="18"/>
                <w:szCs w:val="18"/>
              </w:rPr>
              <w:t>B份额，I2份额：</w:t>
            </w:r>
          </w:p>
          <w:p w14:paraId="551B5908">
            <w:pPr>
              <w:spacing w:line="200" w:lineRule="exact"/>
            </w:pPr>
            <w:r>
              <w:rPr>
                <w:rFonts w:ascii="方正黑体_GBK" w:hAnsi="方正黑体_GBK" w:eastAsia="方正黑体_GBK" w:cs="宋体"/>
                <w:b/>
                <w:sz w:val="18"/>
                <w:szCs w:val="18"/>
              </w:rPr>
              <w:t>本理财产品按前一日理财产品资产净值收取年化0.15%的销售费，按日计提。</w:t>
            </w:r>
          </w:p>
          <w:p w14:paraId="77EE9257">
            <w:pPr>
              <w:spacing w:line="200" w:lineRule="exact"/>
            </w:pPr>
            <w:r>
              <w:rPr>
                <w:rFonts w:ascii="方正黑体_GBK" w:hAnsi="方正黑体_GBK" w:eastAsia="方正黑体_GBK" w:cs="宋体"/>
                <w:b/>
                <w:sz w:val="18"/>
                <w:szCs w:val="18"/>
              </w:rPr>
              <w:t>每日计提的销售费=前一日理财产品资产净值×年化销售费率÷365</w:t>
            </w:r>
          </w:p>
          <w:p w14:paraId="40233B66">
            <w:pPr>
              <w:spacing w:line="200" w:lineRule="exact"/>
            </w:pPr>
            <w:r>
              <w:rPr>
                <w:rFonts w:ascii="方正黑体_GBK" w:hAnsi="方正黑体_GBK" w:eastAsia="方正黑体_GBK" w:cs="宋体"/>
                <w:b/>
                <w:sz w:val="18"/>
                <w:szCs w:val="18"/>
              </w:rPr>
              <w:t>C份额，L份额，Q2份额：</w:t>
            </w:r>
          </w:p>
          <w:p w14:paraId="53B151BA">
            <w:pPr>
              <w:spacing w:line="200" w:lineRule="exact"/>
            </w:pPr>
            <w:r>
              <w:rPr>
                <w:rFonts w:ascii="方正黑体_GBK" w:hAnsi="方正黑体_GBK" w:eastAsia="方正黑体_GBK" w:cs="宋体"/>
                <w:b/>
                <w:sz w:val="18"/>
                <w:szCs w:val="18"/>
              </w:rPr>
              <w:t>本理财产品按前一日理财产品资产净值收取年化0.05%的销售费，按日计提。</w:t>
            </w:r>
          </w:p>
          <w:p w14:paraId="08A4282F">
            <w:pPr>
              <w:spacing w:line="200" w:lineRule="exact"/>
            </w:pPr>
            <w:r>
              <w:rPr>
                <w:rFonts w:ascii="方正黑体_GBK" w:hAnsi="方正黑体_GBK" w:eastAsia="方正黑体_GBK" w:cs="宋体"/>
                <w:b/>
                <w:sz w:val="18"/>
                <w:szCs w:val="18"/>
              </w:rPr>
              <w:t>每日计提的销售费=前一日理财产品资产净值×年化销售费率÷365</w:t>
            </w:r>
          </w:p>
          <w:p w14:paraId="797B8CFE">
            <w:pPr>
              <w:spacing w:line="200" w:lineRule="exact"/>
            </w:pPr>
            <w:r>
              <w:rPr>
                <w:rFonts w:ascii="方正黑体_GBK" w:hAnsi="方正黑体_GBK" w:eastAsia="方正黑体_GBK" w:cs="宋体"/>
                <w:b/>
                <w:sz w:val="18"/>
                <w:szCs w:val="18"/>
              </w:rPr>
              <w:t>N份额：</w:t>
            </w:r>
          </w:p>
          <w:p w14:paraId="72D9D27E">
            <w:pPr>
              <w:spacing w:line="200" w:lineRule="exact"/>
            </w:pPr>
            <w:r>
              <w:rPr>
                <w:rFonts w:ascii="方正黑体_GBK" w:hAnsi="方正黑体_GBK" w:eastAsia="方正黑体_GBK" w:cs="宋体"/>
                <w:b/>
                <w:sz w:val="18"/>
                <w:szCs w:val="18"/>
              </w:rPr>
              <w:t>本理财产品一次性收取年化0.3%的销售费，按日摊销。</w:t>
            </w:r>
          </w:p>
          <w:p w14:paraId="2E308237">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37C3C45E">
            <w:pPr>
              <w:spacing w:line="200" w:lineRule="exact"/>
            </w:pPr>
            <w:r>
              <w:rPr>
                <w:rFonts w:ascii="方正黑体_GBK" w:hAnsi="方正黑体_GBK" w:eastAsia="方正黑体_GBK" w:cs="宋体"/>
                <w:b/>
                <w:sz w:val="18"/>
                <w:szCs w:val="18"/>
              </w:rPr>
              <w:t>O份额：</w:t>
            </w:r>
          </w:p>
          <w:p w14:paraId="54267BCF">
            <w:pPr>
              <w:spacing w:line="200" w:lineRule="exact"/>
            </w:pPr>
            <w:r>
              <w:rPr>
                <w:rFonts w:ascii="方正黑体_GBK" w:hAnsi="方正黑体_GBK" w:eastAsia="方正黑体_GBK" w:cs="宋体"/>
                <w:b/>
                <w:sz w:val="18"/>
                <w:szCs w:val="18"/>
              </w:rPr>
              <w:t>本理财产品一次性收取年化0.1%的销售费，按日摊销。</w:t>
            </w:r>
          </w:p>
          <w:p w14:paraId="54633063">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30158641">
            <w:pPr>
              <w:spacing w:line="200" w:lineRule="exact"/>
            </w:pPr>
            <w:r>
              <w:rPr>
                <w:rFonts w:ascii="方正黑体_GBK" w:hAnsi="方正黑体_GBK" w:eastAsia="方正黑体_GBK" w:cs="宋体"/>
                <w:b/>
                <w:sz w:val="18"/>
                <w:szCs w:val="18"/>
              </w:rPr>
              <w:t>D2份额，Q份额：</w:t>
            </w:r>
          </w:p>
          <w:p w14:paraId="5206986B">
            <w:pPr>
              <w:spacing w:line="200" w:lineRule="exact"/>
            </w:pPr>
            <w:r>
              <w:rPr>
                <w:rFonts w:ascii="方正黑体_GBK" w:hAnsi="方正黑体_GBK" w:eastAsia="方正黑体_GBK" w:cs="宋体"/>
                <w:b/>
                <w:sz w:val="18"/>
                <w:szCs w:val="18"/>
              </w:rPr>
              <w:t>本理财产品按前一日理财产品资产净值收取年化0.1%的销售费，按日计提。</w:t>
            </w:r>
          </w:p>
          <w:p w14:paraId="2A2502A7">
            <w:pPr>
              <w:spacing w:line="200" w:lineRule="exact"/>
            </w:pPr>
            <w:r>
              <w:rPr>
                <w:rFonts w:ascii="方正黑体_GBK" w:hAnsi="方正黑体_GBK" w:eastAsia="方正黑体_GBK" w:cs="宋体"/>
                <w:b/>
                <w:sz w:val="18"/>
                <w:szCs w:val="18"/>
              </w:rPr>
              <w:t>每日计提的销售费=前一日理财产品资产净值×年化销售费率÷365</w:t>
            </w:r>
          </w:p>
          <w:p w14:paraId="165ED473">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1637AA08">
            <w:pPr>
              <w:spacing w:line="200" w:lineRule="exact"/>
            </w:pPr>
            <w:r>
              <w:rPr>
                <w:rFonts w:ascii="方正黑体_GBK" w:hAnsi="方正黑体_GBK" w:eastAsia="方正黑体_GBK" w:cs="宋体"/>
                <w:b/>
                <w:sz w:val="18"/>
                <w:szCs w:val="18"/>
              </w:rPr>
              <w:t>A份额：固定管理费年化0.11%</w:t>
            </w:r>
          </w:p>
          <w:p w14:paraId="29E18359">
            <w:pPr>
              <w:spacing w:line="200" w:lineRule="exact"/>
            </w:pPr>
            <w:r>
              <w:rPr>
                <w:rFonts w:ascii="方正黑体_GBK" w:hAnsi="方正黑体_GBK" w:eastAsia="方正黑体_GBK" w:cs="宋体"/>
                <w:b/>
                <w:sz w:val="18"/>
                <w:szCs w:val="18"/>
              </w:rPr>
              <w:t>B份额：固定管理费年化0.06%</w:t>
            </w:r>
          </w:p>
          <w:p w14:paraId="4023B77C">
            <w:pPr>
              <w:spacing w:line="200" w:lineRule="exact"/>
            </w:pPr>
            <w:r>
              <w:rPr>
                <w:rFonts w:ascii="方正黑体_GBK" w:hAnsi="方正黑体_GBK" w:eastAsia="方正黑体_GBK" w:cs="宋体"/>
                <w:b/>
                <w:sz w:val="18"/>
                <w:szCs w:val="18"/>
              </w:rPr>
              <w:t>C份额：固定管理费年化0.06%</w:t>
            </w:r>
          </w:p>
          <w:p w14:paraId="49E4CB40">
            <w:pPr>
              <w:spacing w:line="200" w:lineRule="exact"/>
            </w:pPr>
            <w:r>
              <w:rPr>
                <w:rFonts w:ascii="方正黑体_GBK" w:hAnsi="方正黑体_GBK" w:eastAsia="方正黑体_GBK" w:cs="宋体"/>
                <w:b/>
                <w:sz w:val="18"/>
                <w:szCs w:val="18"/>
              </w:rPr>
              <w:t>F份额：固定管理费年化0.01%</w:t>
            </w:r>
          </w:p>
          <w:p w14:paraId="1FDBBA90">
            <w:pPr>
              <w:spacing w:line="200" w:lineRule="exact"/>
            </w:pPr>
            <w:r>
              <w:rPr>
                <w:rFonts w:ascii="方正黑体_GBK" w:hAnsi="方正黑体_GBK" w:eastAsia="方正黑体_GBK" w:cs="宋体"/>
                <w:b/>
                <w:sz w:val="18"/>
                <w:szCs w:val="18"/>
              </w:rPr>
              <w:t>J份额：固定管理费年化0.11%</w:t>
            </w:r>
          </w:p>
          <w:p w14:paraId="10568AF6">
            <w:pPr>
              <w:spacing w:line="200" w:lineRule="exact"/>
            </w:pPr>
            <w:r>
              <w:rPr>
                <w:rFonts w:ascii="方正黑体_GBK" w:hAnsi="方正黑体_GBK" w:eastAsia="方正黑体_GBK" w:cs="宋体"/>
                <w:b/>
                <w:sz w:val="18"/>
                <w:szCs w:val="18"/>
              </w:rPr>
              <w:t>L份额：固定管理费年化0.01%</w:t>
            </w:r>
          </w:p>
          <w:p w14:paraId="57EBD858">
            <w:pPr>
              <w:spacing w:line="200" w:lineRule="exact"/>
            </w:pPr>
            <w:r>
              <w:rPr>
                <w:rFonts w:ascii="方正黑体_GBK" w:hAnsi="方正黑体_GBK" w:eastAsia="方正黑体_GBK" w:cs="宋体"/>
                <w:b/>
                <w:sz w:val="18"/>
                <w:szCs w:val="18"/>
              </w:rPr>
              <w:t>N份额：固定管理费年化0.01%</w:t>
            </w:r>
          </w:p>
          <w:p w14:paraId="1DF091D8">
            <w:pPr>
              <w:spacing w:line="200" w:lineRule="exact"/>
            </w:pPr>
            <w:r>
              <w:rPr>
                <w:rFonts w:ascii="方正黑体_GBK" w:hAnsi="方正黑体_GBK" w:eastAsia="方正黑体_GBK" w:cs="宋体"/>
                <w:b/>
                <w:sz w:val="18"/>
                <w:szCs w:val="18"/>
              </w:rPr>
              <w:t>O份额：固定管理费年化0.01%</w:t>
            </w:r>
          </w:p>
          <w:p w14:paraId="38056C76">
            <w:pPr>
              <w:spacing w:line="200" w:lineRule="exact"/>
            </w:pPr>
            <w:r>
              <w:rPr>
                <w:rFonts w:ascii="方正黑体_GBK" w:hAnsi="方正黑体_GBK" w:eastAsia="方正黑体_GBK" w:cs="宋体"/>
                <w:b/>
                <w:sz w:val="18"/>
                <w:szCs w:val="18"/>
              </w:rPr>
              <w:t>D2份额：固定管理费年化0.06%</w:t>
            </w:r>
          </w:p>
          <w:p w14:paraId="4E0417FD">
            <w:pPr>
              <w:spacing w:line="200" w:lineRule="exact"/>
            </w:pPr>
            <w:r>
              <w:rPr>
                <w:rFonts w:ascii="方正黑体_GBK" w:hAnsi="方正黑体_GBK" w:eastAsia="方正黑体_GBK" w:cs="宋体"/>
                <w:b/>
                <w:sz w:val="18"/>
                <w:szCs w:val="18"/>
              </w:rPr>
              <w:t>I2份额：固定管理费年化0.06%</w:t>
            </w:r>
          </w:p>
          <w:p w14:paraId="5198E2B2">
            <w:pPr>
              <w:spacing w:line="200" w:lineRule="exact"/>
            </w:pPr>
            <w:r>
              <w:rPr>
                <w:rFonts w:ascii="方正黑体_GBK" w:hAnsi="方正黑体_GBK" w:eastAsia="方正黑体_GBK" w:cs="宋体"/>
                <w:b/>
                <w:sz w:val="18"/>
                <w:szCs w:val="18"/>
              </w:rPr>
              <w:t>Q份额：固定管理费年化0.06%</w:t>
            </w:r>
          </w:p>
          <w:p w14:paraId="21519E3E">
            <w:pPr>
              <w:spacing w:line="200" w:lineRule="exact"/>
            </w:pPr>
            <w:r>
              <w:rPr>
                <w:rFonts w:ascii="方正黑体_GBK" w:hAnsi="方正黑体_GBK" w:eastAsia="方正黑体_GBK" w:cs="宋体"/>
                <w:b/>
                <w:sz w:val="18"/>
                <w:szCs w:val="18"/>
              </w:rPr>
              <w:t>Q2份额：固定管理费年化0.05%</w:t>
            </w:r>
          </w:p>
          <w:p w14:paraId="6740AB56">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307A2D8">
            <w:pPr>
              <w:spacing w:line="200" w:lineRule="exact"/>
            </w:pPr>
            <w:r>
              <w:rPr>
                <w:rFonts w:ascii="方正黑体_GBK" w:hAnsi="方正黑体_GBK" w:eastAsia="方正黑体_GBK" w:cs="宋体"/>
                <w:b/>
                <w:sz w:val="18"/>
                <w:szCs w:val="18"/>
              </w:rPr>
              <w:t>托管费：</w:t>
            </w:r>
          </w:p>
          <w:p w14:paraId="6F7C80B6">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AE0ED56">
            <w:pPr>
              <w:spacing w:line="200" w:lineRule="exact"/>
            </w:pPr>
            <w:r>
              <w:rPr>
                <w:rFonts w:ascii="方正黑体_GBK" w:hAnsi="方正黑体_GBK" w:eastAsia="方正黑体_GBK" w:cs="宋体"/>
                <w:b/>
                <w:sz w:val="18"/>
                <w:szCs w:val="18"/>
              </w:rPr>
              <w:t>每日计提的托管费=前一日理财产品资产净值×年化托管费率÷365</w:t>
            </w:r>
          </w:p>
          <w:p w14:paraId="67A18694">
            <w:pPr>
              <w:spacing w:line="200" w:lineRule="exact"/>
            </w:pPr>
            <w:r>
              <w:rPr>
                <w:rFonts w:ascii="方正黑体_GBK" w:hAnsi="方正黑体_GBK" w:eastAsia="方正黑体_GBK" w:cs="宋体"/>
                <w:b/>
                <w:sz w:val="18"/>
                <w:szCs w:val="18"/>
              </w:rPr>
              <w:t>业绩报酬：</w:t>
            </w:r>
          </w:p>
          <w:p w14:paraId="24DF0936">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A份额：到期兑付时，当期产品投资的实际资产组合收益（扣除销售费、固定管理费、托管费等相关费用）超过2.09%（年化，即产品该份额对应的业绩报酬计提基准）时，超过部分管理人将按60%收取业绩报酬。</w:t>
            </w:r>
          </w:p>
          <w:p w14:paraId="70AFA48B">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B份额：到期兑付时，当期产品投资的实际资产组合收益（扣除销售费、固定管理费、托管费等相关费用）超过2.19%（年化，即产品该份额对应的业绩报酬计提基准）时，超过部分管理人将按60%收取业绩报酬。</w:t>
            </w:r>
          </w:p>
          <w:p w14:paraId="2951D6F3">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C份额：到期兑付时，当期产品投资的实际资产组合收益（扣除销售费、固定管理费、托管费等相关费用）超过2.29%（年化，即产品该份额对应的业绩报酬计提基准）时，超过部分管理人将按60%收取业绩报酬。</w:t>
            </w:r>
          </w:p>
          <w:p w14:paraId="1613CB5B">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F份额：到期兑付时，当期产品投资的实际资产组合收益（扣除销售费、固定管理费、托管费等相关费用）超过2.19%（年化，即产品该份额对应的业绩报酬计提基准）时，超过部分管理人将按60%收取业绩报酬。</w:t>
            </w:r>
          </w:p>
          <w:p w14:paraId="7D8759CD">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J份额：到期兑付时，当期产品投资的实际资产组合收益（扣除销售费、固定管理费、托管费等相关费用）超过2.09%（年化，即产品该份额对应的业绩报酬计提基准）时，超过部分管理人将按60%收取业绩报酬。</w:t>
            </w:r>
          </w:p>
          <w:p w14:paraId="0773F1A6">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L份额：到期兑付时，当期产品投资的实际资产组合收益（扣除销售费、固定管理费、托管费等相关费用）超过2.34%（年化，即产品该份额对应的业绩报酬计提基准）时，超过部分管理人将按60%收取业绩报酬。</w:t>
            </w:r>
          </w:p>
          <w:p w14:paraId="384234E6">
            <w:pPr>
              <w:spacing w:line="200" w:lineRule="exact"/>
            </w:pPr>
            <w:r>
              <w:rPr>
                <w:rFonts w:ascii="方正黑体_GBK" w:hAnsi="方正黑体_GBK" w:eastAsia="方正黑体_GBK" w:cs="宋体"/>
                <w:b/>
                <w:sz w:val="18"/>
                <w:szCs w:val="18"/>
              </w:rPr>
              <w:t>N份额：到期兑付时，当期产品投资的实际资产组合收益（扣除销售费、固定管理费、托管费等相关费用）超过2.09%（年化，即产品该份额对应的业绩报酬计提基准）时，超过部分管理人将按60%收取业绩报酬。</w:t>
            </w:r>
          </w:p>
          <w:p w14:paraId="7935B26A">
            <w:pPr>
              <w:spacing w:line="200" w:lineRule="exact"/>
            </w:pPr>
            <w:r>
              <w:rPr>
                <w:rFonts w:ascii="方正黑体_GBK" w:hAnsi="方正黑体_GBK" w:eastAsia="方正黑体_GBK" w:cs="宋体"/>
                <w:b/>
                <w:sz w:val="18"/>
                <w:szCs w:val="18"/>
              </w:rPr>
              <w:t>O份额：到期兑付时，当期产品投资的实际资产组合收益（扣除销售费、固定管理费、托管费等相关费用）超过2.29%（年化，即产品该份额对应的业绩报酬计提基准）时，超过部分管理人将按60%收取业绩报酬。</w:t>
            </w:r>
          </w:p>
          <w:p w14:paraId="45B67FA6">
            <w:pPr>
              <w:spacing w:line="200" w:lineRule="exact"/>
            </w:pPr>
            <w:r>
              <w:rPr>
                <w:rFonts w:ascii="方正黑体_GBK" w:hAnsi="方正黑体_GBK" w:eastAsia="方正黑体_GBK" w:cs="宋体"/>
                <w:b/>
                <w:sz w:val="18"/>
                <w:szCs w:val="18"/>
              </w:rPr>
              <w:t>D2份额：到期兑付时，当期产品投资的实际资产组合收益（扣除销售费、固定管理费、托管费等相关费用）超过2.24%（年化，即产品该份额对应的业绩报酬计提基准）时，超过部分管理人将按60%收取业绩报酬。</w:t>
            </w:r>
          </w:p>
          <w:p w14:paraId="637C9D8D">
            <w:pPr>
              <w:spacing w:line="200" w:lineRule="exact"/>
            </w:pPr>
            <w:r>
              <w:rPr>
                <w:rFonts w:ascii="方正黑体_GBK" w:hAnsi="方正黑体_GBK" w:eastAsia="方正黑体_GBK" w:cs="宋体"/>
                <w:b/>
                <w:sz w:val="18"/>
                <w:szCs w:val="18"/>
              </w:rPr>
              <w:t>I2份额：到期兑付时，当期产品投资的实际资产组合收益（扣除销售费、固定管理费、托管费等相关费用）超过2.19%（年化，即产品该份额对应的业绩报酬计提基准）时，超过部分管理人将按60%收取业绩报酬。</w:t>
            </w:r>
          </w:p>
          <w:p w14:paraId="34CF4866">
            <w:pPr>
              <w:spacing w:line="200" w:lineRule="exact"/>
            </w:pPr>
            <w:r>
              <w:rPr>
                <w:rFonts w:ascii="方正黑体_GBK" w:hAnsi="方正黑体_GBK" w:eastAsia="方正黑体_GBK" w:cs="宋体"/>
                <w:b/>
                <w:sz w:val="18"/>
                <w:szCs w:val="18"/>
              </w:rPr>
              <w:t>Q份额：到期兑付时，当期产品投资的实际资产组合收益（扣除销售费、固定管理费、托管费等相关费用）超过2.24%（年化，即产品该份额对应的业绩报酬计提基准）时，超过部分管理人将按60%收取业绩报酬。</w:t>
            </w:r>
          </w:p>
          <w:p w14:paraId="7986E336">
            <w:pPr>
              <w:spacing w:line="200" w:lineRule="exact"/>
            </w:pPr>
            <w:r>
              <w:rPr>
                <w:rFonts w:ascii="方正黑体_GBK" w:hAnsi="方正黑体_GBK" w:eastAsia="方正黑体_GBK" w:cs="宋体"/>
                <w:b/>
                <w:sz w:val="18"/>
                <w:szCs w:val="18"/>
              </w:rPr>
              <w:t>Q2份额：到期兑付时，当期产品投资的实际资产组合收益（扣除销售费、固定管理费、托管费等相关费用）超过2.3%（年化，即产品该份额对应的业绩报酬计提基准）时，超过部分管理人将按60%收取业绩报酬。</w:t>
            </w:r>
          </w:p>
          <w:p w14:paraId="6DA0509C">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A773378">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724577F0">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2FA511BF">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3D9D43F">
            <w:pPr>
              <w:spacing w:line="200" w:lineRule="exact"/>
            </w:pPr>
            <w:r>
              <w:rPr>
                <w:rFonts w:ascii="方正黑体_GBK" w:hAnsi="方正黑体_GBK" w:eastAsia="方正黑体_GBK" w:cs="宋体"/>
                <w:b/>
                <w:sz w:val="18"/>
                <w:szCs w:val="18"/>
              </w:rPr>
              <w:t>计算本区间业绩报酬的公式如下：</w:t>
            </w:r>
          </w:p>
          <w:p w14:paraId="2D5358DF">
            <w:pPr>
              <w:spacing w:line="200" w:lineRule="exact"/>
            </w:pPr>
            <w:r>
              <w:rPr>
                <w:rFonts w:ascii="方正黑体_GBK" w:hAnsi="方正黑体_GBK" w:eastAsia="方正黑体_GBK" w:cs="宋体"/>
                <w:b/>
                <w:sz w:val="18"/>
                <w:szCs w:val="18"/>
              </w:rPr>
              <w:t>A={B-C*D*(1+E*F/365)}*G。</w:t>
            </w:r>
          </w:p>
          <w:p w14:paraId="531AA0BC">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5437BD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5ED6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7B9D8A83">
            <w:pPr>
              <w:spacing w:line="200" w:lineRule="exact"/>
            </w:pPr>
            <w:r>
              <w:rPr>
                <w:rFonts w:ascii="方正黑体_GBK" w:hAnsi="方正黑体_GBK" w:eastAsia="方正黑体_GBK" w:cs="宋体"/>
                <w:sz w:val="18"/>
                <w:szCs w:val="18"/>
              </w:rPr>
              <w:t>具体详见本理财产品风险揭示书。</w:t>
            </w:r>
          </w:p>
        </w:tc>
      </w:tr>
      <w:tr w14:paraId="798020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1A4F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083DFA4">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亿元人民币。住所：江苏省南京市建邺区庐山路242号2号楼14-16层，联系方式：4001195302。</w:t>
            </w:r>
          </w:p>
          <w:p w14:paraId="3ADD82DE">
            <w:pPr>
              <w:spacing w:line="200" w:lineRule="exact"/>
              <w:jc w:val="left"/>
            </w:pPr>
            <w:r>
              <w:rPr>
                <w:rFonts w:ascii="方正黑体_GBK" w:hAnsi="方正黑体_GBK" w:eastAsia="方正黑体_GBK" w:cs="宋体"/>
                <w:sz w:val="18"/>
                <w:szCs w:val="18"/>
              </w:rPr>
              <w:t xml:space="preserve">管理人主要职责如下：  </w:t>
            </w:r>
          </w:p>
          <w:p w14:paraId="1EC1BD28">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1D22B2AA">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74445E0B">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EEE83CA">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7F88229D">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E94B793">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71735437">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0BCD78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1777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12D1D6E2">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齐商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阜宁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兰州银行股份有限公司、江苏灌南农村商业银行股份有限公司、东营银行股份有限公司、江苏沛县农村商业银行股份有限公司、交通银行股份有限公司、甘肃银行股份有限公司、中国银行股份有限公司、台州银行股份有限公司、浙江民泰商业银行股份有限公司、江苏仪征农村商业银行股份有限公司、金华银行股份有限公司、昆山鹿城村镇银行股份有限公司、成都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海南农村商业银行股份有限公司、湖州银行股份有限公司、江苏灌云农村商业银行股份有限公司、江苏海安农村商业银行股份有限公司、广州农村商业银行股份有限公司、江苏泰州农村商业银行股份有限公司、朝阳银行股份有限公司、江苏启东农村商业银行股份有限公司。销售机构基本信息详见第五条。</w:t>
            </w:r>
          </w:p>
          <w:p w14:paraId="51F0A7FC">
            <w:pPr>
              <w:spacing w:line="200" w:lineRule="exact"/>
              <w:jc w:val="left"/>
            </w:pPr>
            <w:r>
              <w:rPr>
                <w:rFonts w:ascii="方正黑体_GBK" w:hAnsi="方正黑体_GBK" w:eastAsia="方正黑体_GBK" w:cs="宋体"/>
                <w:sz w:val="18"/>
                <w:szCs w:val="18"/>
              </w:rPr>
              <w:t>销售机构主要职责如下：</w:t>
            </w:r>
          </w:p>
          <w:p w14:paraId="0A94A0AE">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15611A9D">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7EF03193">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668FF728">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4A24CDB7">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F738887">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04C5F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A66D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97BC5AD">
            <w:pPr>
              <w:spacing w:line="200" w:lineRule="exact"/>
            </w:pPr>
            <w:r>
              <w:rPr>
                <w:rFonts w:ascii="方正黑体_GBK" w:hAnsi="方正黑体_GBK" w:eastAsia="方正黑体_GBK" w:cs="宋体"/>
                <w:sz w:val="18"/>
                <w:szCs w:val="18"/>
              </w:rPr>
              <w:t>本理财产品托管人为南京银行股份有限公司，住所：南京市建邺区江山大街88号，联系方式：95302。</w:t>
            </w:r>
          </w:p>
          <w:p w14:paraId="530FE383">
            <w:pPr>
              <w:spacing w:line="200" w:lineRule="exact"/>
            </w:pPr>
            <w:r>
              <w:rPr>
                <w:rFonts w:ascii="方正黑体_GBK" w:hAnsi="方正黑体_GBK" w:eastAsia="方正黑体_GBK" w:cs="宋体"/>
                <w:sz w:val="18"/>
                <w:szCs w:val="18"/>
              </w:rPr>
              <w:t>主要职责如下：</w:t>
            </w:r>
          </w:p>
          <w:p w14:paraId="13F87675">
            <w:pPr>
              <w:spacing w:line="200" w:lineRule="exact"/>
            </w:pPr>
            <w:r>
              <w:rPr>
                <w:rFonts w:ascii="方正黑体_GBK" w:hAnsi="方正黑体_GBK" w:eastAsia="方正黑体_GBK" w:cs="宋体"/>
                <w:sz w:val="18"/>
                <w:szCs w:val="18"/>
              </w:rPr>
              <w:t>1.安全保管理财产品财产；</w:t>
            </w:r>
          </w:p>
          <w:p w14:paraId="28CF640C">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427D3E04">
            <w:pPr>
              <w:spacing w:line="200" w:lineRule="exact"/>
            </w:pPr>
            <w:r>
              <w:rPr>
                <w:rFonts w:ascii="方正黑体_GBK" w:hAnsi="方正黑体_GBK" w:eastAsia="方正黑体_GBK" w:cs="宋体"/>
                <w:sz w:val="18"/>
                <w:szCs w:val="18"/>
              </w:rPr>
              <w:t>3.按照托管协议约定和管理人的投资指令，及时办理清算、交割事宜；</w:t>
            </w:r>
          </w:p>
          <w:p w14:paraId="7E2D9E43">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96171B3">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46F71C11">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7EC4DC9D">
            <w:pPr>
              <w:spacing w:line="200" w:lineRule="exact"/>
            </w:pPr>
            <w:r>
              <w:rPr>
                <w:rFonts w:ascii="方正黑体_GBK" w:hAnsi="方正黑体_GBK" w:eastAsia="方正黑体_GBK" w:cs="宋体"/>
                <w:sz w:val="18"/>
                <w:szCs w:val="18"/>
              </w:rPr>
              <w:t>7.理财托管业务活动的记录、账册、报表和其他相关资料保存20年以上；</w:t>
            </w:r>
          </w:p>
          <w:p w14:paraId="4968F2F6">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4B1D553D">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7D589F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9FBC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705156D">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14:paraId="7C70C7F7">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3C0143A0">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粮信托有限责任公司、中信信托有限责任公司、鑫元基金管理有限公司。</w:t>
            </w:r>
          </w:p>
          <w:p w14:paraId="1B2CA2E0">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4F2CBEEE">
            <w:pPr>
              <w:spacing w:line="200" w:lineRule="exact"/>
            </w:pPr>
            <w:r>
              <w:rPr>
                <w:rFonts w:ascii="方正黑体_GBK" w:hAnsi="方正黑体_GBK" w:eastAsia="方正黑体_GBK" w:cs="宋体"/>
                <w:sz w:val="18"/>
                <w:szCs w:val="18"/>
              </w:rPr>
              <w:t>上述投资合作机构简介：</w:t>
            </w:r>
          </w:p>
          <w:p w14:paraId="1E5834EF">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3C27BD18">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4F60882">
            <w:pPr>
              <w:spacing w:line="200" w:lineRule="exact"/>
            </w:pPr>
            <w:r>
              <w:rPr>
                <w:rFonts w:ascii="方正黑体_GBK" w:hAnsi="方正黑体_GBK" w:eastAsia="方正黑体_GBK" w:cs="宋体"/>
                <w:sz w:val="18"/>
                <w:szCs w:val="18"/>
              </w:rPr>
              <w:t>国联基金管理有限公司成立于2013年05月31日，注册资本金11.5亿元。</w:t>
            </w:r>
          </w:p>
          <w:p w14:paraId="0341825F">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00DAA018">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7EF9AED">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1DD43379">
            <w:pPr>
              <w:spacing w:line="200" w:lineRule="exact"/>
            </w:pPr>
            <w:r>
              <w:rPr>
                <w:rFonts w:ascii="方正黑体_GBK" w:hAnsi="方正黑体_GBK" w:eastAsia="方正黑体_GBK" w:cs="宋体"/>
                <w:sz w:val="18"/>
                <w:szCs w:val="18"/>
              </w:rPr>
              <w:t>华鑫国际信托有限公司成立于1984年06月01日，注册资本金73.95亿元。</w:t>
            </w:r>
          </w:p>
          <w:p w14:paraId="489677E2">
            <w:pPr>
              <w:spacing w:line="200" w:lineRule="exact"/>
            </w:pPr>
            <w:r>
              <w:rPr>
                <w:rFonts w:ascii="方正黑体_GBK" w:hAnsi="方正黑体_GBK" w:eastAsia="方正黑体_GBK" w:cs="宋体"/>
                <w:sz w:val="18"/>
                <w:szCs w:val="18"/>
              </w:rPr>
              <w:t>建信保险资产管理有限公司成立于2016年04月27日，注册资本金3亿元。</w:t>
            </w:r>
          </w:p>
          <w:p w14:paraId="7876394A">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5BF24A04">
            <w:pPr>
              <w:spacing w:line="200" w:lineRule="exact"/>
            </w:pPr>
            <w:r>
              <w:rPr>
                <w:rFonts w:ascii="方正黑体_GBK" w:hAnsi="方正黑体_GBK" w:eastAsia="方正黑体_GBK" w:cs="宋体"/>
                <w:sz w:val="18"/>
                <w:szCs w:val="18"/>
              </w:rPr>
              <w:t>平安资产管理有限责任公司成立于2005年05月27日，注册资本金15亿元。</w:t>
            </w:r>
          </w:p>
          <w:p w14:paraId="5B7C9C77">
            <w:pPr>
              <w:spacing w:line="200" w:lineRule="exact"/>
            </w:pPr>
            <w:r>
              <w:rPr>
                <w:rFonts w:ascii="方正黑体_GBK" w:hAnsi="方正黑体_GBK" w:eastAsia="方正黑体_GBK" w:cs="宋体"/>
                <w:sz w:val="18"/>
                <w:szCs w:val="18"/>
              </w:rPr>
              <w:t>泰康资产管理有限责任公司成立于2006年02月21日，注册资本金10亿元。</w:t>
            </w:r>
          </w:p>
          <w:p w14:paraId="46C2F007">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014BF2BC">
            <w:pPr>
              <w:spacing w:line="200" w:lineRule="exact"/>
            </w:pPr>
            <w:r>
              <w:rPr>
                <w:rFonts w:ascii="方正黑体_GBK" w:hAnsi="方正黑体_GBK" w:eastAsia="方正黑体_GBK" w:cs="宋体"/>
                <w:sz w:val="18"/>
                <w:szCs w:val="18"/>
              </w:rPr>
              <w:t>太平资产管理有限公司成立于2006年09月01日，注册资本金10亿元。</w:t>
            </w:r>
          </w:p>
          <w:p w14:paraId="64601931">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4A1FD1D">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436687BD">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49226C29">
            <w:pPr>
              <w:spacing w:line="200" w:lineRule="exact"/>
            </w:pPr>
            <w:r>
              <w:rPr>
                <w:rFonts w:ascii="方正黑体_GBK" w:hAnsi="方正黑体_GBK" w:eastAsia="方正黑体_GBK" w:cs="宋体"/>
                <w:sz w:val="18"/>
                <w:szCs w:val="18"/>
              </w:rPr>
              <w:t>中粮信托有限责任公司成立于2009年07月27日，注册资本金28.3亿元。</w:t>
            </w:r>
          </w:p>
          <w:p w14:paraId="5AA18B05">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06D0959C">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73B3A0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E442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474AC436">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78A83F1A">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76BFFF62">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5295736">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E4E0DB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992C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BEE0974">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1967299">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9B169A2">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33C149E5">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16611FE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3FAA90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3EFC701F">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130F7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7817E5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5E292F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B46DE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51321DA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02FC3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60B7E85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7DA42D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460BF0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A7BFAB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4D4B949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47E2CB0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FCB35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31B477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FABBE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0E5B30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626C939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2394ECA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6566A2C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090FF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043BE9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6DB16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2E7876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55C875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98BEC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749A765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38A219EE">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南银理财珠联璧合鑫逸稳半年197期封闭式公募人民币理财产品</w:t>
      </w:r>
      <w:r>
        <w:rPr>
          <w:rFonts w:hint="eastAsia" w:ascii="方正黑体_GBK" w:hAnsi="方正黑体_GBK" w:eastAsia="方正黑体_GBK"/>
          <w:vanish w:val="0"/>
          <w:color w:val="3D3D3D"/>
          <w:kern w:val="0"/>
          <w:sz w:val="15"/>
          <w:szCs w:val="15"/>
        </w:rPr>
        <w:t>。</w:t>
      </w:r>
    </w:p>
    <w:p w14:paraId="644281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3206F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53832A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2CAE46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CA21E9C">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CF522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1365C1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39A749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52C313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F96BB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AC627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5FB42C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3C7F5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1E80D99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D7B958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5602871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64BAAF2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ED3FE8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28A27C4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729287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338A5C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11B4162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5B1B4A0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4E7770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498B2CE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6EA53F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0A0F7C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35B8D15">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4572B2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0F4BC17B">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3CEF609B">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0AAFB7E4">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4726EF6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FA227EB">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B29022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79A9A6B1">
      <w:pPr>
        <w:spacing w:line="200" w:lineRule="exact"/>
        <w:ind w:firstLine="300"/>
        <w:jc w:val="both"/>
      </w:pPr>
      <w:r>
        <w:rPr>
          <w:rFonts w:ascii="方正黑体_GBK" w:hAnsi="方正黑体_GBK" w:eastAsia="方正黑体_GBK" w:cs="宋体"/>
          <w:sz w:val="15"/>
          <w:szCs w:val="20"/>
        </w:rPr>
        <w:t>（一）估值日</w:t>
      </w:r>
    </w:p>
    <w:p w14:paraId="0E9C9C6E">
      <w:pPr>
        <w:spacing w:line="200" w:lineRule="exact"/>
        <w:ind w:firstLine="300"/>
        <w:jc w:val="both"/>
      </w:pPr>
      <w:r>
        <w:rPr>
          <w:rFonts w:ascii="方正黑体_GBK" w:hAnsi="方正黑体_GBK" w:eastAsia="方正黑体_GBK" w:cs="宋体"/>
          <w:sz w:val="15"/>
          <w:szCs w:val="20"/>
        </w:rPr>
        <w:t>本理财产品每个工作日进行估值。</w:t>
      </w:r>
    </w:p>
    <w:p w14:paraId="595D037F">
      <w:pPr>
        <w:spacing w:line="200" w:lineRule="exact"/>
        <w:ind w:firstLine="300"/>
        <w:jc w:val="both"/>
      </w:pPr>
      <w:r>
        <w:rPr>
          <w:rFonts w:ascii="方正黑体_GBK" w:hAnsi="方正黑体_GBK" w:eastAsia="方正黑体_GBK" w:cs="宋体"/>
          <w:sz w:val="15"/>
          <w:szCs w:val="20"/>
        </w:rPr>
        <w:t>（二）估值对象</w:t>
      </w:r>
    </w:p>
    <w:p w14:paraId="27448D46">
      <w:pPr>
        <w:spacing w:line="200" w:lineRule="exact"/>
        <w:ind w:firstLine="300"/>
        <w:jc w:val="both"/>
      </w:pPr>
      <w:r>
        <w:rPr>
          <w:rFonts w:ascii="方正黑体_GBK" w:hAnsi="方正黑体_GBK" w:eastAsia="方正黑体_GBK" w:cs="宋体"/>
          <w:sz w:val="15"/>
          <w:szCs w:val="20"/>
        </w:rPr>
        <w:t>本理财产品所拥有的所有资产及负债。</w:t>
      </w:r>
    </w:p>
    <w:p w14:paraId="534F044A">
      <w:pPr>
        <w:spacing w:line="200" w:lineRule="exact"/>
        <w:ind w:firstLine="300"/>
        <w:jc w:val="both"/>
      </w:pPr>
      <w:r>
        <w:rPr>
          <w:rFonts w:ascii="方正黑体_GBK" w:hAnsi="方正黑体_GBK" w:eastAsia="方正黑体_GBK" w:cs="宋体"/>
          <w:sz w:val="15"/>
          <w:szCs w:val="20"/>
        </w:rPr>
        <w:t>（三）估值目的</w:t>
      </w:r>
    </w:p>
    <w:p w14:paraId="6822E110">
      <w:pPr>
        <w:spacing w:line="200" w:lineRule="exact"/>
        <w:ind w:firstLine="300"/>
        <w:jc w:val="both"/>
      </w:pPr>
      <w:r>
        <w:rPr>
          <w:rFonts w:ascii="方正黑体_GBK" w:hAnsi="方正黑体_GBK" w:eastAsia="方正黑体_GBK" w:cs="宋体"/>
          <w:sz w:val="15"/>
          <w:szCs w:val="20"/>
        </w:rPr>
        <w:t>客观、准确反映理财产品的价值。</w:t>
      </w:r>
    </w:p>
    <w:p w14:paraId="15E6D60B">
      <w:pPr>
        <w:spacing w:line="200" w:lineRule="exact"/>
        <w:ind w:firstLine="300"/>
        <w:jc w:val="both"/>
      </w:pPr>
      <w:r>
        <w:rPr>
          <w:rFonts w:ascii="方正黑体_GBK" w:hAnsi="方正黑体_GBK" w:eastAsia="方正黑体_GBK" w:cs="宋体"/>
          <w:sz w:val="15"/>
          <w:szCs w:val="20"/>
        </w:rPr>
        <w:t>（四）估值原则</w:t>
      </w:r>
    </w:p>
    <w:p w14:paraId="57CE5AAB">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06327019">
      <w:pPr>
        <w:spacing w:line="200" w:lineRule="exact"/>
        <w:ind w:firstLine="300"/>
        <w:jc w:val="both"/>
      </w:pPr>
      <w:r>
        <w:rPr>
          <w:rFonts w:ascii="方正黑体_GBK" w:hAnsi="方正黑体_GBK" w:eastAsia="方正黑体_GBK" w:cs="宋体"/>
          <w:sz w:val="15"/>
          <w:szCs w:val="20"/>
        </w:rPr>
        <w:t>（五）估值方法</w:t>
      </w:r>
    </w:p>
    <w:p w14:paraId="058A609A">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373237DD">
      <w:pPr>
        <w:spacing w:line="200" w:lineRule="exact"/>
        <w:ind w:firstLine="440"/>
      </w:pPr>
      <w:r>
        <w:rPr>
          <w:rFonts w:ascii="方正黑体_GBK" w:hAnsi="方正黑体_GBK" w:eastAsia="方正黑体_GBK" w:cs="宋体"/>
          <w:sz w:val="18"/>
          <w:szCs w:val="20"/>
        </w:rPr>
        <w:t>1.银行存款、回购等货币市场工具</w:t>
      </w:r>
    </w:p>
    <w:p w14:paraId="310AD87A">
      <w:pPr>
        <w:spacing w:line="200" w:lineRule="exact"/>
        <w:ind w:firstLine="440"/>
      </w:pPr>
      <w:r>
        <w:rPr>
          <w:rFonts w:ascii="方正黑体_GBK" w:hAnsi="方正黑体_GBK" w:eastAsia="方正黑体_GBK" w:cs="宋体"/>
          <w:sz w:val="18"/>
          <w:szCs w:val="20"/>
        </w:rPr>
        <w:t>以本金列示，逐日计提利息。</w:t>
      </w:r>
    </w:p>
    <w:p w14:paraId="02388CD7">
      <w:pPr>
        <w:spacing w:line="200" w:lineRule="exact"/>
        <w:ind w:firstLine="440"/>
      </w:pPr>
      <w:r>
        <w:rPr>
          <w:rFonts w:ascii="方正黑体_GBK" w:hAnsi="方正黑体_GBK" w:eastAsia="方正黑体_GBK" w:cs="宋体"/>
          <w:sz w:val="18"/>
          <w:szCs w:val="20"/>
        </w:rPr>
        <w:t>2.债券类资产</w:t>
      </w:r>
    </w:p>
    <w:p w14:paraId="57F73389">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3D8E052F">
      <w:pPr>
        <w:spacing w:line="200" w:lineRule="exact"/>
        <w:ind w:firstLine="440"/>
      </w:pPr>
      <w:r>
        <w:rPr>
          <w:rFonts w:ascii="方正黑体_GBK" w:hAnsi="方正黑体_GBK" w:eastAsia="方正黑体_GBK" w:cs="宋体"/>
          <w:sz w:val="18"/>
          <w:szCs w:val="20"/>
        </w:rPr>
        <w:t>3.非标准化债权类资产</w:t>
      </w:r>
    </w:p>
    <w:p w14:paraId="72FAB058">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10E5BFF3">
      <w:pPr>
        <w:spacing w:line="200" w:lineRule="exact"/>
        <w:ind w:firstLine="440"/>
      </w:pPr>
      <w:r>
        <w:rPr>
          <w:rFonts w:ascii="方正黑体_GBK" w:hAnsi="方正黑体_GBK" w:eastAsia="方正黑体_GBK" w:cs="宋体"/>
          <w:sz w:val="18"/>
          <w:szCs w:val="20"/>
        </w:rPr>
        <w:t>4.证券投资基金、资管计划、信托计划等资产</w:t>
      </w:r>
    </w:p>
    <w:p w14:paraId="340F37A7">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A2E4B14">
      <w:pPr>
        <w:spacing w:line="200" w:lineRule="exact"/>
        <w:ind w:firstLine="440"/>
      </w:pPr>
      <w:r>
        <w:rPr>
          <w:rFonts w:ascii="方正黑体_GBK" w:hAnsi="方正黑体_GBK" w:eastAsia="方正黑体_GBK" w:cs="宋体"/>
          <w:sz w:val="18"/>
          <w:szCs w:val="20"/>
        </w:rPr>
        <w:t>5.股权类及其他资产</w:t>
      </w:r>
    </w:p>
    <w:p w14:paraId="1B8511F4">
      <w:pPr>
        <w:spacing w:line="200" w:lineRule="exact"/>
        <w:ind w:firstLine="440"/>
      </w:pPr>
      <w:r>
        <w:rPr>
          <w:rFonts w:ascii="方正黑体_GBK" w:hAnsi="方正黑体_GBK" w:eastAsia="方正黑体_GBK" w:cs="宋体"/>
          <w:sz w:val="18"/>
          <w:szCs w:val="20"/>
        </w:rPr>
        <w:t>按照公允价值估值，优先采用市值法估值。</w:t>
      </w:r>
    </w:p>
    <w:p w14:paraId="4D6F4654">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03106A06">
      <w:pPr>
        <w:spacing w:line="200" w:lineRule="exact"/>
        <w:ind w:firstLine="300"/>
        <w:jc w:val="both"/>
      </w:pPr>
      <w:r>
        <w:rPr>
          <w:rFonts w:ascii="方正黑体_GBK" w:hAnsi="方正黑体_GBK" w:eastAsia="方正黑体_GBK" w:cs="宋体"/>
          <w:sz w:val="15"/>
          <w:szCs w:val="20"/>
        </w:rPr>
        <w:t>（六）估值错误及暂停估值</w:t>
      </w:r>
    </w:p>
    <w:p w14:paraId="057EE6DB">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3E396B15">
      <w:pPr>
        <w:pStyle w:val="29"/>
        <w:pBdr>
          <w:top w:val="none" w:color="auto" w:sz="0" w:space="0"/>
          <w:left w:val="none" w:color="auto" w:sz="0" w:space="0"/>
          <w:bottom w:val="none" w:color="auto" w:sz="0" w:space="0"/>
          <w:right w:val="none" w:color="auto" w:sz="0" w:space="0"/>
        </w:pBdr>
        <w:spacing w:line="200" w:lineRule="exact"/>
        <w:rPr>
          <w:rFonts w:hint="eastAsia" w:ascii="方正黑体_GBK" w:hAnsi="方正黑体_GBK" w:eastAsia="方正黑体_GBK" w:cs="宋体"/>
          <w:b/>
          <w:bCs/>
          <w:vanish w:val="0"/>
          <w:sz w:val="15"/>
          <w:szCs w:val="15"/>
        </w:rPr>
      </w:pPr>
      <w:r>
        <w:rPr>
          <w:rFonts w:hint="eastAsia" w:ascii="方正黑体_GBK" w:hAnsi="方正黑体_GBK" w:eastAsia="方正黑体_GBK" w:cs="宋体"/>
          <w:b/>
          <w:bCs/>
          <w:vanish w:val="0"/>
          <w:sz w:val="15"/>
          <w:szCs w:val="15"/>
        </w:rPr>
        <w:t>第五条 主体机构</w:t>
      </w:r>
    </w:p>
    <w:p w14:paraId="3B721F74">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（一）销售机构基本信息</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2100"/>
        <w:gridCol w:w="4049"/>
        <w:gridCol w:w="1928"/>
      </w:tblGrid>
      <w:tr w14:paraId="20B237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D367438">
            <w:pPr>
              <w:spacing w:line="200" w:lineRule="exact"/>
            </w:pPr>
            <w:r>
              <w:rPr>
                <w:rFonts w:ascii="方正黑体_GBK" w:hAnsi="方正黑体_GBK" w:eastAsia="方正黑体_GBK" w:cs="宋体"/>
                <w:b/>
                <w:sz w:val="15"/>
                <w:szCs w:val="20"/>
              </w:rPr>
              <w:t>销售机构名称</w:t>
            </w:r>
          </w:p>
        </w:tc>
        <w:tc>
          <w:tcPr>
            <w:tcW w:w="4050" w:type="dxa"/>
            <w:tcMar>
              <w:left w:w="120" w:type="dxa"/>
            </w:tcMar>
            <w:vAlign w:val="center"/>
          </w:tcPr>
          <w:p w14:paraId="7F527FB0">
            <w:pPr>
              <w:spacing w:line="200" w:lineRule="exact"/>
            </w:pPr>
            <w:r>
              <w:rPr>
                <w:rFonts w:ascii="方正黑体_GBK" w:hAnsi="方正黑体_GBK" w:eastAsia="方正黑体_GBK" w:cs="宋体"/>
                <w:b/>
                <w:sz w:val="15"/>
                <w:szCs w:val="20"/>
              </w:rPr>
              <w:t>住所</w:t>
            </w:r>
          </w:p>
        </w:tc>
        <w:tc>
          <w:tcPr>
            <w:tcW w:w="1350" w:type="dxa"/>
            <w:tcMar>
              <w:left w:w="120" w:type="dxa"/>
            </w:tcMar>
            <w:vAlign w:val="center"/>
          </w:tcPr>
          <w:p w14:paraId="015C4A86">
            <w:pPr>
              <w:spacing w:line="200" w:lineRule="exact"/>
            </w:pPr>
            <w:r>
              <w:rPr>
                <w:rFonts w:ascii="方正黑体_GBK" w:hAnsi="方正黑体_GBK" w:eastAsia="方正黑体_GBK" w:cs="宋体"/>
                <w:b/>
                <w:sz w:val="15"/>
                <w:szCs w:val="20"/>
              </w:rPr>
              <w:t>联系方式</w:t>
            </w:r>
          </w:p>
        </w:tc>
      </w:tr>
      <w:tr w14:paraId="226C9C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2510FE8">
            <w:pPr>
              <w:spacing w:line="200" w:lineRule="exact"/>
            </w:pPr>
            <w:r>
              <w:rPr>
                <w:rFonts w:ascii="方正黑体_GBK" w:hAnsi="方正黑体_GBK" w:eastAsia="方正黑体_GBK" w:cs="宋体"/>
                <w:sz w:val="15"/>
                <w:szCs w:val="20"/>
              </w:rPr>
              <w:t>南银理财有限责任公司</w:t>
            </w:r>
          </w:p>
        </w:tc>
        <w:tc>
          <w:tcPr>
            <w:tcW w:w="4050" w:type="dxa"/>
            <w:tcMar>
              <w:left w:w="120" w:type="dxa"/>
            </w:tcMar>
            <w:vAlign w:val="center"/>
          </w:tcPr>
          <w:p w14:paraId="1476020C">
            <w:pPr>
              <w:spacing w:line="200" w:lineRule="exact"/>
            </w:pPr>
            <w:r>
              <w:rPr>
                <w:rFonts w:ascii="方正黑体_GBK" w:hAnsi="方正黑体_GBK" w:eastAsia="方正黑体_GBK" w:cs="宋体"/>
                <w:sz w:val="15"/>
                <w:szCs w:val="20"/>
              </w:rPr>
              <w:t>江苏省南京市建邺区庐山路242号2号楼14-16层</w:t>
            </w:r>
          </w:p>
        </w:tc>
        <w:tc>
          <w:tcPr>
            <w:tcW w:w="1350" w:type="dxa"/>
            <w:tcMar>
              <w:left w:w="120" w:type="dxa"/>
            </w:tcMar>
            <w:vAlign w:val="center"/>
          </w:tcPr>
          <w:p w14:paraId="4C62BB94">
            <w:pPr>
              <w:spacing w:line="200" w:lineRule="exact"/>
            </w:pPr>
            <w:r>
              <w:rPr>
                <w:rFonts w:ascii="方正黑体_GBK" w:hAnsi="方正黑体_GBK" w:eastAsia="方正黑体_GBK" w:cs="宋体"/>
                <w:sz w:val="15"/>
                <w:szCs w:val="20"/>
              </w:rPr>
              <w:t>025-83642111</w:t>
            </w:r>
          </w:p>
        </w:tc>
      </w:tr>
      <w:tr w14:paraId="291B3F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7826AE7">
            <w:pPr>
              <w:spacing w:line="200" w:lineRule="exact"/>
            </w:pPr>
            <w:r>
              <w:rPr>
                <w:rFonts w:ascii="方正黑体_GBK" w:hAnsi="方正黑体_GBK" w:eastAsia="方正黑体_GBK" w:cs="宋体"/>
                <w:sz w:val="15"/>
                <w:szCs w:val="20"/>
              </w:rPr>
              <w:t>南京银行股份有限公司</w:t>
            </w:r>
          </w:p>
        </w:tc>
        <w:tc>
          <w:tcPr>
            <w:tcW w:w="4050" w:type="dxa"/>
            <w:tcMar>
              <w:left w:w="120" w:type="dxa"/>
            </w:tcMar>
            <w:vAlign w:val="center"/>
          </w:tcPr>
          <w:p w14:paraId="7B621BC4">
            <w:pPr>
              <w:spacing w:line="200" w:lineRule="exact"/>
            </w:pPr>
            <w:r>
              <w:rPr>
                <w:rFonts w:ascii="方正黑体_GBK" w:hAnsi="方正黑体_GBK" w:eastAsia="方正黑体_GBK" w:cs="宋体"/>
                <w:sz w:val="15"/>
                <w:szCs w:val="20"/>
              </w:rPr>
              <w:t>南京市建邺区江山大街88号</w:t>
            </w:r>
          </w:p>
        </w:tc>
        <w:tc>
          <w:tcPr>
            <w:tcW w:w="1350" w:type="dxa"/>
            <w:tcMar>
              <w:left w:w="120" w:type="dxa"/>
            </w:tcMar>
            <w:vAlign w:val="center"/>
          </w:tcPr>
          <w:p w14:paraId="722B0244">
            <w:pPr>
              <w:spacing w:line="200" w:lineRule="exact"/>
            </w:pPr>
            <w:r>
              <w:rPr>
                <w:rFonts w:ascii="方正黑体_GBK" w:hAnsi="方正黑体_GBK" w:eastAsia="方正黑体_GBK" w:cs="宋体"/>
                <w:sz w:val="15"/>
                <w:szCs w:val="20"/>
              </w:rPr>
              <w:t>95302</w:t>
            </w:r>
          </w:p>
        </w:tc>
      </w:tr>
      <w:tr w14:paraId="60CB04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B7D73BF">
            <w:pPr>
              <w:spacing w:line="200" w:lineRule="exact"/>
            </w:pPr>
            <w:r>
              <w:rPr>
                <w:rFonts w:ascii="方正黑体_GBK" w:hAnsi="方正黑体_GBK" w:eastAsia="方正黑体_GBK" w:cs="宋体"/>
                <w:sz w:val="15"/>
                <w:szCs w:val="20"/>
              </w:rPr>
              <w:t>兴业银行股份有限公司</w:t>
            </w:r>
          </w:p>
        </w:tc>
        <w:tc>
          <w:tcPr>
            <w:tcW w:w="4050" w:type="dxa"/>
            <w:tcMar>
              <w:left w:w="120" w:type="dxa"/>
            </w:tcMar>
            <w:vAlign w:val="center"/>
          </w:tcPr>
          <w:p w14:paraId="6A90C8BD">
            <w:pPr>
              <w:spacing w:line="200" w:lineRule="exact"/>
            </w:pPr>
            <w:r>
              <w:rPr>
                <w:rFonts w:ascii="方正黑体_GBK" w:hAnsi="方正黑体_GBK" w:eastAsia="方正黑体_GBK" w:cs="宋体"/>
                <w:sz w:val="15"/>
                <w:szCs w:val="20"/>
              </w:rPr>
              <w:t>福建省福州市台江区江滨中大道398号兴业银行大厦</w:t>
            </w:r>
          </w:p>
        </w:tc>
        <w:tc>
          <w:tcPr>
            <w:tcW w:w="1350" w:type="dxa"/>
            <w:tcMar>
              <w:left w:w="120" w:type="dxa"/>
            </w:tcMar>
            <w:vAlign w:val="center"/>
          </w:tcPr>
          <w:p w14:paraId="34F304E3">
            <w:pPr>
              <w:spacing w:line="200" w:lineRule="exact"/>
            </w:pPr>
            <w:r>
              <w:rPr>
                <w:rFonts w:ascii="方正黑体_GBK" w:hAnsi="方正黑体_GBK" w:eastAsia="方正黑体_GBK" w:cs="宋体"/>
                <w:sz w:val="15"/>
                <w:szCs w:val="20"/>
              </w:rPr>
              <w:t>95561</w:t>
            </w:r>
          </w:p>
        </w:tc>
      </w:tr>
      <w:tr w14:paraId="128D6A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B14BDF0">
            <w:pPr>
              <w:spacing w:line="200" w:lineRule="exact"/>
            </w:pPr>
            <w:r>
              <w:rPr>
                <w:rFonts w:ascii="方正黑体_GBK" w:hAnsi="方正黑体_GBK" w:eastAsia="方正黑体_GBK" w:cs="宋体"/>
                <w:sz w:val="15"/>
                <w:szCs w:val="20"/>
              </w:rPr>
              <w:t>江苏太仓农村商业银行股份有限公司</w:t>
            </w:r>
          </w:p>
        </w:tc>
        <w:tc>
          <w:tcPr>
            <w:tcW w:w="4050" w:type="dxa"/>
            <w:tcMar>
              <w:left w:w="120" w:type="dxa"/>
            </w:tcMar>
            <w:vAlign w:val="center"/>
          </w:tcPr>
          <w:p w14:paraId="46B0D164">
            <w:pPr>
              <w:spacing w:line="200" w:lineRule="exact"/>
            </w:pPr>
            <w:r>
              <w:rPr>
                <w:rFonts w:ascii="方正黑体_GBK" w:hAnsi="方正黑体_GBK" w:eastAsia="方正黑体_GBK" w:cs="宋体"/>
                <w:sz w:val="15"/>
                <w:szCs w:val="20"/>
              </w:rPr>
              <w:t>太仓市娄东街道上海东路198号</w:t>
            </w:r>
          </w:p>
        </w:tc>
        <w:tc>
          <w:tcPr>
            <w:tcW w:w="1350" w:type="dxa"/>
            <w:tcMar>
              <w:left w:w="120" w:type="dxa"/>
            </w:tcMar>
            <w:vAlign w:val="center"/>
          </w:tcPr>
          <w:p w14:paraId="61043DA4">
            <w:pPr>
              <w:spacing w:line="200" w:lineRule="exact"/>
            </w:pPr>
            <w:r>
              <w:rPr>
                <w:rFonts w:ascii="方正黑体_GBK" w:hAnsi="方正黑体_GBK" w:eastAsia="方正黑体_GBK" w:cs="宋体"/>
                <w:sz w:val="15"/>
                <w:szCs w:val="20"/>
              </w:rPr>
              <w:t>4001840060</w:t>
            </w:r>
          </w:p>
        </w:tc>
      </w:tr>
      <w:tr w14:paraId="79F5BB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06A7403">
            <w:pPr>
              <w:spacing w:line="200" w:lineRule="exact"/>
            </w:pPr>
            <w:r>
              <w:rPr>
                <w:rFonts w:ascii="方正黑体_GBK" w:hAnsi="方正黑体_GBK" w:eastAsia="方正黑体_GBK" w:cs="宋体"/>
                <w:sz w:val="15"/>
                <w:szCs w:val="20"/>
              </w:rPr>
              <w:t>青岛银行股份有限公司</w:t>
            </w:r>
          </w:p>
        </w:tc>
        <w:tc>
          <w:tcPr>
            <w:tcW w:w="4050" w:type="dxa"/>
            <w:tcMar>
              <w:left w:w="120" w:type="dxa"/>
            </w:tcMar>
            <w:vAlign w:val="center"/>
          </w:tcPr>
          <w:p w14:paraId="788D0F4F">
            <w:pPr>
              <w:spacing w:line="200" w:lineRule="exact"/>
            </w:pPr>
            <w:r>
              <w:rPr>
                <w:rFonts w:ascii="方正黑体_GBK" w:hAnsi="方正黑体_GBK" w:eastAsia="方正黑体_GBK" w:cs="宋体"/>
                <w:sz w:val="15"/>
                <w:szCs w:val="20"/>
              </w:rPr>
              <w:t>山东省青岛市崂山区秦岭路6号3号楼</w:t>
            </w:r>
          </w:p>
        </w:tc>
        <w:tc>
          <w:tcPr>
            <w:tcW w:w="1350" w:type="dxa"/>
            <w:tcMar>
              <w:left w:w="120" w:type="dxa"/>
            </w:tcMar>
            <w:vAlign w:val="center"/>
          </w:tcPr>
          <w:p w14:paraId="4C1693F6">
            <w:pPr>
              <w:spacing w:line="200" w:lineRule="exact"/>
            </w:pPr>
            <w:r>
              <w:rPr>
                <w:rFonts w:ascii="方正黑体_GBK" w:hAnsi="方正黑体_GBK" w:eastAsia="方正黑体_GBK" w:cs="宋体"/>
                <w:sz w:val="15"/>
                <w:szCs w:val="20"/>
              </w:rPr>
              <w:t>4006696588</w:t>
            </w:r>
          </w:p>
        </w:tc>
      </w:tr>
      <w:tr w14:paraId="7CBC2C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5654CB0">
            <w:pPr>
              <w:spacing w:line="200" w:lineRule="exact"/>
            </w:pPr>
            <w:r>
              <w:rPr>
                <w:rFonts w:ascii="方正黑体_GBK" w:hAnsi="方正黑体_GBK" w:eastAsia="方正黑体_GBK" w:cs="宋体"/>
                <w:sz w:val="15"/>
                <w:szCs w:val="20"/>
              </w:rPr>
              <w:t>齐商银行股份有限公司</w:t>
            </w:r>
          </w:p>
        </w:tc>
        <w:tc>
          <w:tcPr>
            <w:tcW w:w="4050" w:type="dxa"/>
            <w:tcMar>
              <w:left w:w="120" w:type="dxa"/>
            </w:tcMar>
            <w:vAlign w:val="center"/>
          </w:tcPr>
          <w:p w14:paraId="5E861D4B">
            <w:pPr>
              <w:spacing w:line="200" w:lineRule="exact"/>
            </w:pPr>
            <w:r>
              <w:rPr>
                <w:rFonts w:ascii="方正黑体_GBK" w:hAnsi="方正黑体_GBK" w:eastAsia="方正黑体_GBK" w:cs="宋体"/>
                <w:sz w:val="15"/>
                <w:szCs w:val="20"/>
              </w:rPr>
              <w:t>山东省淄博市张店区人民西路212号</w:t>
            </w:r>
          </w:p>
        </w:tc>
        <w:tc>
          <w:tcPr>
            <w:tcW w:w="1350" w:type="dxa"/>
            <w:tcMar>
              <w:left w:w="120" w:type="dxa"/>
            </w:tcMar>
            <w:vAlign w:val="center"/>
          </w:tcPr>
          <w:p w14:paraId="475EFA1D">
            <w:pPr>
              <w:spacing w:line="200" w:lineRule="exact"/>
            </w:pPr>
            <w:r>
              <w:rPr>
                <w:rFonts w:ascii="方正黑体_GBK" w:hAnsi="方正黑体_GBK" w:eastAsia="方正黑体_GBK" w:cs="宋体"/>
                <w:sz w:val="15"/>
                <w:szCs w:val="20"/>
              </w:rPr>
              <w:t>0533-2163939</w:t>
            </w:r>
          </w:p>
        </w:tc>
      </w:tr>
      <w:tr w14:paraId="6769D8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AF838CE">
            <w:pPr>
              <w:spacing w:line="200" w:lineRule="exact"/>
            </w:pPr>
            <w:r>
              <w:rPr>
                <w:rFonts w:ascii="方正黑体_GBK" w:hAnsi="方正黑体_GBK" w:eastAsia="方正黑体_GBK" w:cs="宋体"/>
                <w:sz w:val="15"/>
                <w:szCs w:val="20"/>
              </w:rPr>
              <w:t>江苏常熟农村商业银行股份有限公司</w:t>
            </w:r>
          </w:p>
        </w:tc>
        <w:tc>
          <w:tcPr>
            <w:tcW w:w="4050" w:type="dxa"/>
            <w:tcMar>
              <w:left w:w="120" w:type="dxa"/>
            </w:tcMar>
            <w:vAlign w:val="center"/>
          </w:tcPr>
          <w:p w14:paraId="02F34BE4">
            <w:pPr>
              <w:spacing w:line="200" w:lineRule="exact"/>
            </w:pPr>
            <w:r>
              <w:rPr>
                <w:rFonts w:ascii="方正黑体_GBK" w:hAnsi="方正黑体_GBK" w:eastAsia="方正黑体_GBK" w:cs="宋体"/>
                <w:sz w:val="15"/>
                <w:szCs w:val="20"/>
              </w:rPr>
              <w:t>江苏省常熟市新世纪大道58号</w:t>
            </w:r>
          </w:p>
        </w:tc>
        <w:tc>
          <w:tcPr>
            <w:tcW w:w="1350" w:type="dxa"/>
            <w:tcMar>
              <w:left w:w="120" w:type="dxa"/>
            </w:tcMar>
            <w:vAlign w:val="center"/>
          </w:tcPr>
          <w:p w14:paraId="19E0AE10">
            <w:pPr>
              <w:spacing w:line="200" w:lineRule="exact"/>
            </w:pPr>
            <w:r>
              <w:rPr>
                <w:rFonts w:ascii="方正黑体_GBK" w:hAnsi="方正黑体_GBK" w:eastAsia="方正黑体_GBK" w:cs="宋体"/>
                <w:sz w:val="15"/>
                <w:szCs w:val="20"/>
              </w:rPr>
              <w:t>956020</w:t>
            </w:r>
          </w:p>
        </w:tc>
      </w:tr>
      <w:tr w14:paraId="50084D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106D9E0">
            <w:pPr>
              <w:spacing w:line="200" w:lineRule="exact"/>
            </w:pPr>
            <w:r>
              <w:rPr>
                <w:rFonts w:ascii="方正黑体_GBK" w:hAnsi="方正黑体_GBK" w:eastAsia="方正黑体_GBK" w:cs="宋体"/>
                <w:sz w:val="15"/>
                <w:szCs w:val="20"/>
              </w:rPr>
              <w:t>江苏苏州农村商业银行股份有限公司</w:t>
            </w:r>
          </w:p>
        </w:tc>
        <w:tc>
          <w:tcPr>
            <w:tcW w:w="4050" w:type="dxa"/>
            <w:tcMar>
              <w:left w:w="120" w:type="dxa"/>
            </w:tcMar>
            <w:vAlign w:val="center"/>
          </w:tcPr>
          <w:p w14:paraId="1DB6E88C">
            <w:pPr>
              <w:spacing w:line="200" w:lineRule="exact"/>
            </w:pPr>
            <w:r>
              <w:rPr>
                <w:rFonts w:ascii="方正黑体_GBK" w:hAnsi="方正黑体_GBK" w:eastAsia="方正黑体_GBK" w:cs="宋体"/>
                <w:sz w:val="15"/>
                <w:szCs w:val="20"/>
              </w:rPr>
              <w:t>江苏省苏州市吴江区中山南路1777号</w:t>
            </w:r>
          </w:p>
        </w:tc>
        <w:tc>
          <w:tcPr>
            <w:tcW w:w="1350" w:type="dxa"/>
            <w:tcMar>
              <w:left w:w="120" w:type="dxa"/>
            </w:tcMar>
            <w:vAlign w:val="center"/>
          </w:tcPr>
          <w:p w14:paraId="19CA4B09">
            <w:pPr>
              <w:spacing w:line="200" w:lineRule="exact"/>
            </w:pPr>
            <w:r>
              <w:rPr>
                <w:rFonts w:ascii="方正黑体_GBK" w:hAnsi="方正黑体_GBK" w:eastAsia="方正黑体_GBK" w:cs="宋体"/>
                <w:sz w:val="15"/>
                <w:szCs w:val="20"/>
              </w:rPr>
              <w:t>956111</w:t>
            </w:r>
          </w:p>
        </w:tc>
      </w:tr>
      <w:tr w14:paraId="5F2FEC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0D38707">
            <w:pPr>
              <w:spacing w:line="200" w:lineRule="exact"/>
            </w:pPr>
            <w:r>
              <w:rPr>
                <w:rFonts w:ascii="方正黑体_GBK" w:hAnsi="方正黑体_GBK" w:eastAsia="方正黑体_GBK" w:cs="宋体"/>
                <w:sz w:val="15"/>
                <w:szCs w:val="20"/>
              </w:rPr>
              <w:t>长沙银行股份有限公司</w:t>
            </w:r>
          </w:p>
        </w:tc>
        <w:tc>
          <w:tcPr>
            <w:tcW w:w="4050" w:type="dxa"/>
            <w:tcMar>
              <w:left w:w="120" w:type="dxa"/>
            </w:tcMar>
            <w:vAlign w:val="center"/>
          </w:tcPr>
          <w:p w14:paraId="32E2C946">
            <w:pPr>
              <w:spacing w:line="200" w:lineRule="exact"/>
            </w:pPr>
            <w:r>
              <w:rPr>
                <w:rFonts w:ascii="方正黑体_GBK" w:hAnsi="方正黑体_GBK" w:eastAsia="方正黑体_GBK" w:cs="宋体"/>
                <w:sz w:val="15"/>
                <w:szCs w:val="20"/>
              </w:rPr>
              <w:t>湖南省长沙市岳麓区滨江路53号楷林商务中心B座</w:t>
            </w:r>
          </w:p>
        </w:tc>
        <w:tc>
          <w:tcPr>
            <w:tcW w:w="1350" w:type="dxa"/>
            <w:tcMar>
              <w:left w:w="120" w:type="dxa"/>
            </w:tcMar>
            <w:vAlign w:val="center"/>
          </w:tcPr>
          <w:p w14:paraId="7544FF23">
            <w:pPr>
              <w:spacing w:line="200" w:lineRule="exact"/>
            </w:pPr>
            <w:r>
              <w:rPr>
                <w:rFonts w:ascii="方正黑体_GBK" w:hAnsi="方正黑体_GBK" w:eastAsia="方正黑体_GBK" w:cs="宋体"/>
                <w:sz w:val="15"/>
                <w:szCs w:val="20"/>
              </w:rPr>
              <w:t>0731-89934772</w:t>
            </w:r>
          </w:p>
        </w:tc>
      </w:tr>
      <w:tr w14:paraId="1DFE88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C1E2808">
            <w:pPr>
              <w:spacing w:line="200" w:lineRule="exact"/>
            </w:pPr>
            <w:r>
              <w:rPr>
                <w:rFonts w:ascii="方正黑体_GBK" w:hAnsi="方正黑体_GBK" w:eastAsia="方正黑体_GBK" w:cs="宋体"/>
                <w:sz w:val="15"/>
                <w:szCs w:val="20"/>
              </w:rPr>
              <w:t>福建海峡银行股份有限公司</w:t>
            </w:r>
          </w:p>
        </w:tc>
        <w:tc>
          <w:tcPr>
            <w:tcW w:w="4050" w:type="dxa"/>
            <w:tcMar>
              <w:left w:w="120" w:type="dxa"/>
            </w:tcMar>
            <w:vAlign w:val="center"/>
          </w:tcPr>
          <w:p w14:paraId="39E3A9E5">
            <w:pPr>
              <w:spacing w:line="200" w:lineRule="exact"/>
            </w:pPr>
            <w:r>
              <w:rPr>
                <w:rFonts w:ascii="方正黑体_GBK" w:hAnsi="方正黑体_GBK" w:eastAsia="方正黑体_GBK" w:cs="宋体"/>
                <w:sz w:val="15"/>
                <w:szCs w:val="20"/>
              </w:rPr>
              <w:t>福建省福州市台江区江滨中大道358号海峡银行大厦</w:t>
            </w:r>
          </w:p>
        </w:tc>
        <w:tc>
          <w:tcPr>
            <w:tcW w:w="1350" w:type="dxa"/>
            <w:tcMar>
              <w:left w:w="120" w:type="dxa"/>
            </w:tcMar>
            <w:vAlign w:val="center"/>
          </w:tcPr>
          <w:p w14:paraId="5E1A29FB">
            <w:pPr>
              <w:spacing w:line="200" w:lineRule="exact"/>
            </w:pPr>
            <w:r>
              <w:rPr>
                <w:rFonts w:ascii="方正黑体_GBK" w:hAnsi="方正黑体_GBK" w:eastAsia="方正黑体_GBK" w:cs="宋体"/>
                <w:sz w:val="15"/>
                <w:szCs w:val="20"/>
              </w:rPr>
              <w:t>0591-4008939999</w:t>
            </w:r>
          </w:p>
        </w:tc>
      </w:tr>
      <w:tr w14:paraId="46B671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02F0D2F">
            <w:pPr>
              <w:spacing w:line="200" w:lineRule="exact"/>
            </w:pPr>
            <w:r>
              <w:rPr>
                <w:rFonts w:ascii="方正黑体_GBK" w:hAnsi="方正黑体_GBK" w:eastAsia="方正黑体_GBK" w:cs="宋体"/>
                <w:sz w:val="15"/>
                <w:szCs w:val="20"/>
              </w:rPr>
              <w:t>秦皇岛银行股份有限公司</w:t>
            </w:r>
          </w:p>
        </w:tc>
        <w:tc>
          <w:tcPr>
            <w:tcW w:w="4050" w:type="dxa"/>
            <w:tcMar>
              <w:left w:w="120" w:type="dxa"/>
            </w:tcMar>
            <w:vAlign w:val="center"/>
          </w:tcPr>
          <w:p w14:paraId="3785AFA2">
            <w:pPr>
              <w:spacing w:line="200" w:lineRule="exact"/>
            </w:pPr>
            <w:r>
              <w:rPr>
                <w:rFonts w:ascii="方正黑体_GBK" w:hAnsi="方正黑体_GBK" w:eastAsia="方正黑体_GBK" w:cs="宋体"/>
                <w:sz w:val="15"/>
                <w:szCs w:val="20"/>
              </w:rPr>
              <w:t>河北省秦皇岛市海港区河北大街西段 560 号</w:t>
            </w:r>
          </w:p>
        </w:tc>
        <w:tc>
          <w:tcPr>
            <w:tcW w:w="1350" w:type="dxa"/>
            <w:tcMar>
              <w:left w:w="120" w:type="dxa"/>
            </w:tcMar>
            <w:vAlign w:val="center"/>
          </w:tcPr>
          <w:p w14:paraId="39A94058">
            <w:pPr>
              <w:spacing w:line="200" w:lineRule="exact"/>
            </w:pPr>
            <w:r>
              <w:rPr>
                <w:rFonts w:ascii="方正黑体_GBK" w:hAnsi="方正黑体_GBK" w:eastAsia="方正黑体_GBK" w:cs="宋体"/>
                <w:sz w:val="15"/>
                <w:szCs w:val="20"/>
              </w:rPr>
              <w:t>0335-96336</w:t>
            </w:r>
          </w:p>
        </w:tc>
      </w:tr>
      <w:tr w14:paraId="21A6E5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F2C08AD">
            <w:pPr>
              <w:spacing w:line="200" w:lineRule="exact"/>
            </w:pPr>
            <w:r>
              <w:rPr>
                <w:rFonts w:ascii="方正黑体_GBK" w:hAnsi="方正黑体_GBK" w:eastAsia="方正黑体_GBK" w:cs="宋体"/>
                <w:sz w:val="15"/>
                <w:szCs w:val="20"/>
              </w:rPr>
              <w:t>泰安银行股份有限公司</w:t>
            </w:r>
          </w:p>
        </w:tc>
        <w:tc>
          <w:tcPr>
            <w:tcW w:w="4050" w:type="dxa"/>
            <w:tcMar>
              <w:left w:w="120" w:type="dxa"/>
            </w:tcMar>
            <w:vAlign w:val="center"/>
          </w:tcPr>
          <w:p w14:paraId="1F32246D">
            <w:pPr>
              <w:spacing w:line="200" w:lineRule="exact"/>
            </w:pPr>
            <w:r>
              <w:rPr>
                <w:rFonts w:ascii="方正黑体_GBK" w:hAnsi="方正黑体_GBK" w:eastAsia="方正黑体_GBK" w:cs="宋体"/>
                <w:sz w:val="15"/>
                <w:szCs w:val="20"/>
              </w:rPr>
              <w:t>山东省泰安市长城路3号圣地大厦</w:t>
            </w:r>
          </w:p>
        </w:tc>
        <w:tc>
          <w:tcPr>
            <w:tcW w:w="1350" w:type="dxa"/>
            <w:tcMar>
              <w:left w:w="120" w:type="dxa"/>
            </w:tcMar>
            <w:vAlign w:val="center"/>
          </w:tcPr>
          <w:p w14:paraId="2F9464D0">
            <w:pPr>
              <w:spacing w:line="200" w:lineRule="exact"/>
            </w:pPr>
            <w:r>
              <w:rPr>
                <w:rFonts w:ascii="方正黑体_GBK" w:hAnsi="方正黑体_GBK" w:eastAsia="方正黑体_GBK" w:cs="宋体"/>
                <w:sz w:val="15"/>
                <w:szCs w:val="20"/>
              </w:rPr>
              <w:t>0538-96588</w:t>
            </w:r>
          </w:p>
        </w:tc>
      </w:tr>
      <w:tr w14:paraId="191462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0949FBB">
            <w:pPr>
              <w:spacing w:line="200" w:lineRule="exact"/>
            </w:pPr>
            <w:r>
              <w:rPr>
                <w:rFonts w:ascii="方正黑体_GBK" w:hAnsi="方正黑体_GBK" w:eastAsia="方正黑体_GBK" w:cs="宋体"/>
                <w:sz w:val="15"/>
                <w:szCs w:val="20"/>
              </w:rPr>
              <w:t>齐鲁银行股份有限公司</w:t>
            </w:r>
          </w:p>
        </w:tc>
        <w:tc>
          <w:tcPr>
            <w:tcW w:w="4050" w:type="dxa"/>
            <w:tcMar>
              <w:left w:w="120" w:type="dxa"/>
            </w:tcMar>
            <w:vAlign w:val="center"/>
          </w:tcPr>
          <w:p w14:paraId="6E1C3D62">
            <w:pPr>
              <w:spacing w:line="200" w:lineRule="exact"/>
            </w:pPr>
            <w:r>
              <w:rPr>
                <w:rFonts w:ascii="方正黑体_GBK" w:hAnsi="方正黑体_GBK" w:eastAsia="方正黑体_GBK" w:cs="宋体"/>
                <w:sz w:val="15"/>
                <w:szCs w:val="20"/>
              </w:rPr>
              <w:t>山东省济南市历下区经十路10817号</w:t>
            </w:r>
          </w:p>
        </w:tc>
        <w:tc>
          <w:tcPr>
            <w:tcW w:w="1350" w:type="dxa"/>
            <w:tcMar>
              <w:left w:w="120" w:type="dxa"/>
            </w:tcMar>
            <w:vAlign w:val="center"/>
          </w:tcPr>
          <w:p w14:paraId="02003688">
            <w:pPr>
              <w:spacing w:line="200" w:lineRule="exact"/>
            </w:pPr>
            <w:r>
              <w:rPr>
                <w:rFonts w:ascii="方正黑体_GBK" w:hAnsi="方正黑体_GBK" w:eastAsia="方正黑体_GBK" w:cs="宋体"/>
                <w:sz w:val="15"/>
                <w:szCs w:val="20"/>
              </w:rPr>
              <w:t>4006096588</w:t>
            </w:r>
          </w:p>
        </w:tc>
      </w:tr>
      <w:tr w14:paraId="2EF542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67352AD">
            <w:pPr>
              <w:spacing w:line="200" w:lineRule="exact"/>
            </w:pPr>
            <w:r>
              <w:rPr>
                <w:rFonts w:ascii="方正黑体_GBK" w:hAnsi="方正黑体_GBK" w:eastAsia="方正黑体_GBK" w:cs="宋体"/>
                <w:sz w:val="15"/>
                <w:szCs w:val="20"/>
              </w:rPr>
              <w:t>贵阳银行股份有限公司</w:t>
            </w:r>
          </w:p>
        </w:tc>
        <w:tc>
          <w:tcPr>
            <w:tcW w:w="4050" w:type="dxa"/>
            <w:tcMar>
              <w:left w:w="120" w:type="dxa"/>
            </w:tcMar>
            <w:vAlign w:val="center"/>
          </w:tcPr>
          <w:p w14:paraId="1518849E">
            <w:pPr>
              <w:spacing w:line="200" w:lineRule="exact"/>
            </w:pPr>
            <w:r>
              <w:rPr>
                <w:rFonts w:ascii="方正黑体_GBK" w:hAnsi="方正黑体_GBK" w:eastAsia="方正黑体_GBK" w:cs="宋体"/>
                <w:sz w:val="15"/>
                <w:szCs w:val="20"/>
              </w:rPr>
              <w:t>贵州省贵阳市观山湖区长岭北路中天·会展城B区金融商务区东区1-6栋</w:t>
            </w:r>
          </w:p>
        </w:tc>
        <w:tc>
          <w:tcPr>
            <w:tcW w:w="1350" w:type="dxa"/>
            <w:tcMar>
              <w:left w:w="120" w:type="dxa"/>
            </w:tcMar>
            <w:vAlign w:val="center"/>
          </w:tcPr>
          <w:p w14:paraId="7C4F5F12">
            <w:pPr>
              <w:spacing w:line="200" w:lineRule="exact"/>
            </w:pPr>
            <w:r>
              <w:rPr>
                <w:rFonts w:ascii="方正黑体_GBK" w:hAnsi="方正黑体_GBK" w:eastAsia="方正黑体_GBK" w:cs="宋体"/>
                <w:sz w:val="15"/>
                <w:szCs w:val="20"/>
              </w:rPr>
              <w:t>0851-86859053</w:t>
            </w:r>
          </w:p>
        </w:tc>
      </w:tr>
      <w:tr w14:paraId="514C6E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316C3B5">
            <w:pPr>
              <w:spacing w:line="200" w:lineRule="exact"/>
            </w:pPr>
            <w:r>
              <w:rPr>
                <w:rFonts w:ascii="方正黑体_GBK" w:hAnsi="方正黑体_GBK" w:eastAsia="方正黑体_GBK" w:cs="宋体"/>
                <w:sz w:val="15"/>
                <w:szCs w:val="20"/>
              </w:rPr>
              <w:t>云南红塔银行股份有限公司</w:t>
            </w:r>
          </w:p>
        </w:tc>
        <w:tc>
          <w:tcPr>
            <w:tcW w:w="4050" w:type="dxa"/>
            <w:tcMar>
              <w:left w:w="120" w:type="dxa"/>
            </w:tcMar>
            <w:vAlign w:val="center"/>
          </w:tcPr>
          <w:p w14:paraId="5EC0FD14">
            <w:pPr>
              <w:spacing w:line="200" w:lineRule="exact"/>
            </w:pPr>
            <w:r>
              <w:rPr>
                <w:rFonts w:ascii="方正黑体_GBK" w:hAnsi="方正黑体_GBK" w:eastAsia="方正黑体_GBK" w:cs="宋体"/>
                <w:sz w:val="15"/>
                <w:szCs w:val="20"/>
              </w:rPr>
              <w:t>云南省玉溪市东风南路2号</w:t>
            </w:r>
          </w:p>
        </w:tc>
        <w:tc>
          <w:tcPr>
            <w:tcW w:w="1350" w:type="dxa"/>
            <w:tcMar>
              <w:left w:w="120" w:type="dxa"/>
            </w:tcMar>
            <w:vAlign w:val="center"/>
          </w:tcPr>
          <w:p w14:paraId="6924471A">
            <w:pPr>
              <w:spacing w:line="200" w:lineRule="exact"/>
            </w:pPr>
            <w:r>
              <w:rPr>
                <w:rFonts w:ascii="方正黑体_GBK" w:hAnsi="方正黑体_GBK" w:eastAsia="方正黑体_GBK" w:cs="宋体"/>
                <w:sz w:val="15"/>
                <w:szCs w:val="20"/>
              </w:rPr>
              <w:t>96522</w:t>
            </w:r>
          </w:p>
        </w:tc>
      </w:tr>
      <w:tr w14:paraId="0FEB5D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7D23223">
            <w:pPr>
              <w:spacing w:line="200" w:lineRule="exact"/>
            </w:pPr>
            <w:r>
              <w:rPr>
                <w:rFonts w:ascii="方正黑体_GBK" w:hAnsi="方正黑体_GBK" w:eastAsia="方正黑体_GBK" w:cs="宋体"/>
                <w:sz w:val="15"/>
                <w:szCs w:val="20"/>
              </w:rPr>
              <w:t>九江银行股份有限公司</w:t>
            </w:r>
          </w:p>
        </w:tc>
        <w:tc>
          <w:tcPr>
            <w:tcW w:w="4050" w:type="dxa"/>
            <w:tcMar>
              <w:left w:w="120" w:type="dxa"/>
            </w:tcMar>
            <w:vAlign w:val="center"/>
          </w:tcPr>
          <w:p w14:paraId="20CBF9DE">
            <w:pPr>
              <w:spacing w:line="200" w:lineRule="exact"/>
            </w:pPr>
            <w:r>
              <w:rPr>
                <w:rFonts w:ascii="方正黑体_GBK" w:hAnsi="方正黑体_GBK" w:eastAsia="方正黑体_GBK" w:cs="宋体"/>
                <w:sz w:val="15"/>
                <w:szCs w:val="20"/>
              </w:rPr>
              <w:t>江西省九江市濂溪区长虹大道619号</w:t>
            </w:r>
          </w:p>
        </w:tc>
        <w:tc>
          <w:tcPr>
            <w:tcW w:w="1350" w:type="dxa"/>
            <w:tcMar>
              <w:left w:w="120" w:type="dxa"/>
            </w:tcMar>
            <w:vAlign w:val="center"/>
          </w:tcPr>
          <w:p w14:paraId="03D8797E">
            <w:pPr>
              <w:spacing w:line="200" w:lineRule="exact"/>
            </w:pPr>
            <w:r>
              <w:rPr>
                <w:rFonts w:ascii="方正黑体_GBK" w:hAnsi="方正黑体_GBK" w:eastAsia="方正黑体_GBK" w:cs="宋体"/>
                <w:sz w:val="15"/>
                <w:szCs w:val="20"/>
              </w:rPr>
              <w:t>95316</w:t>
            </w:r>
          </w:p>
        </w:tc>
      </w:tr>
      <w:tr w14:paraId="43C1AD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7B8699A">
            <w:pPr>
              <w:spacing w:line="200" w:lineRule="exact"/>
            </w:pPr>
            <w:r>
              <w:rPr>
                <w:rFonts w:ascii="方正黑体_GBK" w:hAnsi="方正黑体_GBK" w:eastAsia="方正黑体_GBK" w:cs="宋体"/>
                <w:sz w:val="15"/>
                <w:szCs w:val="20"/>
              </w:rPr>
              <w:t>宁夏银行股份有限公司</w:t>
            </w:r>
          </w:p>
        </w:tc>
        <w:tc>
          <w:tcPr>
            <w:tcW w:w="4050" w:type="dxa"/>
            <w:tcMar>
              <w:left w:w="120" w:type="dxa"/>
            </w:tcMar>
            <w:vAlign w:val="center"/>
          </w:tcPr>
          <w:p w14:paraId="199E6745">
            <w:pPr>
              <w:spacing w:line="200" w:lineRule="exact"/>
            </w:pPr>
            <w:r>
              <w:rPr>
                <w:rFonts w:ascii="方正黑体_GBK" w:hAnsi="方正黑体_GBK" w:eastAsia="方正黑体_GBK" w:cs="宋体"/>
                <w:sz w:val="15"/>
                <w:szCs w:val="20"/>
              </w:rPr>
              <w:t>宁夏回族自治区银川市北京中路 157 号</w:t>
            </w:r>
          </w:p>
        </w:tc>
        <w:tc>
          <w:tcPr>
            <w:tcW w:w="1350" w:type="dxa"/>
            <w:tcMar>
              <w:left w:w="120" w:type="dxa"/>
            </w:tcMar>
            <w:vAlign w:val="center"/>
          </w:tcPr>
          <w:p w14:paraId="0D823351">
            <w:pPr>
              <w:spacing w:line="200" w:lineRule="exact"/>
            </w:pPr>
            <w:r>
              <w:rPr>
                <w:rFonts w:ascii="方正黑体_GBK" w:hAnsi="方正黑体_GBK" w:eastAsia="方正黑体_GBK" w:cs="宋体"/>
                <w:sz w:val="15"/>
                <w:szCs w:val="20"/>
              </w:rPr>
              <w:t>400-809-6558</w:t>
            </w:r>
          </w:p>
        </w:tc>
      </w:tr>
      <w:tr w14:paraId="191031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699DE00">
            <w:pPr>
              <w:spacing w:line="200" w:lineRule="exact"/>
            </w:pPr>
            <w:r>
              <w:rPr>
                <w:rFonts w:ascii="方正黑体_GBK" w:hAnsi="方正黑体_GBK" w:eastAsia="方正黑体_GBK" w:cs="宋体"/>
                <w:sz w:val="15"/>
                <w:szCs w:val="20"/>
              </w:rPr>
              <w:t>天津农村商业银行股份有限公司</w:t>
            </w:r>
          </w:p>
        </w:tc>
        <w:tc>
          <w:tcPr>
            <w:tcW w:w="4050" w:type="dxa"/>
            <w:tcMar>
              <w:left w:w="120" w:type="dxa"/>
            </w:tcMar>
            <w:vAlign w:val="center"/>
          </w:tcPr>
          <w:p w14:paraId="7D26746A">
            <w:pPr>
              <w:spacing w:line="200" w:lineRule="exact"/>
            </w:pPr>
            <w:r>
              <w:rPr>
                <w:rFonts w:ascii="方正黑体_GBK" w:hAnsi="方正黑体_GBK" w:eastAsia="方正黑体_GBK" w:cs="宋体"/>
                <w:sz w:val="15"/>
                <w:szCs w:val="20"/>
              </w:rPr>
              <w:t>天津市河西区友谊路32号</w:t>
            </w:r>
          </w:p>
        </w:tc>
        <w:tc>
          <w:tcPr>
            <w:tcW w:w="1350" w:type="dxa"/>
            <w:tcMar>
              <w:left w:w="120" w:type="dxa"/>
            </w:tcMar>
            <w:vAlign w:val="center"/>
          </w:tcPr>
          <w:p w14:paraId="40B08335">
            <w:pPr>
              <w:spacing w:line="200" w:lineRule="exact"/>
            </w:pPr>
            <w:r>
              <w:rPr>
                <w:rFonts w:ascii="方正黑体_GBK" w:hAnsi="方正黑体_GBK" w:eastAsia="方正黑体_GBK" w:cs="宋体"/>
                <w:sz w:val="15"/>
                <w:szCs w:val="20"/>
              </w:rPr>
              <w:t>022-96155、400-80-96155</w:t>
            </w:r>
          </w:p>
        </w:tc>
      </w:tr>
      <w:tr w14:paraId="32631E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2C6AD86">
            <w:pPr>
              <w:spacing w:line="200" w:lineRule="exact"/>
            </w:pPr>
            <w:r>
              <w:rPr>
                <w:rFonts w:ascii="方正黑体_GBK" w:hAnsi="方正黑体_GBK" w:eastAsia="方正黑体_GBK" w:cs="宋体"/>
                <w:sz w:val="15"/>
                <w:szCs w:val="20"/>
              </w:rPr>
              <w:t>江苏紫金农村商业银行股份有限公司</w:t>
            </w:r>
          </w:p>
        </w:tc>
        <w:tc>
          <w:tcPr>
            <w:tcW w:w="4050" w:type="dxa"/>
            <w:tcMar>
              <w:left w:w="120" w:type="dxa"/>
            </w:tcMar>
            <w:vAlign w:val="center"/>
          </w:tcPr>
          <w:p w14:paraId="41E164A2">
            <w:pPr>
              <w:spacing w:line="200" w:lineRule="exact"/>
            </w:pPr>
            <w:r>
              <w:rPr>
                <w:rFonts w:ascii="方正黑体_GBK" w:hAnsi="方正黑体_GBK" w:eastAsia="方正黑体_GBK" w:cs="宋体"/>
                <w:sz w:val="15"/>
                <w:szCs w:val="20"/>
              </w:rPr>
              <w:t>南京市建邺区江东中路381号</w:t>
            </w:r>
          </w:p>
        </w:tc>
        <w:tc>
          <w:tcPr>
            <w:tcW w:w="1350" w:type="dxa"/>
            <w:tcMar>
              <w:left w:w="120" w:type="dxa"/>
            </w:tcMar>
            <w:vAlign w:val="center"/>
          </w:tcPr>
          <w:p w14:paraId="388FB8D3">
            <w:pPr>
              <w:spacing w:line="200" w:lineRule="exact"/>
            </w:pPr>
            <w:r>
              <w:rPr>
                <w:rFonts w:ascii="方正黑体_GBK" w:hAnsi="方正黑体_GBK" w:eastAsia="方正黑体_GBK" w:cs="宋体"/>
                <w:sz w:val="15"/>
                <w:szCs w:val="20"/>
              </w:rPr>
              <w:t>96008</w:t>
            </w:r>
          </w:p>
        </w:tc>
      </w:tr>
      <w:tr w14:paraId="2D0621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2835748">
            <w:pPr>
              <w:spacing w:line="200" w:lineRule="exact"/>
            </w:pPr>
            <w:r>
              <w:rPr>
                <w:rFonts w:ascii="方正黑体_GBK" w:hAnsi="方正黑体_GBK" w:eastAsia="方正黑体_GBK" w:cs="宋体"/>
                <w:sz w:val="15"/>
                <w:szCs w:val="20"/>
              </w:rPr>
              <w:t>温州银行股份有限公司</w:t>
            </w:r>
          </w:p>
        </w:tc>
        <w:tc>
          <w:tcPr>
            <w:tcW w:w="4050" w:type="dxa"/>
            <w:tcMar>
              <w:left w:w="120" w:type="dxa"/>
            </w:tcMar>
            <w:vAlign w:val="center"/>
          </w:tcPr>
          <w:p w14:paraId="18C74F26">
            <w:pPr>
              <w:spacing w:line="200" w:lineRule="exact"/>
            </w:pPr>
            <w:r>
              <w:rPr>
                <w:rFonts w:ascii="方正黑体_GBK" w:hAnsi="方正黑体_GBK" w:eastAsia="方正黑体_GBK" w:cs="宋体"/>
                <w:sz w:val="15"/>
                <w:szCs w:val="20"/>
              </w:rPr>
              <w:t>浙江省温州市鹿城区会展路1316号</w:t>
            </w:r>
          </w:p>
        </w:tc>
        <w:tc>
          <w:tcPr>
            <w:tcW w:w="1350" w:type="dxa"/>
            <w:tcMar>
              <w:left w:w="120" w:type="dxa"/>
            </w:tcMar>
            <w:vAlign w:val="center"/>
          </w:tcPr>
          <w:p w14:paraId="4F485D99">
            <w:pPr>
              <w:spacing w:line="200" w:lineRule="exact"/>
            </w:pPr>
            <w:r>
              <w:rPr>
                <w:rFonts w:ascii="方正黑体_GBK" w:hAnsi="方正黑体_GBK" w:eastAsia="方正黑体_GBK" w:cs="宋体"/>
                <w:sz w:val="15"/>
                <w:szCs w:val="20"/>
              </w:rPr>
              <w:t>96699</w:t>
            </w:r>
          </w:p>
        </w:tc>
      </w:tr>
      <w:tr w14:paraId="180513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12CEB9D">
            <w:pPr>
              <w:spacing w:line="200" w:lineRule="exact"/>
            </w:pPr>
            <w:r>
              <w:rPr>
                <w:rFonts w:ascii="方正黑体_GBK" w:hAnsi="方正黑体_GBK" w:eastAsia="方正黑体_GBK" w:cs="宋体"/>
                <w:sz w:val="15"/>
                <w:szCs w:val="20"/>
              </w:rPr>
              <w:t>江苏滨海农村商业银行股份有限公司</w:t>
            </w:r>
          </w:p>
        </w:tc>
        <w:tc>
          <w:tcPr>
            <w:tcW w:w="4050" w:type="dxa"/>
            <w:tcMar>
              <w:left w:w="120" w:type="dxa"/>
            </w:tcMar>
            <w:vAlign w:val="center"/>
          </w:tcPr>
          <w:p w14:paraId="1789A856">
            <w:pPr>
              <w:spacing w:line="200" w:lineRule="exact"/>
            </w:pPr>
            <w:r>
              <w:rPr>
                <w:rFonts w:ascii="方正黑体_GBK" w:hAnsi="方正黑体_GBK" w:eastAsia="方正黑体_GBK" w:cs="宋体"/>
                <w:sz w:val="15"/>
                <w:szCs w:val="20"/>
              </w:rPr>
              <w:t>滨海县城迎宾中路1号</w:t>
            </w:r>
          </w:p>
        </w:tc>
        <w:tc>
          <w:tcPr>
            <w:tcW w:w="1350" w:type="dxa"/>
            <w:tcMar>
              <w:left w:w="120" w:type="dxa"/>
            </w:tcMar>
            <w:vAlign w:val="center"/>
          </w:tcPr>
          <w:p w14:paraId="057B61D6">
            <w:pPr>
              <w:spacing w:line="200" w:lineRule="exact"/>
            </w:pPr>
            <w:r>
              <w:rPr>
                <w:rFonts w:ascii="方正黑体_GBK" w:hAnsi="方正黑体_GBK" w:eastAsia="方正黑体_GBK" w:cs="宋体"/>
                <w:sz w:val="15"/>
                <w:szCs w:val="20"/>
              </w:rPr>
              <w:t>96008</w:t>
            </w:r>
          </w:p>
        </w:tc>
      </w:tr>
      <w:tr w14:paraId="4BD64C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B37220B">
            <w:pPr>
              <w:spacing w:line="200" w:lineRule="exact"/>
            </w:pPr>
            <w:r>
              <w:rPr>
                <w:rFonts w:ascii="方正黑体_GBK" w:hAnsi="方正黑体_GBK" w:eastAsia="方正黑体_GBK" w:cs="宋体"/>
                <w:sz w:val="15"/>
                <w:szCs w:val="20"/>
              </w:rPr>
              <w:t>江苏金湖农村商业银行股份有限公司</w:t>
            </w:r>
          </w:p>
        </w:tc>
        <w:tc>
          <w:tcPr>
            <w:tcW w:w="4050" w:type="dxa"/>
            <w:tcMar>
              <w:left w:w="120" w:type="dxa"/>
            </w:tcMar>
            <w:vAlign w:val="center"/>
          </w:tcPr>
          <w:p w14:paraId="3F93D584">
            <w:pPr>
              <w:spacing w:line="200" w:lineRule="exact"/>
            </w:pPr>
            <w:r>
              <w:rPr>
                <w:rFonts w:ascii="方正黑体_GBK" w:hAnsi="方正黑体_GBK" w:eastAsia="方正黑体_GBK" w:cs="宋体"/>
                <w:sz w:val="15"/>
                <w:szCs w:val="20"/>
              </w:rPr>
              <w:t>江苏省金湖县黎城街道神华大道299号</w:t>
            </w:r>
          </w:p>
        </w:tc>
        <w:tc>
          <w:tcPr>
            <w:tcW w:w="1350" w:type="dxa"/>
            <w:tcMar>
              <w:left w:w="120" w:type="dxa"/>
            </w:tcMar>
            <w:vAlign w:val="center"/>
          </w:tcPr>
          <w:p w14:paraId="39A22A93">
            <w:pPr>
              <w:spacing w:line="200" w:lineRule="exact"/>
            </w:pPr>
            <w:r>
              <w:rPr>
                <w:rFonts w:ascii="方正黑体_GBK" w:hAnsi="方正黑体_GBK" w:eastAsia="方正黑体_GBK" w:cs="宋体"/>
                <w:sz w:val="15"/>
                <w:szCs w:val="20"/>
              </w:rPr>
              <w:t>96008</w:t>
            </w:r>
          </w:p>
        </w:tc>
      </w:tr>
      <w:tr w14:paraId="30753F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887E029">
            <w:pPr>
              <w:spacing w:line="200" w:lineRule="exact"/>
            </w:pPr>
            <w:r>
              <w:rPr>
                <w:rFonts w:ascii="方正黑体_GBK" w:hAnsi="方正黑体_GBK" w:eastAsia="方正黑体_GBK" w:cs="宋体"/>
                <w:sz w:val="15"/>
                <w:szCs w:val="20"/>
              </w:rPr>
              <w:t>苏州银行股份有限公司</w:t>
            </w:r>
          </w:p>
        </w:tc>
        <w:tc>
          <w:tcPr>
            <w:tcW w:w="4050" w:type="dxa"/>
            <w:tcMar>
              <w:left w:w="120" w:type="dxa"/>
            </w:tcMar>
            <w:vAlign w:val="center"/>
          </w:tcPr>
          <w:p w14:paraId="59356FAC">
            <w:pPr>
              <w:spacing w:line="200" w:lineRule="exact"/>
            </w:pPr>
            <w:r>
              <w:rPr>
                <w:rFonts w:ascii="方正黑体_GBK" w:hAnsi="方正黑体_GBK" w:eastAsia="方正黑体_GBK" w:cs="宋体"/>
                <w:sz w:val="15"/>
                <w:szCs w:val="20"/>
              </w:rPr>
              <w:t>中国（江苏）自由贸易试验区苏州片区苏州工业园区钟园路728号</w:t>
            </w:r>
          </w:p>
        </w:tc>
        <w:tc>
          <w:tcPr>
            <w:tcW w:w="1350" w:type="dxa"/>
            <w:tcMar>
              <w:left w:w="120" w:type="dxa"/>
            </w:tcMar>
            <w:vAlign w:val="center"/>
          </w:tcPr>
          <w:p w14:paraId="593EAA84">
            <w:pPr>
              <w:spacing w:line="200" w:lineRule="exact"/>
            </w:pPr>
            <w:r>
              <w:rPr>
                <w:rFonts w:ascii="方正黑体_GBK" w:hAnsi="方正黑体_GBK" w:eastAsia="方正黑体_GBK" w:cs="宋体"/>
                <w:sz w:val="15"/>
                <w:szCs w:val="20"/>
              </w:rPr>
              <w:t>0512-96067</w:t>
            </w:r>
          </w:p>
        </w:tc>
      </w:tr>
      <w:tr w14:paraId="454237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2846A89">
            <w:pPr>
              <w:spacing w:line="200" w:lineRule="exact"/>
            </w:pPr>
            <w:r>
              <w:rPr>
                <w:rFonts w:ascii="方正黑体_GBK" w:hAnsi="方正黑体_GBK" w:eastAsia="方正黑体_GBK" w:cs="宋体"/>
                <w:sz w:val="15"/>
                <w:szCs w:val="20"/>
              </w:rPr>
              <w:t>蒙商银行股份有限公司</w:t>
            </w:r>
          </w:p>
        </w:tc>
        <w:tc>
          <w:tcPr>
            <w:tcW w:w="4050" w:type="dxa"/>
            <w:tcMar>
              <w:left w:w="120" w:type="dxa"/>
            </w:tcMar>
            <w:vAlign w:val="center"/>
          </w:tcPr>
          <w:p w14:paraId="3E9F715F">
            <w:pPr>
              <w:spacing w:line="200" w:lineRule="exact"/>
            </w:pPr>
            <w:r>
              <w:rPr>
                <w:rFonts w:ascii="方正黑体_GBK" w:hAnsi="方正黑体_GBK" w:eastAsia="方正黑体_GBK" w:cs="宋体"/>
                <w:sz w:val="15"/>
                <w:szCs w:val="20"/>
              </w:rPr>
              <w:t>内蒙古自治区包头市九原区赛汗街道办事处建华南路2号A座</w:t>
            </w:r>
          </w:p>
        </w:tc>
        <w:tc>
          <w:tcPr>
            <w:tcW w:w="1350" w:type="dxa"/>
            <w:tcMar>
              <w:left w:w="120" w:type="dxa"/>
            </w:tcMar>
            <w:vAlign w:val="center"/>
          </w:tcPr>
          <w:p w14:paraId="75867C6C">
            <w:pPr>
              <w:spacing w:line="200" w:lineRule="exact"/>
            </w:pPr>
            <w:r>
              <w:rPr>
                <w:rFonts w:ascii="方正黑体_GBK" w:hAnsi="方正黑体_GBK" w:eastAsia="方正黑体_GBK" w:cs="宋体"/>
                <w:sz w:val="15"/>
                <w:szCs w:val="20"/>
              </w:rPr>
              <w:t>0472-2658888</w:t>
            </w:r>
          </w:p>
        </w:tc>
      </w:tr>
      <w:tr w14:paraId="503880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CB14133">
            <w:pPr>
              <w:spacing w:line="200" w:lineRule="exact"/>
            </w:pPr>
            <w:r>
              <w:rPr>
                <w:rFonts w:ascii="方正黑体_GBK" w:hAnsi="方正黑体_GBK" w:eastAsia="方正黑体_GBK" w:cs="宋体"/>
                <w:sz w:val="15"/>
                <w:szCs w:val="20"/>
              </w:rPr>
              <w:t>江苏江南农村商业银行股份有限公司</w:t>
            </w:r>
          </w:p>
        </w:tc>
        <w:tc>
          <w:tcPr>
            <w:tcW w:w="4050" w:type="dxa"/>
            <w:tcMar>
              <w:left w:w="120" w:type="dxa"/>
            </w:tcMar>
            <w:vAlign w:val="center"/>
          </w:tcPr>
          <w:p w14:paraId="65A8F588">
            <w:pPr>
              <w:spacing w:line="200" w:lineRule="exact"/>
            </w:pPr>
            <w:r>
              <w:rPr>
                <w:rFonts w:ascii="方正黑体_GBK" w:hAnsi="方正黑体_GBK" w:eastAsia="方正黑体_GBK" w:cs="宋体"/>
                <w:sz w:val="15"/>
                <w:szCs w:val="20"/>
              </w:rPr>
              <w:t>常州市武进区延政中路9号</w:t>
            </w:r>
          </w:p>
        </w:tc>
        <w:tc>
          <w:tcPr>
            <w:tcW w:w="1350" w:type="dxa"/>
            <w:tcMar>
              <w:left w:w="120" w:type="dxa"/>
            </w:tcMar>
            <w:vAlign w:val="center"/>
          </w:tcPr>
          <w:p w14:paraId="7BC3E84C">
            <w:pPr>
              <w:spacing w:line="200" w:lineRule="exact"/>
            </w:pPr>
            <w:r>
              <w:rPr>
                <w:rFonts w:ascii="方正黑体_GBK" w:hAnsi="方正黑体_GBK" w:eastAsia="方正黑体_GBK" w:cs="宋体"/>
                <w:sz w:val="15"/>
                <w:szCs w:val="20"/>
              </w:rPr>
              <w:t>0519-96005</w:t>
            </w:r>
          </w:p>
        </w:tc>
      </w:tr>
      <w:tr w14:paraId="615F19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4ADF657">
            <w:pPr>
              <w:spacing w:line="200" w:lineRule="exact"/>
            </w:pPr>
            <w:r>
              <w:rPr>
                <w:rFonts w:ascii="方正黑体_GBK" w:hAnsi="方正黑体_GBK" w:eastAsia="方正黑体_GBK" w:cs="宋体"/>
                <w:sz w:val="15"/>
                <w:szCs w:val="20"/>
              </w:rPr>
              <w:t>桂林银行股份有限公司</w:t>
            </w:r>
          </w:p>
        </w:tc>
        <w:tc>
          <w:tcPr>
            <w:tcW w:w="4050" w:type="dxa"/>
            <w:tcMar>
              <w:left w:w="120" w:type="dxa"/>
            </w:tcMar>
            <w:vAlign w:val="center"/>
          </w:tcPr>
          <w:p w14:paraId="6BC25F02">
            <w:pPr>
              <w:spacing w:line="200" w:lineRule="exact"/>
            </w:pPr>
            <w:r>
              <w:rPr>
                <w:rFonts w:ascii="方正黑体_GBK" w:hAnsi="方正黑体_GBK" w:eastAsia="方正黑体_GBK" w:cs="宋体"/>
                <w:sz w:val="15"/>
                <w:szCs w:val="20"/>
              </w:rPr>
              <w:t>广西壮族自治区桂林市临桂区公园北路 8 号桂林金融大厦</w:t>
            </w:r>
          </w:p>
        </w:tc>
        <w:tc>
          <w:tcPr>
            <w:tcW w:w="1350" w:type="dxa"/>
            <w:tcMar>
              <w:left w:w="120" w:type="dxa"/>
            </w:tcMar>
            <w:vAlign w:val="center"/>
          </w:tcPr>
          <w:p w14:paraId="1B2AC708">
            <w:pPr>
              <w:spacing w:line="200" w:lineRule="exact"/>
            </w:pPr>
            <w:r>
              <w:rPr>
                <w:rFonts w:ascii="方正黑体_GBK" w:hAnsi="方正黑体_GBK" w:eastAsia="方正黑体_GBK" w:cs="宋体"/>
                <w:sz w:val="15"/>
                <w:szCs w:val="20"/>
              </w:rPr>
              <w:t>400-86-96299</w:t>
            </w:r>
          </w:p>
        </w:tc>
      </w:tr>
      <w:tr w14:paraId="2079A9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79BECCA">
            <w:pPr>
              <w:spacing w:line="200" w:lineRule="exact"/>
            </w:pPr>
            <w:r>
              <w:rPr>
                <w:rFonts w:ascii="方正黑体_GBK" w:hAnsi="方正黑体_GBK" w:eastAsia="方正黑体_GBK" w:cs="宋体"/>
                <w:sz w:val="15"/>
                <w:szCs w:val="20"/>
              </w:rPr>
              <w:t>宁波通商银行股份有限公司</w:t>
            </w:r>
          </w:p>
        </w:tc>
        <w:tc>
          <w:tcPr>
            <w:tcW w:w="4050" w:type="dxa"/>
            <w:tcMar>
              <w:left w:w="120" w:type="dxa"/>
            </w:tcMar>
            <w:vAlign w:val="center"/>
          </w:tcPr>
          <w:p w14:paraId="754D29FC">
            <w:pPr>
              <w:spacing w:line="200" w:lineRule="exact"/>
            </w:pPr>
            <w:r>
              <w:rPr>
                <w:rFonts w:ascii="方正黑体_GBK" w:hAnsi="方正黑体_GBK" w:eastAsia="方正黑体_GBK" w:cs="宋体"/>
                <w:sz w:val="15"/>
                <w:szCs w:val="20"/>
              </w:rPr>
              <w:t>浙江省宁波市鄞州区民安东路337号</w:t>
            </w:r>
          </w:p>
        </w:tc>
        <w:tc>
          <w:tcPr>
            <w:tcW w:w="1350" w:type="dxa"/>
            <w:tcMar>
              <w:left w:w="120" w:type="dxa"/>
            </w:tcMar>
            <w:vAlign w:val="center"/>
          </w:tcPr>
          <w:p w14:paraId="72A2BC61">
            <w:pPr>
              <w:spacing w:line="200" w:lineRule="exact"/>
            </w:pPr>
            <w:r>
              <w:rPr>
                <w:rFonts w:ascii="方正黑体_GBK" w:hAnsi="方正黑体_GBK" w:eastAsia="方正黑体_GBK" w:cs="宋体"/>
                <w:sz w:val="15"/>
                <w:szCs w:val="20"/>
              </w:rPr>
              <w:t>400-916-6666</w:t>
            </w:r>
          </w:p>
        </w:tc>
      </w:tr>
      <w:tr w14:paraId="23583C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BEBFD97">
            <w:pPr>
              <w:spacing w:line="200" w:lineRule="exact"/>
            </w:pPr>
            <w:r>
              <w:rPr>
                <w:rFonts w:ascii="方正黑体_GBK" w:hAnsi="方正黑体_GBK" w:eastAsia="方正黑体_GBK" w:cs="宋体"/>
                <w:sz w:val="15"/>
                <w:szCs w:val="20"/>
              </w:rPr>
              <w:t>广州银行股份有限公司</w:t>
            </w:r>
          </w:p>
        </w:tc>
        <w:tc>
          <w:tcPr>
            <w:tcW w:w="4050" w:type="dxa"/>
            <w:tcMar>
              <w:left w:w="120" w:type="dxa"/>
            </w:tcMar>
            <w:vAlign w:val="center"/>
          </w:tcPr>
          <w:p w14:paraId="558F54E8">
            <w:pPr>
              <w:spacing w:line="200" w:lineRule="exact"/>
            </w:pPr>
            <w:r>
              <w:rPr>
                <w:rFonts w:ascii="方正黑体_GBK" w:hAnsi="方正黑体_GBK" w:eastAsia="方正黑体_GBK" w:cs="宋体"/>
                <w:sz w:val="15"/>
                <w:szCs w:val="20"/>
              </w:rPr>
              <w:t>广州市天河区珠江东路30号</w:t>
            </w:r>
          </w:p>
        </w:tc>
        <w:tc>
          <w:tcPr>
            <w:tcW w:w="1350" w:type="dxa"/>
            <w:tcMar>
              <w:left w:w="120" w:type="dxa"/>
            </w:tcMar>
            <w:vAlign w:val="center"/>
          </w:tcPr>
          <w:p w14:paraId="6C00A225">
            <w:pPr>
              <w:spacing w:line="200" w:lineRule="exact"/>
            </w:pPr>
            <w:r>
              <w:rPr>
                <w:rFonts w:ascii="方正黑体_GBK" w:hAnsi="方正黑体_GBK" w:eastAsia="方正黑体_GBK" w:cs="宋体"/>
                <w:sz w:val="15"/>
                <w:szCs w:val="20"/>
              </w:rPr>
              <w:t>400-83-96699</w:t>
            </w:r>
          </w:p>
        </w:tc>
      </w:tr>
      <w:tr w14:paraId="213FDC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1CBAFE7">
            <w:pPr>
              <w:spacing w:line="200" w:lineRule="exact"/>
            </w:pPr>
            <w:r>
              <w:rPr>
                <w:rFonts w:ascii="方正黑体_GBK" w:hAnsi="方正黑体_GBK" w:eastAsia="方正黑体_GBK" w:cs="宋体"/>
                <w:sz w:val="15"/>
                <w:szCs w:val="20"/>
              </w:rPr>
              <w:t>无锡农村商业银行股份有限公司</w:t>
            </w:r>
          </w:p>
        </w:tc>
        <w:tc>
          <w:tcPr>
            <w:tcW w:w="4050" w:type="dxa"/>
            <w:tcMar>
              <w:left w:w="120" w:type="dxa"/>
            </w:tcMar>
            <w:vAlign w:val="center"/>
          </w:tcPr>
          <w:p w14:paraId="3FDE6641">
            <w:pPr>
              <w:spacing w:line="200" w:lineRule="exact"/>
            </w:pPr>
            <w:r>
              <w:rPr>
                <w:rFonts w:ascii="方正黑体_GBK" w:hAnsi="方正黑体_GBK" w:eastAsia="方正黑体_GBK" w:cs="宋体"/>
                <w:sz w:val="15"/>
                <w:szCs w:val="20"/>
              </w:rPr>
              <w:t>江苏省无锡市锡山区延庆街11号、丹山路66-3、 66-1301、 66-1401号</w:t>
            </w:r>
          </w:p>
        </w:tc>
        <w:tc>
          <w:tcPr>
            <w:tcW w:w="1350" w:type="dxa"/>
            <w:tcMar>
              <w:left w:w="120" w:type="dxa"/>
            </w:tcMar>
            <w:vAlign w:val="center"/>
          </w:tcPr>
          <w:p w14:paraId="52D7AC30">
            <w:pPr>
              <w:spacing w:line="200" w:lineRule="exact"/>
            </w:pPr>
            <w:r>
              <w:rPr>
                <w:rFonts w:ascii="方正黑体_GBK" w:hAnsi="方正黑体_GBK" w:eastAsia="方正黑体_GBK" w:cs="宋体"/>
                <w:sz w:val="15"/>
                <w:szCs w:val="20"/>
              </w:rPr>
              <w:t>0510-96058</w:t>
            </w:r>
          </w:p>
        </w:tc>
      </w:tr>
      <w:tr w14:paraId="4DFACE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FAC60C5">
            <w:pPr>
              <w:spacing w:line="200" w:lineRule="exact"/>
            </w:pPr>
            <w:r>
              <w:rPr>
                <w:rFonts w:ascii="方正黑体_GBK" w:hAnsi="方正黑体_GBK" w:eastAsia="方正黑体_GBK" w:cs="宋体"/>
                <w:sz w:val="15"/>
                <w:szCs w:val="20"/>
              </w:rPr>
              <w:t>石嘴山银行股份有限公司</w:t>
            </w:r>
          </w:p>
        </w:tc>
        <w:tc>
          <w:tcPr>
            <w:tcW w:w="4050" w:type="dxa"/>
            <w:tcMar>
              <w:left w:w="120" w:type="dxa"/>
            </w:tcMar>
            <w:vAlign w:val="center"/>
          </w:tcPr>
          <w:p w14:paraId="1E2AD37C">
            <w:pPr>
              <w:spacing w:line="200" w:lineRule="exact"/>
            </w:pPr>
            <w:r>
              <w:rPr>
                <w:rFonts w:ascii="方正黑体_GBK" w:hAnsi="方正黑体_GBK" w:eastAsia="方正黑体_GBK" w:cs="宋体"/>
                <w:sz w:val="15"/>
                <w:szCs w:val="20"/>
              </w:rPr>
              <w:t>宁夏回族自治区石嘴山市大武口区朝阳西街 39 号</w:t>
            </w:r>
          </w:p>
        </w:tc>
        <w:tc>
          <w:tcPr>
            <w:tcW w:w="1350" w:type="dxa"/>
            <w:tcMar>
              <w:left w:w="120" w:type="dxa"/>
            </w:tcMar>
            <w:vAlign w:val="center"/>
          </w:tcPr>
          <w:p w14:paraId="766856E2">
            <w:pPr>
              <w:spacing w:line="200" w:lineRule="exact"/>
            </w:pPr>
            <w:r>
              <w:rPr>
                <w:rFonts w:ascii="方正黑体_GBK" w:hAnsi="方正黑体_GBK" w:eastAsia="方正黑体_GBK" w:cs="宋体"/>
                <w:sz w:val="15"/>
                <w:szCs w:val="20"/>
              </w:rPr>
              <w:t>0951-96789</w:t>
            </w:r>
          </w:p>
        </w:tc>
      </w:tr>
      <w:tr w14:paraId="202DBA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EEA9F00">
            <w:pPr>
              <w:spacing w:line="200" w:lineRule="exact"/>
            </w:pPr>
            <w:r>
              <w:rPr>
                <w:rFonts w:ascii="方正黑体_GBK" w:hAnsi="方正黑体_GBK" w:eastAsia="方正黑体_GBK" w:cs="宋体"/>
                <w:sz w:val="15"/>
                <w:szCs w:val="20"/>
              </w:rPr>
              <w:t>无锡锡商银行股份有限公司</w:t>
            </w:r>
          </w:p>
        </w:tc>
        <w:tc>
          <w:tcPr>
            <w:tcW w:w="4050" w:type="dxa"/>
            <w:tcMar>
              <w:left w:w="120" w:type="dxa"/>
            </w:tcMar>
            <w:vAlign w:val="center"/>
          </w:tcPr>
          <w:p w14:paraId="2D4901BA">
            <w:pPr>
              <w:spacing w:line="200" w:lineRule="exact"/>
            </w:pPr>
            <w:r>
              <w:rPr>
                <w:rFonts w:ascii="方正黑体_GBK" w:hAnsi="方正黑体_GBK" w:eastAsia="方正黑体_GBK" w:cs="宋体"/>
                <w:sz w:val="15"/>
                <w:szCs w:val="20"/>
              </w:rPr>
              <w:t>江苏省无锡市锡山区安镇街道东翔路578号红豆财富广场1-2层、5-11层</w:t>
            </w:r>
          </w:p>
        </w:tc>
        <w:tc>
          <w:tcPr>
            <w:tcW w:w="1350" w:type="dxa"/>
            <w:tcMar>
              <w:left w:w="120" w:type="dxa"/>
            </w:tcMar>
            <w:vAlign w:val="center"/>
          </w:tcPr>
          <w:p w14:paraId="032E267C">
            <w:pPr>
              <w:spacing w:line="200" w:lineRule="exact"/>
            </w:pPr>
            <w:r>
              <w:rPr>
                <w:rFonts w:ascii="方正黑体_GBK" w:hAnsi="方正黑体_GBK" w:eastAsia="方正黑体_GBK" w:cs="宋体"/>
                <w:sz w:val="15"/>
                <w:szCs w:val="20"/>
              </w:rPr>
              <w:t>400-888-0555</w:t>
            </w:r>
          </w:p>
        </w:tc>
      </w:tr>
      <w:tr w14:paraId="0A973D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D632DEA">
            <w:pPr>
              <w:spacing w:line="200" w:lineRule="exact"/>
            </w:pPr>
            <w:r>
              <w:rPr>
                <w:rFonts w:ascii="方正黑体_GBK" w:hAnsi="方正黑体_GBK" w:eastAsia="方正黑体_GBK" w:cs="宋体"/>
                <w:sz w:val="15"/>
                <w:szCs w:val="20"/>
              </w:rPr>
              <w:t>江苏丹阳农村商业银行股份有限公司</w:t>
            </w:r>
          </w:p>
        </w:tc>
        <w:tc>
          <w:tcPr>
            <w:tcW w:w="4050" w:type="dxa"/>
            <w:tcMar>
              <w:left w:w="120" w:type="dxa"/>
            </w:tcMar>
            <w:vAlign w:val="center"/>
          </w:tcPr>
          <w:p w14:paraId="6316696A">
            <w:pPr>
              <w:spacing w:line="200" w:lineRule="exact"/>
            </w:pPr>
            <w:r>
              <w:rPr>
                <w:rFonts w:ascii="方正黑体_GBK" w:hAnsi="方正黑体_GBK" w:eastAsia="方正黑体_GBK" w:cs="宋体"/>
                <w:sz w:val="15"/>
                <w:szCs w:val="20"/>
              </w:rPr>
              <w:t>镇江市丹阳金陵西路152号</w:t>
            </w:r>
          </w:p>
        </w:tc>
        <w:tc>
          <w:tcPr>
            <w:tcW w:w="1350" w:type="dxa"/>
            <w:tcMar>
              <w:left w:w="120" w:type="dxa"/>
            </w:tcMar>
            <w:vAlign w:val="center"/>
          </w:tcPr>
          <w:p w14:paraId="79A4181E">
            <w:pPr>
              <w:spacing w:line="200" w:lineRule="exact"/>
            </w:pPr>
            <w:r>
              <w:rPr>
                <w:rFonts w:ascii="方正黑体_GBK" w:hAnsi="方正黑体_GBK" w:eastAsia="方正黑体_GBK" w:cs="宋体"/>
                <w:sz w:val="15"/>
                <w:szCs w:val="20"/>
              </w:rPr>
              <w:t>96008</w:t>
            </w:r>
          </w:p>
        </w:tc>
      </w:tr>
      <w:tr w14:paraId="0A55FD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F266E38">
            <w:pPr>
              <w:spacing w:line="200" w:lineRule="exact"/>
            </w:pPr>
            <w:r>
              <w:rPr>
                <w:rFonts w:ascii="方正黑体_GBK" w:hAnsi="方正黑体_GBK" w:eastAsia="方正黑体_GBK" w:cs="宋体"/>
                <w:sz w:val="15"/>
                <w:szCs w:val="20"/>
              </w:rPr>
              <w:t>江苏宜兴农村商业银行股份有限公司</w:t>
            </w:r>
          </w:p>
        </w:tc>
        <w:tc>
          <w:tcPr>
            <w:tcW w:w="4050" w:type="dxa"/>
            <w:tcMar>
              <w:left w:w="120" w:type="dxa"/>
            </w:tcMar>
            <w:vAlign w:val="center"/>
          </w:tcPr>
          <w:p w14:paraId="133C4384">
            <w:pPr>
              <w:spacing w:line="200" w:lineRule="exact"/>
            </w:pPr>
            <w:r>
              <w:rPr>
                <w:rFonts w:ascii="方正黑体_GBK" w:hAnsi="方正黑体_GBK" w:eastAsia="方正黑体_GBK" w:cs="宋体"/>
                <w:sz w:val="15"/>
                <w:szCs w:val="20"/>
              </w:rPr>
              <w:t>江苏省宜兴市宜城街道解放东路579号</w:t>
            </w:r>
          </w:p>
        </w:tc>
        <w:tc>
          <w:tcPr>
            <w:tcW w:w="1350" w:type="dxa"/>
            <w:tcMar>
              <w:left w:w="120" w:type="dxa"/>
            </w:tcMar>
            <w:vAlign w:val="center"/>
          </w:tcPr>
          <w:p w14:paraId="551E1305">
            <w:pPr>
              <w:spacing w:line="200" w:lineRule="exact"/>
            </w:pPr>
            <w:r>
              <w:rPr>
                <w:rFonts w:ascii="方正黑体_GBK" w:hAnsi="方正黑体_GBK" w:eastAsia="方正黑体_GBK" w:cs="宋体"/>
                <w:sz w:val="15"/>
                <w:szCs w:val="20"/>
              </w:rPr>
              <w:t>96008</w:t>
            </w:r>
          </w:p>
        </w:tc>
      </w:tr>
      <w:tr w14:paraId="346CBC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167DD3B">
            <w:pPr>
              <w:spacing w:line="200" w:lineRule="exact"/>
            </w:pPr>
            <w:r>
              <w:rPr>
                <w:rFonts w:ascii="方正黑体_GBK" w:hAnsi="方正黑体_GBK" w:eastAsia="方正黑体_GBK" w:cs="宋体"/>
                <w:sz w:val="15"/>
                <w:szCs w:val="20"/>
              </w:rPr>
              <w:t>江苏高淳农村商业银行股份有限公司</w:t>
            </w:r>
          </w:p>
        </w:tc>
        <w:tc>
          <w:tcPr>
            <w:tcW w:w="4050" w:type="dxa"/>
            <w:tcMar>
              <w:left w:w="120" w:type="dxa"/>
            </w:tcMar>
            <w:vAlign w:val="center"/>
          </w:tcPr>
          <w:p w14:paraId="42E0C67E">
            <w:pPr>
              <w:spacing w:line="200" w:lineRule="exact"/>
            </w:pPr>
            <w:r>
              <w:rPr>
                <w:rFonts w:ascii="方正黑体_GBK" w:hAnsi="方正黑体_GBK" w:eastAsia="方正黑体_GBK" w:cs="宋体"/>
                <w:sz w:val="15"/>
                <w:szCs w:val="20"/>
              </w:rPr>
              <w:t>南京市高淳区淳溪镇宝塔路123号</w:t>
            </w:r>
          </w:p>
        </w:tc>
        <w:tc>
          <w:tcPr>
            <w:tcW w:w="1350" w:type="dxa"/>
            <w:tcMar>
              <w:left w:w="120" w:type="dxa"/>
            </w:tcMar>
            <w:vAlign w:val="center"/>
          </w:tcPr>
          <w:p w14:paraId="37DDE378">
            <w:pPr>
              <w:spacing w:line="200" w:lineRule="exact"/>
            </w:pPr>
            <w:r>
              <w:rPr>
                <w:rFonts w:ascii="方正黑体_GBK" w:hAnsi="方正黑体_GBK" w:eastAsia="方正黑体_GBK" w:cs="宋体"/>
                <w:sz w:val="15"/>
                <w:szCs w:val="20"/>
              </w:rPr>
              <w:t>96008</w:t>
            </w:r>
          </w:p>
        </w:tc>
      </w:tr>
      <w:tr w14:paraId="0C2293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7CC56CB">
            <w:pPr>
              <w:spacing w:line="200" w:lineRule="exact"/>
            </w:pPr>
            <w:r>
              <w:rPr>
                <w:rFonts w:ascii="方正黑体_GBK" w:hAnsi="方正黑体_GBK" w:eastAsia="方正黑体_GBK" w:cs="宋体"/>
                <w:sz w:val="15"/>
                <w:szCs w:val="20"/>
              </w:rPr>
              <w:t>江苏泰兴农村商业银行股份有限公司</w:t>
            </w:r>
          </w:p>
        </w:tc>
        <w:tc>
          <w:tcPr>
            <w:tcW w:w="4050" w:type="dxa"/>
            <w:tcMar>
              <w:left w:w="120" w:type="dxa"/>
            </w:tcMar>
            <w:vAlign w:val="center"/>
          </w:tcPr>
          <w:p w14:paraId="43C3B3CC">
            <w:pPr>
              <w:spacing w:line="200" w:lineRule="exact"/>
            </w:pPr>
            <w:r>
              <w:rPr>
                <w:rFonts w:ascii="方正黑体_GBK" w:hAnsi="方正黑体_GBK" w:eastAsia="方正黑体_GBK" w:cs="宋体"/>
                <w:sz w:val="15"/>
                <w:szCs w:val="20"/>
              </w:rPr>
              <w:t>泰兴市国庆东路166号</w:t>
            </w:r>
          </w:p>
        </w:tc>
        <w:tc>
          <w:tcPr>
            <w:tcW w:w="1350" w:type="dxa"/>
            <w:tcMar>
              <w:left w:w="120" w:type="dxa"/>
            </w:tcMar>
            <w:vAlign w:val="center"/>
          </w:tcPr>
          <w:p w14:paraId="6A11B134">
            <w:pPr>
              <w:spacing w:line="200" w:lineRule="exact"/>
            </w:pPr>
            <w:r>
              <w:rPr>
                <w:rFonts w:ascii="方正黑体_GBK" w:hAnsi="方正黑体_GBK" w:eastAsia="方正黑体_GBK" w:cs="宋体"/>
                <w:sz w:val="15"/>
                <w:szCs w:val="20"/>
              </w:rPr>
              <w:t>96008</w:t>
            </w:r>
          </w:p>
        </w:tc>
      </w:tr>
      <w:tr w14:paraId="3357FE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1FE6CC3">
            <w:pPr>
              <w:spacing w:line="200" w:lineRule="exact"/>
            </w:pPr>
            <w:r>
              <w:rPr>
                <w:rFonts w:ascii="方正黑体_GBK" w:hAnsi="方正黑体_GBK" w:eastAsia="方正黑体_GBK" w:cs="宋体"/>
                <w:sz w:val="15"/>
                <w:szCs w:val="20"/>
              </w:rPr>
              <w:t>江苏响水农村商业银行股份有限公司</w:t>
            </w:r>
          </w:p>
        </w:tc>
        <w:tc>
          <w:tcPr>
            <w:tcW w:w="4050" w:type="dxa"/>
            <w:tcMar>
              <w:left w:w="120" w:type="dxa"/>
            </w:tcMar>
            <w:vAlign w:val="center"/>
          </w:tcPr>
          <w:p w14:paraId="60280302">
            <w:pPr>
              <w:spacing w:line="200" w:lineRule="exact"/>
            </w:pPr>
            <w:r>
              <w:rPr>
                <w:rFonts w:ascii="方正黑体_GBK" w:hAnsi="方正黑体_GBK" w:eastAsia="方正黑体_GBK" w:cs="宋体"/>
                <w:sz w:val="15"/>
                <w:szCs w:val="20"/>
              </w:rPr>
              <w:t>江苏省响水县双园东路北侧</w:t>
            </w:r>
          </w:p>
        </w:tc>
        <w:tc>
          <w:tcPr>
            <w:tcW w:w="1350" w:type="dxa"/>
            <w:tcMar>
              <w:left w:w="120" w:type="dxa"/>
            </w:tcMar>
            <w:vAlign w:val="center"/>
          </w:tcPr>
          <w:p w14:paraId="1B64728D">
            <w:pPr>
              <w:spacing w:line="200" w:lineRule="exact"/>
            </w:pPr>
            <w:r>
              <w:rPr>
                <w:rFonts w:ascii="方正黑体_GBK" w:hAnsi="方正黑体_GBK" w:eastAsia="方正黑体_GBK" w:cs="宋体"/>
                <w:sz w:val="15"/>
                <w:szCs w:val="20"/>
              </w:rPr>
              <w:t>96008</w:t>
            </w:r>
          </w:p>
        </w:tc>
      </w:tr>
      <w:tr w14:paraId="40AB5A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8F26124">
            <w:pPr>
              <w:spacing w:line="200" w:lineRule="exact"/>
            </w:pPr>
            <w:r>
              <w:rPr>
                <w:rFonts w:ascii="方正黑体_GBK" w:hAnsi="方正黑体_GBK" w:eastAsia="方正黑体_GBK" w:cs="宋体"/>
                <w:sz w:val="15"/>
                <w:szCs w:val="20"/>
              </w:rPr>
              <w:t>江苏靖江农村商业银行股份有限公司</w:t>
            </w:r>
          </w:p>
        </w:tc>
        <w:tc>
          <w:tcPr>
            <w:tcW w:w="4050" w:type="dxa"/>
            <w:tcMar>
              <w:left w:w="120" w:type="dxa"/>
            </w:tcMar>
            <w:vAlign w:val="center"/>
          </w:tcPr>
          <w:p w14:paraId="252EFEC0">
            <w:pPr>
              <w:spacing w:line="200" w:lineRule="exact"/>
            </w:pPr>
            <w:r>
              <w:rPr>
                <w:rFonts w:ascii="方正黑体_GBK" w:hAnsi="方正黑体_GBK" w:eastAsia="方正黑体_GBK" w:cs="宋体"/>
                <w:sz w:val="15"/>
                <w:szCs w:val="20"/>
              </w:rPr>
              <w:t>江苏省靖江市南环西路12号</w:t>
            </w:r>
          </w:p>
        </w:tc>
        <w:tc>
          <w:tcPr>
            <w:tcW w:w="1350" w:type="dxa"/>
            <w:tcMar>
              <w:left w:w="120" w:type="dxa"/>
            </w:tcMar>
            <w:vAlign w:val="center"/>
          </w:tcPr>
          <w:p w14:paraId="2AC54437">
            <w:pPr>
              <w:spacing w:line="200" w:lineRule="exact"/>
            </w:pPr>
            <w:r>
              <w:rPr>
                <w:rFonts w:ascii="方正黑体_GBK" w:hAnsi="方正黑体_GBK" w:eastAsia="方正黑体_GBK" w:cs="宋体"/>
                <w:sz w:val="15"/>
                <w:szCs w:val="20"/>
              </w:rPr>
              <w:t>96008</w:t>
            </w:r>
          </w:p>
        </w:tc>
      </w:tr>
      <w:tr w14:paraId="1388D2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53F1258">
            <w:pPr>
              <w:spacing w:line="200" w:lineRule="exact"/>
            </w:pPr>
            <w:r>
              <w:rPr>
                <w:rFonts w:ascii="方正黑体_GBK" w:hAnsi="方正黑体_GBK" w:eastAsia="方正黑体_GBK" w:cs="宋体"/>
                <w:sz w:val="15"/>
                <w:szCs w:val="20"/>
              </w:rPr>
              <w:t>江苏新沂农村商业银行股份有限公司</w:t>
            </w:r>
          </w:p>
        </w:tc>
        <w:tc>
          <w:tcPr>
            <w:tcW w:w="4050" w:type="dxa"/>
            <w:tcMar>
              <w:left w:w="120" w:type="dxa"/>
            </w:tcMar>
            <w:vAlign w:val="center"/>
          </w:tcPr>
          <w:p w14:paraId="44474C6A">
            <w:pPr>
              <w:spacing w:line="200" w:lineRule="exact"/>
            </w:pPr>
            <w:r>
              <w:rPr>
                <w:rFonts w:ascii="方正黑体_GBK" w:hAnsi="方正黑体_GBK" w:eastAsia="方正黑体_GBK" w:cs="宋体"/>
                <w:sz w:val="15"/>
                <w:szCs w:val="20"/>
              </w:rPr>
              <w:t>江苏省新沂市钟吾路163号</w:t>
            </w:r>
          </w:p>
        </w:tc>
        <w:tc>
          <w:tcPr>
            <w:tcW w:w="1350" w:type="dxa"/>
            <w:tcMar>
              <w:left w:w="120" w:type="dxa"/>
            </w:tcMar>
            <w:vAlign w:val="center"/>
          </w:tcPr>
          <w:p w14:paraId="176B3AB0">
            <w:pPr>
              <w:spacing w:line="200" w:lineRule="exact"/>
            </w:pPr>
            <w:r>
              <w:rPr>
                <w:rFonts w:ascii="方正黑体_GBK" w:hAnsi="方正黑体_GBK" w:eastAsia="方正黑体_GBK" w:cs="宋体"/>
                <w:sz w:val="15"/>
                <w:szCs w:val="20"/>
              </w:rPr>
              <w:t>96008</w:t>
            </w:r>
          </w:p>
        </w:tc>
      </w:tr>
      <w:tr w14:paraId="0B6B5F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76ED8EE">
            <w:pPr>
              <w:spacing w:line="200" w:lineRule="exact"/>
            </w:pPr>
            <w:r>
              <w:rPr>
                <w:rFonts w:ascii="方正黑体_GBK" w:hAnsi="方正黑体_GBK" w:eastAsia="方正黑体_GBK" w:cs="宋体"/>
                <w:sz w:val="15"/>
                <w:szCs w:val="20"/>
              </w:rPr>
              <w:t>江苏邳州农村商业银行股份有限公司</w:t>
            </w:r>
          </w:p>
        </w:tc>
        <w:tc>
          <w:tcPr>
            <w:tcW w:w="4050" w:type="dxa"/>
            <w:tcMar>
              <w:left w:w="120" w:type="dxa"/>
            </w:tcMar>
            <w:vAlign w:val="center"/>
          </w:tcPr>
          <w:p w14:paraId="681200C6">
            <w:pPr>
              <w:spacing w:line="200" w:lineRule="exact"/>
            </w:pPr>
            <w:r>
              <w:rPr>
                <w:rFonts w:ascii="方正黑体_GBK" w:hAnsi="方正黑体_GBK" w:eastAsia="方正黑体_GBK" w:cs="宋体"/>
                <w:sz w:val="15"/>
                <w:szCs w:val="20"/>
              </w:rPr>
              <w:t>江苏省邳州市建设中路16号</w:t>
            </w:r>
          </w:p>
        </w:tc>
        <w:tc>
          <w:tcPr>
            <w:tcW w:w="1350" w:type="dxa"/>
            <w:tcMar>
              <w:left w:w="120" w:type="dxa"/>
            </w:tcMar>
            <w:vAlign w:val="center"/>
          </w:tcPr>
          <w:p w14:paraId="4E4D5231">
            <w:pPr>
              <w:spacing w:line="200" w:lineRule="exact"/>
            </w:pPr>
            <w:r>
              <w:rPr>
                <w:rFonts w:ascii="方正黑体_GBK" w:hAnsi="方正黑体_GBK" w:eastAsia="方正黑体_GBK" w:cs="宋体"/>
                <w:sz w:val="15"/>
                <w:szCs w:val="20"/>
              </w:rPr>
              <w:t>96008</w:t>
            </w:r>
          </w:p>
        </w:tc>
      </w:tr>
      <w:tr w14:paraId="0F48F6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9E1FDCB">
            <w:pPr>
              <w:spacing w:line="200" w:lineRule="exact"/>
            </w:pPr>
            <w:r>
              <w:rPr>
                <w:rFonts w:ascii="方正黑体_GBK" w:hAnsi="方正黑体_GBK" w:eastAsia="方正黑体_GBK" w:cs="宋体"/>
                <w:sz w:val="15"/>
                <w:szCs w:val="20"/>
              </w:rPr>
              <w:t>江苏民丰农村商业银行股份有限公司</w:t>
            </w:r>
          </w:p>
        </w:tc>
        <w:tc>
          <w:tcPr>
            <w:tcW w:w="4050" w:type="dxa"/>
            <w:tcMar>
              <w:left w:w="120" w:type="dxa"/>
            </w:tcMar>
            <w:vAlign w:val="center"/>
          </w:tcPr>
          <w:p w14:paraId="0D7A97E4">
            <w:pPr>
              <w:spacing w:line="200" w:lineRule="exact"/>
            </w:pPr>
            <w:r>
              <w:rPr>
                <w:rFonts w:ascii="方正黑体_GBK" w:hAnsi="方正黑体_GBK" w:eastAsia="方正黑体_GBK" w:cs="宋体"/>
                <w:sz w:val="15"/>
                <w:szCs w:val="20"/>
              </w:rPr>
              <w:t>江苏省宿迁市宿城区高宝湖路1号</w:t>
            </w:r>
          </w:p>
        </w:tc>
        <w:tc>
          <w:tcPr>
            <w:tcW w:w="1350" w:type="dxa"/>
            <w:tcMar>
              <w:left w:w="120" w:type="dxa"/>
            </w:tcMar>
            <w:vAlign w:val="center"/>
          </w:tcPr>
          <w:p w14:paraId="6905EBBA">
            <w:pPr>
              <w:spacing w:line="200" w:lineRule="exact"/>
            </w:pPr>
            <w:r>
              <w:rPr>
                <w:rFonts w:ascii="方正黑体_GBK" w:hAnsi="方正黑体_GBK" w:eastAsia="方正黑体_GBK" w:cs="宋体"/>
                <w:sz w:val="15"/>
                <w:szCs w:val="20"/>
              </w:rPr>
              <w:t>96008</w:t>
            </w:r>
          </w:p>
        </w:tc>
      </w:tr>
      <w:tr w14:paraId="4BD7F8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C0FFCF5">
            <w:pPr>
              <w:spacing w:line="200" w:lineRule="exact"/>
            </w:pPr>
            <w:r>
              <w:rPr>
                <w:rFonts w:ascii="方正黑体_GBK" w:hAnsi="方正黑体_GBK" w:eastAsia="方正黑体_GBK" w:cs="宋体"/>
                <w:sz w:val="15"/>
                <w:szCs w:val="20"/>
              </w:rPr>
              <w:t>江苏建湖农村商业银行股份有限公司</w:t>
            </w:r>
          </w:p>
        </w:tc>
        <w:tc>
          <w:tcPr>
            <w:tcW w:w="4050" w:type="dxa"/>
            <w:tcMar>
              <w:left w:w="120" w:type="dxa"/>
            </w:tcMar>
            <w:vAlign w:val="center"/>
          </w:tcPr>
          <w:p w14:paraId="092A0524">
            <w:pPr>
              <w:spacing w:line="200" w:lineRule="exact"/>
            </w:pPr>
            <w:r>
              <w:rPr>
                <w:rFonts w:ascii="方正黑体_GBK" w:hAnsi="方正黑体_GBK" w:eastAsia="方正黑体_GBK" w:cs="宋体"/>
                <w:sz w:val="15"/>
                <w:szCs w:val="20"/>
              </w:rPr>
              <w:t>江苏省建湖县湖中南路958号</w:t>
            </w:r>
          </w:p>
        </w:tc>
        <w:tc>
          <w:tcPr>
            <w:tcW w:w="1350" w:type="dxa"/>
            <w:tcMar>
              <w:left w:w="120" w:type="dxa"/>
            </w:tcMar>
            <w:vAlign w:val="center"/>
          </w:tcPr>
          <w:p w14:paraId="47BD32D7">
            <w:pPr>
              <w:spacing w:line="200" w:lineRule="exact"/>
            </w:pPr>
            <w:r>
              <w:rPr>
                <w:rFonts w:ascii="方正黑体_GBK" w:hAnsi="方正黑体_GBK" w:eastAsia="方正黑体_GBK" w:cs="宋体"/>
                <w:sz w:val="15"/>
                <w:szCs w:val="20"/>
              </w:rPr>
              <w:t>96008</w:t>
            </w:r>
          </w:p>
        </w:tc>
      </w:tr>
      <w:tr w14:paraId="1FB7ED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181856A">
            <w:pPr>
              <w:spacing w:line="200" w:lineRule="exact"/>
            </w:pPr>
            <w:r>
              <w:rPr>
                <w:rFonts w:ascii="方正黑体_GBK" w:hAnsi="方正黑体_GBK" w:eastAsia="方正黑体_GBK" w:cs="宋体"/>
                <w:sz w:val="15"/>
                <w:szCs w:val="20"/>
              </w:rPr>
              <w:t>江苏东台农村商业银行股份有限公司</w:t>
            </w:r>
          </w:p>
        </w:tc>
        <w:tc>
          <w:tcPr>
            <w:tcW w:w="4050" w:type="dxa"/>
            <w:tcMar>
              <w:left w:w="120" w:type="dxa"/>
            </w:tcMar>
            <w:vAlign w:val="center"/>
          </w:tcPr>
          <w:p w14:paraId="2F8E7AB2">
            <w:pPr>
              <w:spacing w:line="200" w:lineRule="exact"/>
            </w:pPr>
            <w:r>
              <w:rPr>
                <w:rFonts w:ascii="方正黑体_GBK" w:hAnsi="方正黑体_GBK" w:eastAsia="方正黑体_GBK" w:cs="宋体"/>
                <w:sz w:val="15"/>
                <w:szCs w:val="20"/>
              </w:rPr>
              <w:t>东台市东城大道10号</w:t>
            </w:r>
          </w:p>
        </w:tc>
        <w:tc>
          <w:tcPr>
            <w:tcW w:w="1350" w:type="dxa"/>
            <w:tcMar>
              <w:left w:w="120" w:type="dxa"/>
            </w:tcMar>
            <w:vAlign w:val="center"/>
          </w:tcPr>
          <w:p w14:paraId="120B2217">
            <w:pPr>
              <w:spacing w:line="200" w:lineRule="exact"/>
            </w:pPr>
            <w:r>
              <w:rPr>
                <w:rFonts w:ascii="方正黑体_GBK" w:hAnsi="方正黑体_GBK" w:eastAsia="方正黑体_GBK" w:cs="宋体"/>
                <w:sz w:val="15"/>
                <w:szCs w:val="20"/>
              </w:rPr>
              <w:t>96008</w:t>
            </w:r>
          </w:p>
        </w:tc>
      </w:tr>
      <w:tr w14:paraId="1EAC0B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2779847">
            <w:pPr>
              <w:spacing w:line="200" w:lineRule="exact"/>
            </w:pPr>
            <w:r>
              <w:rPr>
                <w:rFonts w:ascii="方正黑体_GBK" w:hAnsi="方正黑体_GBK" w:eastAsia="方正黑体_GBK" w:cs="宋体"/>
                <w:sz w:val="15"/>
                <w:szCs w:val="20"/>
              </w:rPr>
              <w:t>江苏阜宁农村商业银行股份有限公司</w:t>
            </w:r>
          </w:p>
        </w:tc>
        <w:tc>
          <w:tcPr>
            <w:tcW w:w="4050" w:type="dxa"/>
            <w:tcMar>
              <w:left w:w="120" w:type="dxa"/>
            </w:tcMar>
            <w:vAlign w:val="center"/>
          </w:tcPr>
          <w:p w14:paraId="2DF36DB7">
            <w:pPr>
              <w:spacing w:line="200" w:lineRule="exact"/>
            </w:pPr>
            <w:r>
              <w:rPr>
                <w:rFonts w:ascii="方正黑体_GBK" w:hAnsi="方正黑体_GBK" w:eastAsia="方正黑体_GBK" w:cs="宋体"/>
                <w:sz w:val="15"/>
                <w:szCs w:val="20"/>
              </w:rPr>
              <w:t>江苏省阜宁县城南新区上海路459号</w:t>
            </w:r>
          </w:p>
        </w:tc>
        <w:tc>
          <w:tcPr>
            <w:tcW w:w="1350" w:type="dxa"/>
            <w:tcMar>
              <w:left w:w="120" w:type="dxa"/>
            </w:tcMar>
            <w:vAlign w:val="center"/>
          </w:tcPr>
          <w:p w14:paraId="1416E68B">
            <w:pPr>
              <w:spacing w:line="200" w:lineRule="exact"/>
            </w:pPr>
            <w:r>
              <w:rPr>
                <w:rFonts w:ascii="方正黑体_GBK" w:hAnsi="方正黑体_GBK" w:eastAsia="方正黑体_GBK" w:cs="宋体"/>
                <w:sz w:val="15"/>
                <w:szCs w:val="20"/>
              </w:rPr>
              <w:t>96008</w:t>
            </w:r>
          </w:p>
        </w:tc>
      </w:tr>
      <w:tr w14:paraId="7144FC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F4A473A">
            <w:pPr>
              <w:spacing w:line="200" w:lineRule="exact"/>
            </w:pPr>
            <w:r>
              <w:rPr>
                <w:rFonts w:ascii="方正黑体_GBK" w:hAnsi="方正黑体_GBK" w:eastAsia="方正黑体_GBK" w:cs="宋体"/>
                <w:sz w:val="15"/>
                <w:szCs w:val="20"/>
              </w:rPr>
              <w:t>江苏溧水农村商业银行股份有限公司</w:t>
            </w:r>
          </w:p>
        </w:tc>
        <w:tc>
          <w:tcPr>
            <w:tcW w:w="4050" w:type="dxa"/>
            <w:tcMar>
              <w:left w:w="120" w:type="dxa"/>
            </w:tcMar>
            <w:vAlign w:val="center"/>
          </w:tcPr>
          <w:p w14:paraId="5EC9F66C">
            <w:pPr>
              <w:spacing w:line="200" w:lineRule="exact"/>
            </w:pPr>
            <w:r>
              <w:rPr>
                <w:rFonts w:ascii="方正黑体_GBK" w:hAnsi="方正黑体_GBK" w:eastAsia="方正黑体_GBK" w:cs="宋体"/>
                <w:sz w:val="15"/>
                <w:szCs w:val="20"/>
              </w:rPr>
              <w:t>南京市溧水区永阳街道中山路22号</w:t>
            </w:r>
          </w:p>
        </w:tc>
        <w:tc>
          <w:tcPr>
            <w:tcW w:w="1350" w:type="dxa"/>
            <w:tcMar>
              <w:left w:w="120" w:type="dxa"/>
            </w:tcMar>
            <w:vAlign w:val="center"/>
          </w:tcPr>
          <w:p w14:paraId="1342FFAD">
            <w:pPr>
              <w:spacing w:line="200" w:lineRule="exact"/>
            </w:pPr>
            <w:r>
              <w:rPr>
                <w:rFonts w:ascii="方正黑体_GBK" w:hAnsi="方正黑体_GBK" w:eastAsia="方正黑体_GBK" w:cs="宋体"/>
                <w:sz w:val="15"/>
                <w:szCs w:val="20"/>
              </w:rPr>
              <w:t>96008</w:t>
            </w:r>
          </w:p>
        </w:tc>
      </w:tr>
      <w:tr w14:paraId="665C56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C8847C7">
            <w:pPr>
              <w:spacing w:line="200" w:lineRule="exact"/>
            </w:pPr>
            <w:r>
              <w:rPr>
                <w:rFonts w:ascii="方正黑体_GBK" w:hAnsi="方正黑体_GBK" w:eastAsia="方正黑体_GBK" w:cs="宋体"/>
                <w:sz w:val="15"/>
                <w:szCs w:val="20"/>
              </w:rPr>
              <w:t>江苏南通农村商业银行股份有限公司</w:t>
            </w:r>
          </w:p>
        </w:tc>
        <w:tc>
          <w:tcPr>
            <w:tcW w:w="4050" w:type="dxa"/>
            <w:tcMar>
              <w:left w:w="120" w:type="dxa"/>
            </w:tcMar>
            <w:vAlign w:val="center"/>
          </w:tcPr>
          <w:p w14:paraId="4DC9FC15">
            <w:pPr>
              <w:spacing w:line="200" w:lineRule="exact"/>
            </w:pPr>
            <w:r>
              <w:rPr>
                <w:rFonts w:ascii="方正黑体_GBK" w:hAnsi="方正黑体_GBK" w:eastAsia="方正黑体_GBK" w:cs="宋体"/>
                <w:sz w:val="15"/>
                <w:szCs w:val="20"/>
              </w:rPr>
              <w:t>南通市崇川区工农南路89号</w:t>
            </w:r>
          </w:p>
        </w:tc>
        <w:tc>
          <w:tcPr>
            <w:tcW w:w="1350" w:type="dxa"/>
            <w:tcMar>
              <w:left w:w="120" w:type="dxa"/>
            </w:tcMar>
            <w:vAlign w:val="center"/>
          </w:tcPr>
          <w:p w14:paraId="0D4E1B0A">
            <w:pPr>
              <w:spacing w:line="200" w:lineRule="exact"/>
            </w:pPr>
            <w:r>
              <w:rPr>
                <w:rFonts w:ascii="方正黑体_GBK" w:hAnsi="方正黑体_GBK" w:eastAsia="方正黑体_GBK" w:cs="宋体"/>
                <w:sz w:val="15"/>
                <w:szCs w:val="20"/>
              </w:rPr>
              <w:t>96008</w:t>
            </w:r>
          </w:p>
        </w:tc>
      </w:tr>
      <w:tr w14:paraId="1BD76B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8B806A4">
            <w:pPr>
              <w:spacing w:line="200" w:lineRule="exact"/>
            </w:pPr>
            <w:r>
              <w:rPr>
                <w:rFonts w:ascii="方正黑体_GBK" w:hAnsi="方正黑体_GBK" w:eastAsia="方正黑体_GBK" w:cs="宋体"/>
                <w:sz w:val="15"/>
                <w:szCs w:val="20"/>
              </w:rPr>
              <w:t>江苏扬州农村商业银行股份有限公司</w:t>
            </w:r>
          </w:p>
        </w:tc>
        <w:tc>
          <w:tcPr>
            <w:tcW w:w="4050" w:type="dxa"/>
            <w:tcMar>
              <w:left w:w="120" w:type="dxa"/>
            </w:tcMar>
            <w:vAlign w:val="center"/>
          </w:tcPr>
          <w:p w14:paraId="7172B260">
            <w:pPr>
              <w:spacing w:line="200" w:lineRule="exact"/>
            </w:pPr>
            <w:r>
              <w:rPr>
                <w:rFonts w:ascii="方正黑体_GBK" w:hAnsi="方正黑体_GBK" w:eastAsia="方正黑体_GBK" w:cs="宋体"/>
                <w:sz w:val="15"/>
                <w:szCs w:val="20"/>
              </w:rPr>
              <w:t>江苏省扬州市同泰路107号</w:t>
            </w:r>
          </w:p>
        </w:tc>
        <w:tc>
          <w:tcPr>
            <w:tcW w:w="1350" w:type="dxa"/>
            <w:tcMar>
              <w:left w:w="120" w:type="dxa"/>
            </w:tcMar>
            <w:vAlign w:val="center"/>
          </w:tcPr>
          <w:p w14:paraId="3D29FCCE">
            <w:pPr>
              <w:spacing w:line="200" w:lineRule="exact"/>
            </w:pPr>
            <w:r>
              <w:rPr>
                <w:rFonts w:ascii="方正黑体_GBK" w:hAnsi="方正黑体_GBK" w:eastAsia="方正黑体_GBK" w:cs="宋体"/>
                <w:sz w:val="15"/>
                <w:szCs w:val="20"/>
              </w:rPr>
              <w:t>96008</w:t>
            </w:r>
          </w:p>
        </w:tc>
      </w:tr>
      <w:tr w14:paraId="73E347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25CE887">
            <w:pPr>
              <w:spacing w:line="200" w:lineRule="exact"/>
            </w:pPr>
            <w:r>
              <w:rPr>
                <w:rFonts w:ascii="方正黑体_GBK" w:hAnsi="方正黑体_GBK" w:eastAsia="方正黑体_GBK" w:cs="宋体"/>
                <w:sz w:val="15"/>
                <w:szCs w:val="20"/>
              </w:rPr>
              <w:t>江苏江都农村商业银行股份有限公司</w:t>
            </w:r>
          </w:p>
        </w:tc>
        <w:tc>
          <w:tcPr>
            <w:tcW w:w="4050" w:type="dxa"/>
            <w:tcMar>
              <w:left w:w="120" w:type="dxa"/>
            </w:tcMar>
            <w:vAlign w:val="center"/>
          </w:tcPr>
          <w:p w14:paraId="15BF76D3">
            <w:pPr>
              <w:spacing w:line="200" w:lineRule="exact"/>
            </w:pPr>
            <w:r>
              <w:rPr>
                <w:rFonts w:ascii="方正黑体_GBK" w:hAnsi="方正黑体_GBK" w:eastAsia="方正黑体_GBK" w:cs="宋体"/>
                <w:sz w:val="15"/>
                <w:szCs w:val="20"/>
              </w:rPr>
              <w:t>扬州市江都区龙城路21号</w:t>
            </w:r>
          </w:p>
        </w:tc>
        <w:tc>
          <w:tcPr>
            <w:tcW w:w="1350" w:type="dxa"/>
            <w:tcMar>
              <w:left w:w="120" w:type="dxa"/>
            </w:tcMar>
            <w:vAlign w:val="center"/>
          </w:tcPr>
          <w:p w14:paraId="38FB02C7">
            <w:pPr>
              <w:spacing w:line="200" w:lineRule="exact"/>
            </w:pPr>
            <w:r>
              <w:rPr>
                <w:rFonts w:ascii="方正黑体_GBK" w:hAnsi="方正黑体_GBK" w:eastAsia="方正黑体_GBK" w:cs="宋体"/>
                <w:sz w:val="15"/>
                <w:szCs w:val="20"/>
              </w:rPr>
              <w:t>96008</w:t>
            </w:r>
          </w:p>
        </w:tc>
      </w:tr>
      <w:tr w14:paraId="62C091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9AAE530">
            <w:pPr>
              <w:spacing w:line="200" w:lineRule="exact"/>
            </w:pPr>
            <w:r>
              <w:rPr>
                <w:rFonts w:ascii="方正黑体_GBK" w:hAnsi="方正黑体_GBK" w:eastAsia="方正黑体_GBK" w:cs="宋体"/>
                <w:sz w:val="15"/>
                <w:szCs w:val="20"/>
              </w:rPr>
              <w:t>江苏淮安农村商业银行股份有限公司</w:t>
            </w:r>
          </w:p>
        </w:tc>
        <w:tc>
          <w:tcPr>
            <w:tcW w:w="4050" w:type="dxa"/>
            <w:tcMar>
              <w:left w:w="120" w:type="dxa"/>
            </w:tcMar>
            <w:vAlign w:val="center"/>
          </w:tcPr>
          <w:p w14:paraId="7529ECEE">
            <w:pPr>
              <w:spacing w:line="200" w:lineRule="exact"/>
            </w:pPr>
            <w:r>
              <w:rPr>
                <w:rFonts w:ascii="方正黑体_GBK" w:hAnsi="方正黑体_GBK" w:eastAsia="方正黑体_GBK" w:cs="宋体"/>
                <w:sz w:val="15"/>
                <w:szCs w:val="20"/>
              </w:rPr>
              <w:t>江苏省淮安市清江浦区水渡口大道20号金融中心B1号楼</w:t>
            </w:r>
          </w:p>
        </w:tc>
        <w:tc>
          <w:tcPr>
            <w:tcW w:w="1350" w:type="dxa"/>
            <w:tcMar>
              <w:left w:w="120" w:type="dxa"/>
            </w:tcMar>
            <w:vAlign w:val="center"/>
          </w:tcPr>
          <w:p w14:paraId="41683C3C">
            <w:pPr>
              <w:spacing w:line="200" w:lineRule="exact"/>
            </w:pPr>
            <w:r>
              <w:rPr>
                <w:rFonts w:ascii="方正黑体_GBK" w:hAnsi="方正黑体_GBK" w:eastAsia="方正黑体_GBK" w:cs="宋体"/>
                <w:sz w:val="15"/>
                <w:szCs w:val="20"/>
              </w:rPr>
              <w:t>96008</w:t>
            </w:r>
          </w:p>
        </w:tc>
      </w:tr>
      <w:tr w14:paraId="2EEEA8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2B4DAF4">
            <w:pPr>
              <w:spacing w:line="200" w:lineRule="exact"/>
            </w:pPr>
            <w:r>
              <w:rPr>
                <w:rFonts w:ascii="方正黑体_GBK" w:hAnsi="方正黑体_GBK" w:eastAsia="方正黑体_GBK" w:cs="宋体"/>
                <w:sz w:val="15"/>
                <w:szCs w:val="20"/>
              </w:rPr>
              <w:t>江苏大丰农村商业银行股份有限公司</w:t>
            </w:r>
          </w:p>
        </w:tc>
        <w:tc>
          <w:tcPr>
            <w:tcW w:w="4050" w:type="dxa"/>
            <w:tcMar>
              <w:left w:w="120" w:type="dxa"/>
            </w:tcMar>
            <w:vAlign w:val="center"/>
          </w:tcPr>
          <w:p w14:paraId="79B76449">
            <w:pPr>
              <w:spacing w:line="200" w:lineRule="exact"/>
            </w:pPr>
            <w:r>
              <w:rPr>
                <w:rFonts w:ascii="方正黑体_GBK" w:hAnsi="方正黑体_GBK" w:eastAsia="方正黑体_GBK" w:cs="宋体"/>
                <w:sz w:val="15"/>
                <w:szCs w:val="20"/>
              </w:rPr>
              <w:t>江苏省盐城市大丰区常新中路9号</w:t>
            </w:r>
          </w:p>
        </w:tc>
        <w:tc>
          <w:tcPr>
            <w:tcW w:w="1350" w:type="dxa"/>
            <w:tcMar>
              <w:left w:w="120" w:type="dxa"/>
            </w:tcMar>
            <w:vAlign w:val="center"/>
          </w:tcPr>
          <w:p w14:paraId="43111480">
            <w:pPr>
              <w:spacing w:line="200" w:lineRule="exact"/>
            </w:pPr>
            <w:r>
              <w:rPr>
                <w:rFonts w:ascii="方正黑体_GBK" w:hAnsi="方正黑体_GBK" w:eastAsia="方正黑体_GBK" w:cs="宋体"/>
                <w:sz w:val="15"/>
                <w:szCs w:val="20"/>
              </w:rPr>
              <w:t>96008</w:t>
            </w:r>
          </w:p>
        </w:tc>
      </w:tr>
      <w:tr w14:paraId="7C826F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11B2DBB">
            <w:pPr>
              <w:spacing w:line="200" w:lineRule="exact"/>
            </w:pPr>
            <w:r>
              <w:rPr>
                <w:rFonts w:ascii="方正黑体_GBK" w:hAnsi="方正黑体_GBK" w:eastAsia="方正黑体_GBK" w:cs="宋体"/>
                <w:sz w:val="15"/>
                <w:szCs w:val="20"/>
              </w:rPr>
              <w:t>江苏涟水农村商业银行股份有限公司</w:t>
            </w:r>
          </w:p>
        </w:tc>
        <w:tc>
          <w:tcPr>
            <w:tcW w:w="4050" w:type="dxa"/>
            <w:tcMar>
              <w:left w:w="120" w:type="dxa"/>
            </w:tcMar>
            <w:vAlign w:val="center"/>
          </w:tcPr>
          <w:p w14:paraId="405E05B9">
            <w:pPr>
              <w:spacing w:line="200" w:lineRule="exact"/>
            </w:pPr>
            <w:r>
              <w:rPr>
                <w:rFonts w:ascii="方正黑体_GBK" w:hAnsi="方正黑体_GBK" w:eastAsia="方正黑体_GBK" w:cs="宋体"/>
                <w:sz w:val="15"/>
                <w:szCs w:val="20"/>
              </w:rPr>
              <w:t>淮安市涟水县涟城镇涟州路5号</w:t>
            </w:r>
          </w:p>
        </w:tc>
        <w:tc>
          <w:tcPr>
            <w:tcW w:w="1350" w:type="dxa"/>
            <w:tcMar>
              <w:left w:w="120" w:type="dxa"/>
            </w:tcMar>
            <w:vAlign w:val="center"/>
          </w:tcPr>
          <w:p w14:paraId="4BDCBC00">
            <w:pPr>
              <w:spacing w:line="200" w:lineRule="exact"/>
            </w:pPr>
            <w:r>
              <w:rPr>
                <w:rFonts w:ascii="方正黑体_GBK" w:hAnsi="方正黑体_GBK" w:eastAsia="方正黑体_GBK" w:cs="宋体"/>
                <w:sz w:val="15"/>
                <w:szCs w:val="20"/>
              </w:rPr>
              <w:t>96008</w:t>
            </w:r>
          </w:p>
        </w:tc>
      </w:tr>
      <w:tr w14:paraId="5BDBC7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15355A8">
            <w:pPr>
              <w:spacing w:line="200" w:lineRule="exact"/>
            </w:pPr>
            <w:r>
              <w:rPr>
                <w:rFonts w:ascii="方正黑体_GBK" w:hAnsi="方正黑体_GBK" w:eastAsia="方正黑体_GBK" w:cs="宋体"/>
                <w:sz w:val="15"/>
                <w:szCs w:val="20"/>
              </w:rPr>
              <w:t>江苏兴化农村商业银行股份有限公司</w:t>
            </w:r>
          </w:p>
        </w:tc>
        <w:tc>
          <w:tcPr>
            <w:tcW w:w="4050" w:type="dxa"/>
            <w:tcMar>
              <w:left w:w="120" w:type="dxa"/>
            </w:tcMar>
            <w:vAlign w:val="center"/>
          </w:tcPr>
          <w:p w14:paraId="63CD6FBB">
            <w:pPr>
              <w:spacing w:line="200" w:lineRule="exact"/>
            </w:pPr>
            <w:r>
              <w:rPr>
                <w:rFonts w:ascii="方正黑体_GBK" w:hAnsi="方正黑体_GBK" w:eastAsia="方正黑体_GBK" w:cs="宋体"/>
                <w:sz w:val="15"/>
                <w:szCs w:val="20"/>
              </w:rPr>
              <w:t>江苏省兴化市长安南路999号</w:t>
            </w:r>
          </w:p>
        </w:tc>
        <w:tc>
          <w:tcPr>
            <w:tcW w:w="1350" w:type="dxa"/>
            <w:tcMar>
              <w:left w:w="120" w:type="dxa"/>
            </w:tcMar>
            <w:vAlign w:val="center"/>
          </w:tcPr>
          <w:p w14:paraId="43A17844">
            <w:pPr>
              <w:spacing w:line="200" w:lineRule="exact"/>
            </w:pPr>
            <w:r>
              <w:rPr>
                <w:rFonts w:ascii="方正黑体_GBK" w:hAnsi="方正黑体_GBK" w:eastAsia="方正黑体_GBK" w:cs="宋体"/>
                <w:sz w:val="15"/>
                <w:szCs w:val="20"/>
              </w:rPr>
              <w:t>96008</w:t>
            </w:r>
          </w:p>
        </w:tc>
      </w:tr>
      <w:tr w14:paraId="6882B5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3716832">
            <w:pPr>
              <w:spacing w:line="200" w:lineRule="exact"/>
            </w:pPr>
            <w:r>
              <w:rPr>
                <w:rFonts w:ascii="方正黑体_GBK" w:hAnsi="方正黑体_GBK" w:eastAsia="方正黑体_GBK" w:cs="宋体"/>
                <w:sz w:val="15"/>
                <w:szCs w:val="20"/>
              </w:rPr>
              <w:t>江苏镇江农村商业银行股份有限公司</w:t>
            </w:r>
          </w:p>
        </w:tc>
        <w:tc>
          <w:tcPr>
            <w:tcW w:w="4050" w:type="dxa"/>
            <w:tcMar>
              <w:left w:w="120" w:type="dxa"/>
            </w:tcMar>
            <w:vAlign w:val="center"/>
          </w:tcPr>
          <w:p w14:paraId="064D8A5B">
            <w:pPr>
              <w:spacing w:line="200" w:lineRule="exact"/>
            </w:pPr>
            <w:r>
              <w:rPr>
                <w:rFonts w:ascii="方正黑体_GBK" w:hAnsi="方正黑体_GBK" w:eastAsia="方正黑体_GBK" w:cs="宋体"/>
                <w:sz w:val="15"/>
                <w:szCs w:val="20"/>
              </w:rPr>
              <w:t>江苏省镇江市润州区长江路97号</w:t>
            </w:r>
          </w:p>
        </w:tc>
        <w:tc>
          <w:tcPr>
            <w:tcW w:w="1350" w:type="dxa"/>
            <w:tcMar>
              <w:left w:w="120" w:type="dxa"/>
            </w:tcMar>
            <w:vAlign w:val="center"/>
          </w:tcPr>
          <w:p w14:paraId="7A5797E7">
            <w:pPr>
              <w:spacing w:line="200" w:lineRule="exact"/>
            </w:pPr>
            <w:r>
              <w:rPr>
                <w:rFonts w:ascii="方正黑体_GBK" w:hAnsi="方正黑体_GBK" w:eastAsia="方正黑体_GBK" w:cs="宋体"/>
                <w:sz w:val="15"/>
                <w:szCs w:val="20"/>
              </w:rPr>
              <w:t>96008</w:t>
            </w:r>
          </w:p>
        </w:tc>
      </w:tr>
      <w:tr w14:paraId="246F63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C8696BF">
            <w:pPr>
              <w:spacing w:line="200" w:lineRule="exact"/>
            </w:pPr>
            <w:r>
              <w:rPr>
                <w:rFonts w:ascii="方正黑体_GBK" w:hAnsi="方正黑体_GBK" w:eastAsia="方正黑体_GBK" w:cs="宋体"/>
                <w:sz w:val="15"/>
                <w:szCs w:val="20"/>
              </w:rPr>
              <w:t>江苏如皋农村商业银行股份有限公司</w:t>
            </w:r>
          </w:p>
        </w:tc>
        <w:tc>
          <w:tcPr>
            <w:tcW w:w="4050" w:type="dxa"/>
            <w:tcMar>
              <w:left w:w="120" w:type="dxa"/>
            </w:tcMar>
            <w:vAlign w:val="center"/>
          </w:tcPr>
          <w:p w14:paraId="685505E9">
            <w:pPr>
              <w:spacing w:line="200" w:lineRule="exact"/>
            </w:pPr>
            <w:r>
              <w:rPr>
                <w:rFonts w:ascii="方正黑体_GBK" w:hAnsi="方正黑体_GBK" w:eastAsia="方正黑体_GBK" w:cs="宋体"/>
                <w:sz w:val="15"/>
                <w:szCs w:val="20"/>
              </w:rPr>
              <w:t>如皋市如城街道海阳南路999号</w:t>
            </w:r>
          </w:p>
        </w:tc>
        <w:tc>
          <w:tcPr>
            <w:tcW w:w="1350" w:type="dxa"/>
            <w:tcMar>
              <w:left w:w="120" w:type="dxa"/>
            </w:tcMar>
            <w:vAlign w:val="center"/>
          </w:tcPr>
          <w:p w14:paraId="6A8DFFC8">
            <w:pPr>
              <w:spacing w:line="200" w:lineRule="exact"/>
            </w:pPr>
            <w:r>
              <w:rPr>
                <w:rFonts w:ascii="方正黑体_GBK" w:hAnsi="方正黑体_GBK" w:eastAsia="方正黑体_GBK" w:cs="宋体"/>
                <w:sz w:val="15"/>
                <w:szCs w:val="20"/>
              </w:rPr>
              <w:t>96008</w:t>
            </w:r>
          </w:p>
        </w:tc>
      </w:tr>
      <w:tr w14:paraId="6191BF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64AA93C">
            <w:pPr>
              <w:spacing w:line="200" w:lineRule="exact"/>
            </w:pPr>
            <w:r>
              <w:rPr>
                <w:rFonts w:ascii="方正黑体_GBK" w:hAnsi="方正黑体_GBK" w:eastAsia="方正黑体_GBK" w:cs="宋体"/>
                <w:sz w:val="15"/>
                <w:szCs w:val="20"/>
              </w:rPr>
              <w:t>江苏宝应农村商业银行股份有限公司</w:t>
            </w:r>
          </w:p>
        </w:tc>
        <w:tc>
          <w:tcPr>
            <w:tcW w:w="4050" w:type="dxa"/>
            <w:tcMar>
              <w:left w:w="120" w:type="dxa"/>
            </w:tcMar>
            <w:vAlign w:val="center"/>
          </w:tcPr>
          <w:p w14:paraId="7FC880C2">
            <w:pPr>
              <w:spacing w:line="200" w:lineRule="exact"/>
            </w:pPr>
            <w:r>
              <w:rPr>
                <w:rFonts w:ascii="方正黑体_GBK" w:hAnsi="方正黑体_GBK" w:eastAsia="方正黑体_GBK" w:cs="宋体"/>
                <w:sz w:val="15"/>
                <w:szCs w:val="20"/>
              </w:rPr>
              <w:t>江苏省宝应县文津路1号</w:t>
            </w:r>
          </w:p>
        </w:tc>
        <w:tc>
          <w:tcPr>
            <w:tcW w:w="1350" w:type="dxa"/>
            <w:tcMar>
              <w:left w:w="120" w:type="dxa"/>
            </w:tcMar>
            <w:vAlign w:val="center"/>
          </w:tcPr>
          <w:p w14:paraId="2CC81E3D">
            <w:pPr>
              <w:spacing w:line="200" w:lineRule="exact"/>
            </w:pPr>
            <w:r>
              <w:rPr>
                <w:rFonts w:ascii="方正黑体_GBK" w:hAnsi="方正黑体_GBK" w:eastAsia="方正黑体_GBK" w:cs="宋体"/>
                <w:sz w:val="15"/>
                <w:szCs w:val="20"/>
              </w:rPr>
              <w:t>96008</w:t>
            </w:r>
          </w:p>
        </w:tc>
      </w:tr>
      <w:tr w14:paraId="607A75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0154FF3">
            <w:pPr>
              <w:spacing w:line="200" w:lineRule="exact"/>
            </w:pPr>
            <w:r>
              <w:rPr>
                <w:rFonts w:ascii="方正黑体_GBK" w:hAnsi="方正黑体_GBK" w:eastAsia="方正黑体_GBK" w:cs="宋体"/>
                <w:sz w:val="15"/>
                <w:szCs w:val="20"/>
              </w:rPr>
              <w:t>徐州农村商业银行股份有限公司</w:t>
            </w:r>
          </w:p>
        </w:tc>
        <w:tc>
          <w:tcPr>
            <w:tcW w:w="4050" w:type="dxa"/>
            <w:tcMar>
              <w:left w:w="120" w:type="dxa"/>
            </w:tcMar>
            <w:vAlign w:val="center"/>
          </w:tcPr>
          <w:p w14:paraId="7DF0CB1E">
            <w:pPr>
              <w:spacing w:line="200" w:lineRule="exact"/>
            </w:pPr>
            <w:r>
              <w:rPr>
                <w:rFonts w:ascii="方正黑体_GBK" w:hAnsi="方正黑体_GBK" w:eastAsia="方正黑体_GBK" w:cs="宋体"/>
                <w:sz w:val="15"/>
                <w:szCs w:val="20"/>
              </w:rPr>
              <w:t>徐州市铜山区北京南路26号</w:t>
            </w:r>
          </w:p>
        </w:tc>
        <w:tc>
          <w:tcPr>
            <w:tcW w:w="1350" w:type="dxa"/>
            <w:tcMar>
              <w:left w:w="120" w:type="dxa"/>
            </w:tcMar>
            <w:vAlign w:val="center"/>
          </w:tcPr>
          <w:p w14:paraId="5CA47825">
            <w:pPr>
              <w:spacing w:line="200" w:lineRule="exact"/>
            </w:pPr>
            <w:r>
              <w:rPr>
                <w:rFonts w:ascii="方正黑体_GBK" w:hAnsi="方正黑体_GBK" w:eastAsia="方正黑体_GBK" w:cs="宋体"/>
                <w:sz w:val="15"/>
                <w:szCs w:val="20"/>
              </w:rPr>
              <w:t>96008</w:t>
            </w:r>
          </w:p>
        </w:tc>
      </w:tr>
      <w:tr w14:paraId="12D398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22E3645">
            <w:pPr>
              <w:spacing w:line="200" w:lineRule="exact"/>
            </w:pPr>
            <w:r>
              <w:rPr>
                <w:rFonts w:ascii="方正黑体_GBK" w:hAnsi="方正黑体_GBK" w:eastAsia="方正黑体_GBK" w:cs="宋体"/>
                <w:sz w:val="15"/>
                <w:szCs w:val="20"/>
              </w:rPr>
              <w:t>枣庄银行股份有限公司</w:t>
            </w:r>
          </w:p>
        </w:tc>
        <w:tc>
          <w:tcPr>
            <w:tcW w:w="4050" w:type="dxa"/>
            <w:tcMar>
              <w:left w:w="120" w:type="dxa"/>
            </w:tcMar>
            <w:vAlign w:val="center"/>
          </w:tcPr>
          <w:p w14:paraId="5BAA4EF8">
            <w:pPr>
              <w:spacing w:line="200" w:lineRule="exact"/>
            </w:pPr>
            <w:r>
              <w:rPr>
                <w:rFonts w:ascii="方正黑体_GBK" w:hAnsi="方正黑体_GBK" w:eastAsia="方正黑体_GBK" w:cs="宋体"/>
                <w:sz w:val="15"/>
                <w:szCs w:val="20"/>
              </w:rPr>
              <w:t>山东省枣庄市薛城区光明大道1666号</w:t>
            </w:r>
          </w:p>
        </w:tc>
        <w:tc>
          <w:tcPr>
            <w:tcW w:w="1350" w:type="dxa"/>
            <w:tcMar>
              <w:left w:w="120" w:type="dxa"/>
            </w:tcMar>
            <w:vAlign w:val="center"/>
          </w:tcPr>
          <w:p w14:paraId="33326430">
            <w:pPr>
              <w:spacing w:line="200" w:lineRule="exact"/>
            </w:pPr>
            <w:r>
              <w:rPr>
                <w:rFonts w:ascii="方正黑体_GBK" w:hAnsi="方正黑体_GBK" w:eastAsia="方正黑体_GBK" w:cs="宋体"/>
                <w:sz w:val="15"/>
                <w:szCs w:val="20"/>
              </w:rPr>
              <w:t>4008196588</w:t>
            </w:r>
          </w:p>
        </w:tc>
      </w:tr>
      <w:tr w14:paraId="78231C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E70ED33">
            <w:pPr>
              <w:spacing w:line="200" w:lineRule="exact"/>
            </w:pPr>
            <w:r>
              <w:rPr>
                <w:rFonts w:ascii="方正黑体_GBK" w:hAnsi="方正黑体_GBK" w:eastAsia="方正黑体_GBK" w:cs="宋体"/>
                <w:sz w:val="15"/>
                <w:szCs w:val="20"/>
              </w:rPr>
              <w:t>海南银行股份有限公司</w:t>
            </w:r>
          </w:p>
        </w:tc>
        <w:tc>
          <w:tcPr>
            <w:tcW w:w="4050" w:type="dxa"/>
            <w:tcMar>
              <w:left w:w="120" w:type="dxa"/>
            </w:tcMar>
            <w:vAlign w:val="center"/>
          </w:tcPr>
          <w:p w14:paraId="439BA925">
            <w:pPr>
              <w:spacing w:line="200" w:lineRule="exact"/>
            </w:pPr>
            <w:r>
              <w:rPr>
                <w:rFonts w:ascii="方正黑体_GBK" w:hAnsi="方正黑体_GBK" w:eastAsia="方正黑体_GBK" w:cs="宋体"/>
                <w:sz w:val="15"/>
                <w:szCs w:val="20"/>
              </w:rPr>
              <w:t>海南省海口市龙华区海秀东路31号</w:t>
            </w:r>
          </w:p>
        </w:tc>
        <w:tc>
          <w:tcPr>
            <w:tcW w:w="1350" w:type="dxa"/>
            <w:tcMar>
              <w:left w:w="120" w:type="dxa"/>
            </w:tcMar>
            <w:vAlign w:val="center"/>
          </w:tcPr>
          <w:p w14:paraId="63254C77">
            <w:pPr>
              <w:spacing w:line="200" w:lineRule="exact"/>
            </w:pPr>
            <w:r>
              <w:rPr>
                <w:rFonts w:ascii="方正黑体_GBK" w:hAnsi="方正黑体_GBK" w:eastAsia="方正黑体_GBK" w:cs="宋体"/>
                <w:sz w:val="15"/>
                <w:szCs w:val="20"/>
              </w:rPr>
              <w:t>0898-66505978</w:t>
            </w:r>
          </w:p>
        </w:tc>
      </w:tr>
      <w:tr w14:paraId="06C21E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A2C3973">
            <w:pPr>
              <w:spacing w:line="200" w:lineRule="exact"/>
            </w:pPr>
            <w:r>
              <w:rPr>
                <w:rFonts w:ascii="方正黑体_GBK" w:hAnsi="方正黑体_GBK" w:eastAsia="方正黑体_GBK" w:cs="宋体"/>
                <w:sz w:val="15"/>
                <w:szCs w:val="20"/>
              </w:rPr>
              <w:t>江苏丰县农村商业银行股份有限公司</w:t>
            </w:r>
          </w:p>
        </w:tc>
        <w:tc>
          <w:tcPr>
            <w:tcW w:w="4050" w:type="dxa"/>
            <w:tcMar>
              <w:left w:w="120" w:type="dxa"/>
            </w:tcMar>
            <w:vAlign w:val="center"/>
          </w:tcPr>
          <w:p w14:paraId="17D02B6D">
            <w:pPr>
              <w:spacing w:line="200" w:lineRule="exact"/>
            </w:pPr>
            <w:r>
              <w:rPr>
                <w:rFonts w:ascii="方正黑体_GBK" w:hAnsi="方正黑体_GBK" w:eastAsia="方正黑体_GBK" w:cs="宋体"/>
                <w:sz w:val="15"/>
                <w:szCs w:val="20"/>
              </w:rPr>
              <w:t>江苏省丰县人民中路9号</w:t>
            </w:r>
          </w:p>
        </w:tc>
        <w:tc>
          <w:tcPr>
            <w:tcW w:w="1350" w:type="dxa"/>
            <w:tcMar>
              <w:left w:w="120" w:type="dxa"/>
            </w:tcMar>
            <w:vAlign w:val="center"/>
          </w:tcPr>
          <w:p w14:paraId="252C9C85">
            <w:pPr>
              <w:spacing w:line="200" w:lineRule="exact"/>
            </w:pPr>
            <w:r>
              <w:rPr>
                <w:rFonts w:ascii="方正黑体_GBK" w:hAnsi="方正黑体_GBK" w:eastAsia="方正黑体_GBK" w:cs="宋体"/>
                <w:sz w:val="15"/>
                <w:szCs w:val="20"/>
              </w:rPr>
              <w:t>96008</w:t>
            </w:r>
          </w:p>
        </w:tc>
      </w:tr>
      <w:tr w14:paraId="13A417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F685EA6">
            <w:pPr>
              <w:spacing w:line="200" w:lineRule="exact"/>
            </w:pPr>
            <w:r>
              <w:rPr>
                <w:rFonts w:ascii="方正黑体_GBK" w:hAnsi="方正黑体_GBK" w:eastAsia="方正黑体_GBK" w:cs="宋体"/>
                <w:sz w:val="15"/>
                <w:szCs w:val="20"/>
              </w:rPr>
              <w:t>江苏射阳农村商业银行股份有限公司</w:t>
            </w:r>
          </w:p>
        </w:tc>
        <w:tc>
          <w:tcPr>
            <w:tcW w:w="4050" w:type="dxa"/>
            <w:tcMar>
              <w:left w:w="120" w:type="dxa"/>
            </w:tcMar>
            <w:vAlign w:val="center"/>
          </w:tcPr>
          <w:p w14:paraId="43A83BDF">
            <w:pPr>
              <w:spacing w:line="200" w:lineRule="exact"/>
            </w:pPr>
            <w:r>
              <w:rPr>
                <w:rFonts w:ascii="方正黑体_GBK" w:hAnsi="方正黑体_GBK" w:eastAsia="方正黑体_GBK" w:cs="宋体"/>
                <w:sz w:val="15"/>
                <w:szCs w:val="20"/>
              </w:rPr>
              <w:t>射阳县合德镇解放路385号</w:t>
            </w:r>
          </w:p>
        </w:tc>
        <w:tc>
          <w:tcPr>
            <w:tcW w:w="1350" w:type="dxa"/>
            <w:tcMar>
              <w:left w:w="120" w:type="dxa"/>
            </w:tcMar>
            <w:vAlign w:val="center"/>
          </w:tcPr>
          <w:p w14:paraId="370F912F">
            <w:pPr>
              <w:spacing w:line="200" w:lineRule="exact"/>
            </w:pPr>
            <w:r>
              <w:rPr>
                <w:rFonts w:ascii="方正黑体_GBK" w:hAnsi="方正黑体_GBK" w:eastAsia="方正黑体_GBK" w:cs="宋体"/>
                <w:sz w:val="15"/>
                <w:szCs w:val="20"/>
              </w:rPr>
              <w:t>96008</w:t>
            </w:r>
          </w:p>
        </w:tc>
      </w:tr>
      <w:tr w14:paraId="38164F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00D4739">
            <w:pPr>
              <w:spacing w:line="200" w:lineRule="exact"/>
            </w:pPr>
            <w:r>
              <w:rPr>
                <w:rFonts w:ascii="方正黑体_GBK" w:hAnsi="方正黑体_GBK" w:eastAsia="方正黑体_GBK" w:cs="宋体"/>
                <w:sz w:val="15"/>
                <w:szCs w:val="20"/>
              </w:rPr>
              <w:t>江苏句容农村商业银行股份有限公司</w:t>
            </w:r>
          </w:p>
        </w:tc>
        <w:tc>
          <w:tcPr>
            <w:tcW w:w="4050" w:type="dxa"/>
            <w:tcMar>
              <w:left w:w="120" w:type="dxa"/>
            </w:tcMar>
            <w:vAlign w:val="center"/>
          </w:tcPr>
          <w:p w14:paraId="46A32604">
            <w:pPr>
              <w:spacing w:line="200" w:lineRule="exact"/>
            </w:pPr>
            <w:r>
              <w:rPr>
                <w:rFonts w:ascii="方正黑体_GBK" w:hAnsi="方正黑体_GBK" w:eastAsia="方正黑体_GBK" w:cs="宋体"/>
                <w:sz w:val="15"/>
                <w:szCs w:val="20"/>
              </w:rPr>
              <w:t>江苏省句容市福地东路66号</w:t>
            </w:r>
          </w:p>
        </w:tc>
        <w:tc>
          <w:tcPr>
            <w:tcW w:w="1350" w:type="dxa"/>
            <w:tcMar>
              <w:left w:w="120" w:type="dxa"/>
            </w:tcMar>
            <w:vAlign w:val="center"/>
          </w:tcPr>
          <w:p w14:paraId="23D24D89">
            <w:pPr>
              <w:spacing w:line="200" w:lineRule="exact"/>
            </w:pPr>
            <w:r>
              <w:rPr>
                <w:rFonts w:ascii="方正黑体_GBK" w:hAnsi="方正黑体_GBK" w:eastAsia="方正黑体_GBK" w:cs="宋体"/>
                <w:sz w:val="15"/>
                <w:szCs w:val="20"/>
              </w:rPr>
              <w:t>96008</w:t>
            </w:r>
          </w:p>
        </w:tc>
      </w:tr>
      <w:tr w14:paraId="172952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E4902D7">
            <w:pPr>
              <w:spacing w:line="200" w:lineRule="exact"/>
            </w:pPr>
            <w:r>
              <w:rPr>
                <w:rFonts w:ascii="方正黑体_GBK" w:hAnsi="方正黑体_GBK" w:eastAsia="方正黑体_GBK" w:cs="宋体"/>
                <w:sz w:val="15"/>
                <w:szCs w:val="20"/>
              </w:rPr>
              <w:t>江苏泗洪农村商业银行股份有限公司</w:t>
            </w:r>
          </w:p>
        </w:tc>
        <w:tc>
          <w:tcPr>
            <w:tcW w:w="4050" w:type="dxa"/>
            <w:tcMar>
              <w:left w:w="120" w:type="dxa"/>
            </w:tcMar>
            <w:vAlign w:val="center"/>
          </w:tcPr>
          <w:p w14:paraId="0620A76C">
            <w:pPr>
              <w:spacing w:line="200" w:lineRule="exact"/>
            </w:pPr>
            <w:r>
              <w:rPr>
                <w:rFonts w:ascii="方正黑体_GBK" w:hAnsi="方正黑体_GBK" w:eastAsia="方正黑体_GBK" w:cs="宋体"/>
                <w:sz w:val="15"/>
                <w:szCs w:val="20"/>
              </w:rPr>
              <w:t>江苏省宿迁市泗洪县长江东路17号</w:t>
            </w:r>
          </w:p>
        </w:tc>
        <w:tc>
          <w:tcPr>
            <w:tcW w:w="1350" w:type="dxa"/>
            <w:tcMar>
              <w:left w:w="120" w:type="dxa"/>
            </w:tcMar>
            <w:vAlign w:val="center"/>
          </w:tcPr>
          <w:p w14:paraId="58625441">
            <w:pPr>
              <w:spacing w:line="200" w:lineRule="exact"/>
            </w:pPr>
            <w:r>
              <w:rPr>
                <w:rFonts w:ascii="方正黑体_GBK" w:hAnsi="方正黑体_GBK" w:eastAsia="方正黑体_GBK" w:cs="宋体"/>
                <w:sz w:val="15"/>
                <w:szCs w:val="20"/>
              </w:rPr>
              <w:t>96008</w:t>
            </w:r>
          </w:p>
        </w:tc>
      </w:tr>
      <w:tr w14:paraId="4ACFF3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3B011EE">
            <w:pPr>
              <w:spacing w:line="200" w:lineRule="exact"/>
            </w:pPr>
            <w:r>
              <w:rPr>
                <w:rFonts w:ascii="方正黑体_GBK" w:hAnsi="方正黑体_GBK" w:eastAsia="方正黑体_GBK" w:cs="宋体"/>
                <w:sz w:val="15"/>
                <w:szCs w:val="20"/>
              </w:rPr>
              <w:t>江苏泗阳农村商业银行股份有限公司</w:t>
            </w:r>
          </w:p>
        </w:tc>
        <w:tc>
          <w:tcPr>
            <w:tcW w:w="4050" w:type="dxa"/>
            <w:tcMar>
              <w:left w:w="120" w:type="dxa"/>
            </w:tcMar>
            <w:vAlign w:val="center"/>
          </w:tcPr>
          <w:p w14:paraId="3155A6EB">
            <w:pPr>
              <w:spacing w:line="200" w:lineRule="exact"/>
            </w:pPr>
            <w:r>
              <w:rPr>
                <w:rFonts w:ascii="方正黑体_GBK" w:hAnsi="方正黑体_GBK" w:eastAsia="方正黑体_GBK" w:cs="宋体"/>
                <w:sz w:val="15"/>
                <w:szCs w:val="20"/>
              </w:rPr>
              <w:t>宿迁市泗阳县众兴镇北京中路21号</w:t>
            </w:r>
          </w:p>
        </w:tc>
        <w:tc>
          <w:tcPr>
            <w:tcW w:w="1350" w:type="dxa"/>
            <w:tcMar>
              <w:left w:w="120" w:type="dxa"/>
            </w:tcMar>
            <w:vAlign w:val="center"/>
          </w:tcPr>
          <w:p w14:paraId="04312907">
            <w:pPr>
              <w:spacing w:line="200" w:lineRule="exact"/>
            </w:pPr>
            <w:r>
              <w:rPr>
                <w:rFonts w:ascii="方正黑体_GBK" w:hAnsi="方正黑体_GBK" w:eastAsia="方正黑体_GBK" w:cs="宋体"/>
                <w:sz w:val="15"/>
                <w:szCs w:val="20"/>
              </w:rPr>
              <w:t>96008</w:t>
            </w:r>
          </w:p>
        </w:tc>
      </w:tr>
      <w:tr w14:paraId="566FFE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37C67FA">
            <w:pPr>
              <w:spacing w:line="200" w:lineRule="exact"/>
            </w:pPr>
            <w:r>
              <w:rPr>
                <w:rFonts w:ascii="方正黑体_GBK" w:hAnsi="方正黑体_GBK" w:eastAsia="方正黑体_GBK" w:cs="宋体"/>
                <w:sz w:val="15"/>
                <w:szCs w:val="20"/>
              </w:rPr>
              <w:t>江苏张家港农村商业银行股份有限公司</w:t>
            </w:r>
          </w:p>
        </w:tc>
        <w:tc>
          <w:tcPr>
            <w:tcW w:w="4050" w:type="dxa"/>
            <w:tcMar>
              <w:left w:w="120" w:type="dxa"/>
            </w:tcMar>
            <w:vAlign w:val="center"/>
          </w:tcPr>
          <w:p w14:paraId="7E6DF116">
            <w:pPr>
              <w:spacing w:line="200" w:lineRule="exact"/>
            </w:pPr>
            <w:r>
              <w:rPr>
                <w:rFonts w:ascii="方正黑体_GBK" w:hAnsi="方正黑体_GBK" w:eastAsia="方正黑体_GBK" w:cs="宋体"/>
                <w:sz w:val="15"/>
                <w:szCs w:val="20"/>
              </w:rPr>
              <w:t>张家港市杨舍镇人民中路66号</w:t>
            </w:r>
          </w:p>
        </w:tc>
        <w:tc>
          <w:tcPr>
            <w:tcW w:w="1350" w:type="dxa"/>
            <w:tcMar>
              <w:left w:w="120" w:type="dxa"/>
            </w:tcMar>
            <w:vAlign w:val="center"/>
          </w:tcPr>
          <w:p w14:paraId="7E269D9E">
            <w:pPr>
              <w:spacing w:line="200" w:lineRule="exact"/>
            </w:pPr>
            <w:r>
              <w:rPr>
                <w:rFonts w:ascii="方正黑体_GBK" w:hAnsi="方正黑体_GBK" w:eastAsia="方正黑体_GBK" w:cs="宋体"/>
                <w:sz w:val="15"/>
                <w:szCs w:val="20"/>
              </w:rPr>
              <w:t>96065</w:t>
            </w:r>
          </w:p>
        </w:tc>
      </w:tr>
      <w:tr w14:paraId="4EB065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A409D7A">
            <w:pPr>
              <w:spacing w:line="200" w:lineRule="exact"/>
            </w:pPr>
            <w:r>
              <w:rPr>
                <w:rFonts w:ascii="方正黑体_GBK" w:hAnsi="方正黑体_GBK" w:eastAsia="方正黑体_GBK" w:cs="宋体"/>
                <w:sz w:val="15"/>
                <w:szCs w:val="20"/>
              </w:rPr>
              <w:t>江苏江阴农村商业银行股份有限公司</w:t>
            </w:r>
          </w:p>
        </w:tc>
        <w:tc>
          <w:tcPr>
            <w:tcW w:w="4050" w:type="dxa"/>
            <w:tcMar>
              <w:left w:w="120" w:type="dxa"/>
            </w:tcMar>
            <w:vAlign w:val="center"/>
          </w:tcPr>
          <w:p w14:paraId="61A8149F">
            <w:pPr>
              <w:spacing w:line="200" w:lineRule="exact"/>
            </w:pPr>
            <w:r>
              <w:rPr>
                <w:rFonts w:ascii="方正黑体_GBK" w:hAnsi="方正黑体_GBK" w:eastAsia="方正黑体_GBK" w:cs="宋体"/>
                <w:sz w:val="15"/>
                <w:szCs w:val="20"/>
              </w:rPr>
              <w:t>江阴市澄江中路1号</w:t>
            </w:r>
          </w:p>
        </w:tc>
        <w:tc>
          <w:tcPr>
            <w:tcW w:w="1350" w:type="dxa"/>
            <w:tcMar>
              <w:left w:w="120" w:type="dxa"/>
            </w:tcMar>
            <w:vAlign w:val="center"/>
          </w:tcPr>
          <w:p w14:paraId="2B5A40F6">
            <w:pPr>
              <w:spacing w:line="200" w:lineRule="exact"/>
            </w:pPr>
            <w:r>
              <w:rPr>
                <w:rFonts w:ascii="方正黑体_GBK" w:hAnsi="方正黑体_GBK" w:eastAsia="方正黑体_GBK" w:cs="宋体"/>
                <w:sz w:val="15"/>
                <w:szCs w:val="20"/>
              </w:rPr>
              <w:t>96078</w:t>
            </w:r>
          </w:p>
        </w:tc>
      </w:tr>
      <w:tr w14:paraId="5D8646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9901FD7">
            <w:pPr>
              <w:spacing w:line="200" w:lineRule="exact"/>
            </w:pPr>
            <w:r>
              <w:rPr>
                <w:rFonts w:ascii="方正黑体_GBK" w:hAnsi="方正黑体_GBK" w:eastAsia="方正黑体_GBK" w:cs="宋体"/>
                <w:sz w:val="15"/>
                <w:szCs w:val="20"/>
              </w:rPr>
              <w:t>江苏东海农村商业银行股份有限公司</w:t>
            </w:r>
          </w:p>
        </w:tc>
        <w:tc>
          <w:tcPr>
            <w:tcW w:w="4050" w:type="dxa"/>
            <w:tcMar>
              <w:left w:w="120" w:type="dxa"/>
            </w:tcMar>
            <w:vAlign w:val="center"/>
          </w:tcPr>
          <w:p w14:paraId="5C134E8C">
            <w:pPr>
              <w:spacing w:line="200" w:lineRule="exact"/>
            </w:pPr>
            <w:r>
              <w:rPr>
                <w:rFonts w:ascii="方正黑体_GBK" w:hAnsi="方正黑体_GBK" w:eastAsia="方正黑体_GBK" w:cs="宋体"/>
                <w:sz w:val="15"/>
                <w:szCs w:val="20"/>
              </w:rPr>
              <w:t>连云港市东海县牛山镇海陵东路8号</w:t>
            </w:r>
          </w:p>
        </w:tc>
        <w:tc>
          <w:tcPr>
            <w:tcW w:w="1350" w:type="dxa"/>
            <w:tcMar>
              <w:left w:w="120" w:type="dxa"/>
            </w:tcMar>
            <w:vAlign w:val="center"/>
          </w:tcPr>
          <w:p w14:paraId="71522A6D">
            <w:pPr>
              <w:spacing w:line="200" w:lineRule="exact"/>
            </w:pPr>
            <w:r>
              <w:rPr>
                <w:rFonts w:ascii="方正黑体_GBK" w:hAnsi="方正黑体_GBK" w:eastAsia="方正黑体_GBK" w:cs="宋体"/>
                <w:sz w:val="15"/>
                <w:szCs w:val="20"/>
              </w:rPr>
              <w:t>96008</w:t>
            </w:r>
          </w:p>
        </w:tc>
      </w:tr>
      <w:tr w14:paraId="7E6FB6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F065C4F">
            <w:pPr>
              <w:spacing w:line="200" w:lineRule="exact"/>
            </w:pPr>
            <w:r>
              <w:rPr>
                <w:rFonts w:ascii="方正黑体_GBK" w:hAnsi="方正黑体_GBK" w:eastAsia="方正黑体_GBK" w:cs="宋体"/>
                <w:sz w:val="15"/>
                <w:szCs w:val="20"/>
              </w:rPr>
              <w:t>江苏高邮农村商业银行股份有限公司</w:t>
            </w:r>
          </w:p>
        </w:tc>
        <w:tc>
          <w:tcPr>
            <w:tcW w:w="4050" w:type="dxa"/>
            <w:tcMar>
              <w:left w:w="120" w:type="dxa"/>
            </w:tcMar>
            <w:vAlign w:val="center"/>
          </w:tcPr>
          <w:p w14:paraId="5E9586F2">
            <w:pPr>
              <w:spacing w:line="200" w:lineRule="exact"/>
            </w:pPr>
            <w:r>
              <w:rPr>
                <w:rFonts w:ascii="方正黑体_GBK" w:hAnsi="方正黑体_GBK" w:eastAsia="方正黑体_GBK" w:cs="宋体"/>
                <w:sz w:val="15"/>
                <w:szCs w:val="20"/>
              </w:rPr>
              <w:t>高邮市文游中路28号</w:t>
            </w:r>
          </w:p>
        </w:tc>
        <w:tc>
          <w:tcPr>
            <w:tcW w:w="1350" w:type="dxa"/>
            <w:tcMar>
              <w:left w:w="120" w:type="dxa"/>
            </w:tcMar>
            <w:vAlign w:val="center"/>
          </w:tcPr>
          <w:p w14:paraId="0F4E3847">
            <w:pPr>
              <w:spacing w:line="200" w:lineRule="exact"/>
            </w:pPr>
            <w:r>
              <w:rPr>
                <w:rFonts w:ascii="方正黑体_GBK" w:hAnsi="方正黑体_GBK" w:eastAsia="方正黑体_GBK" w:cs="宋体"/>
                <w:sz w:val="15"/>
                <w:szCs w:val="20"/>
              </w:rPr>
              <w:t>96008</w:t>
            </w:r>
          </w:p>
        </w:tc>
      </w:tr>
      <w:tr w14:paraId="754A38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3DA8272">
            <w:pPr>
              <w:spacing w:line="200" w:lineRule="exact"/>
            </w:pPr>
            <w:r>
              <w:rPr>
                <w:rFonts w:ascii="方正黑体_GBK" w:hAnsi="方正黑体_GBK" w:eastAsia="方正黑体_GBK" w:cs="宋体"/>
                <w:sz w:val="15"/>
                <w:szCs w:val="20"/>
              </w:rPr>
              <w:t>廊坊银行股份有限公司</w:t>
            </w:r>
          </w:p>
        </w:tc>
        <w:tc>
          <w:tcPr>
            <w:tcW w:w="4050" w:type="dxa"/>
            <w:tcMar>
              <w:left w:w="120" w:type="dxa"/>
            </w:tcMar>
            <w:vAlign w:val="center"/>
          </w:tcPr>
          <w:p w14:paraId="494927ED">
            <w:pPr>
              <w:spacing w:line="200" w:lineRule="exact"/>
            </w:pPr>
            <w:r>
              <w:rPr>
                <w:rFonts w:ascii="方正黑体_GBK" w:hAnsi="方正黑体_GBK" w:eastAsia="方正黑体_GBK" w:cs="宋体"/>
                <w:sz w:val="15"/>
                <w:szCs w:val="20"/>
              </w:rPr>
              <w:t>河北省廊坊市广阳区广阳道 31 号</w:t>
            </w:r>
          </w:p>
        </w:tc>
        <w:tc>
          <w:tcPr>
            <w:tcW w:w="1350" w:type="dxa"/>
            <w:tcMar>
              <w:left w:w="120" w:type="dxa"/>
            </w:tcMar>
            <w:vAlign w:val="center"/>
          </w:tcPr>
          <w:p w14:paraId="3B8A296C">
            <w:pPr>
              <w:spacing w:line="200" w:lineRule="exact"/>
            </w:pPr>
            <w:r>
              <w:rPr>
                <w:rFonts w:ascii="方正黑体_GBK" w:hAnsi="方正黑体_GBK" w:eastAsia="方正黑体_GBK" w:cs="宋体"/>
                <w:sz w:val="15"/>
                <w:szCs w:val="20"/>
              </w:rPr>
              <w:t>400-620-0099</w:t>
            </w:r>
          </w:p>
        </w:tc>
      </w:tr>
      <w:tr w14:paraId="63CF1C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ACD1BDB">
            <w:pPr>
              <w:spacing w:line="200" w:lineRule="exact"/>
            </w:pPr>
            <w:r>
              <w:rPr>
                <w:rFonts w:ascii="方正黑体_GBK" w:hAnsi="方正黑体_GBK" w:eastAsia="方正黑体_GBK" w:cs="宋体"/>
                <w:sz w:val="15"/>
                <w:szCs w:val="20"/>
              </w:rPr>
              <w:t>乌鲁木齐银行股份有限公司</w:t>
            </w:r>
          </w:p>
        </w:tc>
        <w:tc>
          <w:tcPr>
            <w:tcW w:w="4050" w:type="dxa"/>
            <w:tcMar>
              <w:left w:w="120" w:type="dxa"/>
            </w:tcMar>
            <w:vAlign w:val="center"/>
          </w:tcPr>
          <w:p w14:paraId="3005A812">
            <w:pPr>
              <w:spacing w:line="200" w:lineRule="exact"/>
            </w:pPr>
            <w:r>
              <w:rPr>
                <w:rFonts w:ascii="方正黑体_GBK" w:hAnsi="方正黑体_GBK" w:eastAsia="方正黑体_GBK" w:cs="宋体"/>
                <w:sz w:val="15"/>
                <w:szCs w:val="20"/>
              </w:rPr>
              <w:t>新疆乌鲁木齐市水磨沟区会展大道 599 号新疆财富中心 A 座 4-31 层</w:t>
            </w:r>
          </w:p>
        </w:tc>
        <w:tc>
          <w:tcPr>
            <w:tcW w:w="1350" w:type="dxa"/>
            <w:tcMar>
              <w:left w:w="120" w:type="dxa"/>
            </w:tcMar>
            <w:vAlign w:val="center"/>
          </w:tcPr>
          <w:p w14:paraId="631F1DF6">
            <w:pPr>
              <w:spacing w:line="200" w:lineRule="exact"/>
            </w:pPr>
            <w:r>
              <w:rPr>
                <w:rFonts w:ascii="方正黑体_GBK" w:hAnsi="方正黑体_GBK" w:eastAsia="方正黑体_GBK" w:cs="宋体"/>
                <w:sz w:val="15"/>
                <w:szCs w:val="20"/>
              </w:rPr>
              <w:t>0991-96518</w:t>
            </w:r>
          </w:p>
        </w:tc>
      </w:tr>
      <w:tr w14:paraId="2F9AD6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E4AD082">
            <w:pPr>
              <w:spacing w:line="200" w:lineRule="exact"/>
            </w:pPr>
            <w:r>
              <w:rPr>
                <w:rFonts w:ascii="方正黑体_GBK" w:hAnsi="方正黑体_GBK" w:eastAsia="方正黑体_GBK" w:cs="宋体"/>
                <w:sz w:val="15"/>
                <w:szCs w:val="20"/>
              </w:rPr>
              <w:t>徽商银行股份有限公司</w:t>
            </w:r>
          </w:p>
        </w:tc>
        <w:tc>
          <w:tcPr>
            <w:tcW w:w="4050" w:type="dxa"/>
            <w:tcMar>
              <w:left w:w="120" w:type="dxa"/>
            </w:tcMar>
            <w:vAlign w:val="center"/>
          </w:tcPr>
          <w:p w14:paraId="12A9547A">
            <w:pPr>
              <w:spacing w:line="200" w:lineRule="exact"/>
            </w:pPr>
            <w:r>
              <w:rPr>
                <w:rFonts w:ascii="方正黑体_GBK" w:hAnsi="方正黑体_GBK" w:eastAsia="方正黑体_GBK" w:cs="宋体"/>
                <w:sz w:val="15"/>
                <w:szCs w:val="20"/>
              </w:rPr>
              <w:t>安徽省合肥市云谷路1699号徽银大厦</w:t>
            </w:r>
          </w:p>
        </w:tc>
        <w:tc>
          <w:tcPr>
            <w:tcW w:w="1350" w:type="dxa"/>
            <w:tcMar>
              <w:left w:w="120" w:type="dxa"/>
            </w:tcMar>
            <w:vAlign w:val="center"/>
          </w:tcPr>
          <w:p w14:paraId="042E0323">
            <w:pPr>
              <w:spacing w:line="200" w:lineRule="exact"/>
            </w:pPr>
            <w:r>
              <w:rPr>
                <w:rFonts w:ascii="方正黑体_GBK" w:hAnsi="方正黑体_GBK" w:eastAsia="方正黑体_GBK" w:cs="宋体"/>
                <w:sz w:val="15"/>
                <w:szCs w:val="20"/>
              </w:rPr>
              <w:t>40088-96588</w:t>
            </w:r>
          </w:p>
        </w:tc>
      </w:tr>
      <w:tr w14:paraId="528B2E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BB107B5">
            <w:pPr>
              <w:spacing w:line="200" w:lineRule="exact"/>
            </w:pPr>
            <w:r>
              <w:rPr>
                <w:rFonts w:ascii="方正黑体_GBK" w:hAnsi="方正黑体_GBK" w:eastAsia="方正黑体_GBK" w:cs="宋体"/>
                <w:sz w:val="15"/>
                <w:szCs w:val="20"/>
              </w:rPr>
              <w:t>郑州银行股份有限公司</w:t>
            </w:r>
          </w:p>
        </w:tc>
        <w:tc>
          <w:tcPr>
            <w:tcW w:w="4050" w:type="dxa"/>
            <w:tcMar>
              <w:left w:w="120" w:type="dxa"/>
            </w:tcMar>
            <w:vAlign w:val="center"/>
          </w:tcPr>
          <w:p w14:paraId="693D783B">
            <w:pPr>
              <w:spacing w:line="200" w:lineRule="exact"/>
            </w:pPr>
            <w:r>
              <w:rPr>
                <w:rFonts w:ascii="方正黑体_GBK" w:hAnsi="方正黑体_GBK" w:eastAsia="方正黑体_GBK" w:cs="宋体"/>
                <w:sz w:val="15"/>
                <w:szCs w:val="20"/>
              </w:rPr>
              <w:t>郑州市郑东新区商务外环路22号</w:t>
            </w:r>
          </w:p>
        </w:tc>
        <w:tc>
          <w:tcPr>
            <w:tcW w:w="1350" w:type="dxa"/>
            <w:tcMar>
              <w:left w:w="120" w:type="dxa"/>
            </w:tcMar>
            <w:vAlign w:val="center"/>
          </w:tcPr>
          <w:p w14:paraId="0A19224D">
            <w:pPr>
              <w:spacing w:line="200" w:lineRule="exact"/>
            </w:pPr>
            <w:r>
              <w:rPr>
                <w:rFonts w:ascii="方正黑体_GBK" w:hAnsi="方正黑体_GBK" w:eastAsia="方正黑体_GBK" w:cs="宋体"/>
                <w:sz w:val="15"/>
                <w:szCs w:val="20"/>
              </w:rPr>
              <w:t>95097</w:t>
            </w:r>
          </w:p>
        </w:tc>
      </w:tr>
      <w:tr w14:paraId="301A4B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DD86D40">
            <w:pPr>
              <w:spacing w:line="200" w:lineRule="exact"/>
            </w:pPr>
            <w:r>
              <w:rPr>
                <w:rFonts w:ascii="方正黑体_GBK" w:hAnsi="方正黑体_GBK" w:eastAsia="方正黑体_GBK" w:cs="宋体"/>
                <w:sz w:val="15"/>
                <w:szCs w:val="20"/>
              </w:rPr>
              <w:t>江苏姜堰农村商业银行股份有限公司</w:t>
            </w:r>
          </w:p>
        </w:tc>
        <w:tc>
          <w:tcPr>
            <w:tcW w:w="4050" w:type="dxa"/>
            <w:tcMar>
              <w:left w:w="120" w:type="dxa"/>
            </w:tcMar>
            <w:vAlign w:val="center"/>
          </w:tcPr>
          <w:p w14:paraId="730C50CC">
            <w:pPr>
              <w:spacing w:line="200" w:lineRule="exact"/>
            </w:pPr>
            <w:r>
              <w:rPr>
                <w:rFonts w:ascii="方正黑体_GBK" w:hAnsi="方正黑体_GBK" w:eastAsia="方正黑体_GBK" w:cs="宋体"/>
                <w:sz w:val="15"/>
                <w:szCs w:val="20"/>
              </w:rPr>
              <w:t>泰州市姜堰区姜堰大道128号</w:t>
            </w:r>
          </w:p>
        </w:tc>
        <w:tc>
          <w:tcPr>
            <w:tcW w:w="1350" w:type="dxa"/>
            <w:tcMar>
              <w:left w:w="120" w:type="dxa"/>
            </w:tcMar>
            <w:vAlign w:val="center"/>
          </w:tcPr>
          <w:p w14:paraId="3596A4F4">
            <w:pPr>
              <w:spacing w:line="200" w:lineRule="exact"/>
            </w:pPr>
            <w:r>
              <w:rPr>
                <w:rFonts w:ascii="方正黑体_GBK" w:hAnsi="方正黑体_GBK" w:eastAsia="方正黑体_GBK" w:cs="宋体"/>
                <w:sz w:val="15"/>
                <w:szCs w:val="20"/>
              </w:rPr>
              <w:t>96008</w:t>
            </w:r>
          </w:p>
        </w:tc>
      </w:tr>
      <w:tr w14:paraId="76B10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F3F860F">
            <w:pPr>
              <w:spacing w:line="200" w:lineRule="exact"/>
            </w:pPr>
            <w:r>
              <w:rPr>
                <w:rFonts w:ascii="方正黑体_GBK" w:hAnsi="方正黑体_GBK" w:eastAsia="方正黑体_GBK" w:cs="宋体"/>
                <w:sz w:val="15"/>
                <w:szCs w:val="20"/>
              </w:rPr>
              <w:t>山西银行股份有限公司</w:t>
            </w:r>
          </w:p>
        </w:tc>
        <w:tc>
          <w:tcPr>
            <w:tcW w:w="4050" w:type="dxa"/>
            <w:tcMar>
              <w:left w:w="120" w:type="dxa"/>
            </w:tcMar>
            <w:vAlign w:val="center"/>
          </w:tcPr>
          <w:p w14:paraId="2D8F4F70">
            <w:pPr>
              <w:spacing w:line="200" w:lineRule="exact"/>
            </w:pPr>
            <w:r>
              <w:rPr>
                <w:rFonts w:ascii="方正黑体_GBK" w:hAnsi="方正黑体_GBK" w:eastAsia="方正黑体_GBK" w:cs="宋体"/>
                <w:sz w:val="15"/>
                <w:szCs w:val="20"/>
              </w:rPr>
              <w:t>山西转型综合改革示范区学府产业园高新街15号</w:t>
            </w:r>
          </w:p>
        </w:tc>
        <w:tc>
          <w:tcPr>
            <w:tcW w:w="1350" w:type="dxa"/>
            <w:tcMar>
              <w:left w:w="120" w:type="dxa"/>
            </w:tcMar>
            <w:vAlign w:val="center"/>
          </w:tcPr>
          <w:p w14:paraId="3DE7F44F">
            <w:pPr>
              <w:spacing w:line="200" w:lineRule="exact"/>
            </w:pPr>
            <w:r>
              <w:rPr>
                <w:rFonts w:ascii="方正黑体_GBK" w:hAnsi="方正黑体_GBK" w:eastAsia="方正黑体_GBK" w:cs="宋体"/>
                <w:sz w:val="15"/>
                <w:szCs w:val="20"/>
              </w:rPr>
              <w:t>0351-96588</w:t>
            </w:r>
          </w:p>
        </w:tc>
      </w:tr>
      <w:tr w14:paraId="3DB113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5F9BDFD">
            <w:pPr>
              <w:spacing w:line="200" w:lineRule="exact"/>
            </w:pPr>
            <w:r>
              <w:rPr>
                <w:rFonts w:ascii="方正黑体_GBK" w:hAnsi="方正黑体_GBK" w:eastAsia="方正黑体_GBK" w:cs="宋体"/>
                <w:sz w:val="15"/>
                <w:szCs w:val="20"/>
              </w:rPr>
              <w:t>江苏如东农村商业银行股份有限公司</w:t>
            </w:r>
          </w:p>
        </w:tc>
        <w:tc>
          <w:tcPr>
            <w:tcW w:w="4050" w:type="dxa"/>
            <w:tcMar>
              <w:left w:w="120" w:type="dxa"/>
            </w:tcMar>
            <w:vAlign w:val="center"/>
          </w:tcPr>
          <w:p w14:paraId="72092D72">
            <w:pPr>
              <w:spacing w:line="200" w:lineRule="exact"/>
            </w:pPr>
            <w:r>
              <w:rPr>
                <w:rFonts w:ascii="方正黑体_GBK" w:hAnsi="方正黑体_GBK" w:eastAsia="方正黑体_GBK" w:cs="宋体"/>
                <w:sz w:val="15"/>
                <w:szCs w:val="20"/>
              </w:rPr>
              <w:t>江苏省如东县掘港镇钟山路66号</w:t>
            </w:r>
          </w:p>
        </w:tc>
        <w:tc>
          <w:tcPr>
            <w:tcW w:w="1350" w:type="dxa"/>
            <w:tcMar>
              <w:left w:w="120" w:type="dxa"/>
            </w:tcMar>
            <w:vAlign w:val="center"/>
          </w:tcPr>
          <w:p w14:paraId="55E49FC2">
            <w:pPr>
              <w:spacing w:line="200" w:lineRule="exact"/>
            </w:pPr>
            <w:r>
              <w:rPr>
                <w:rFonts w:ascii="方正黑体_GBK" w:hAnsi="方正黑体_GBK" w:eastAsia="方正黑体_GBK" w:cs="宋体"/>
                <w:sz w:val="15"/>
                <w:szCs w:val="20"/>
              </w:rPr>
              <w:t>96008</w:t>
            </w:r>
          </w:p>
        </w:tc>
      </w:tr>
      <w:tr w14:paraId="498125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300E7F2">
            <w:pPr>
              <w:spacing w:line="200" w:lineRule="exact"/>
            </w:pPr>
            <w:r>
              <w:rPr>
                <w:rFonts w:ascii="方正黑体_GBK" w:hAnsi="方正黑体_GBK" w:eastAsia="方正黑体_GBK" w:cs="宋体"/>
                <w:sz w:val="15"/>
                <w:szCs w:val="20"/>
              </w:rPr>
              <w:t>北京银行股份有限公司</w:t>
            </w:r>
          </w:p>
        </w:tc>
        <w:tc>
          <w:tcPr>
            <w:tcW w:w="4050" w:type="dxa"/>
            <w:tcMar>
              <w:left w:w="120" w:type="dxa"/>
            </w:tcMar>
            <w:vAlign w:val="center"/>
          </w:tcPr>
          <w:p w14:paraId="02BEF2E6">
            <w:pPr>
              <w:spacing w:line="200" w:lineRule="exact"/>
            </w:pPr>
            <w:r>
              <w:rPr>
                <w:rFonts w:ascii="方正黑体_GBK" w:hAnsi="方正黑体_GBK" w:eastAsia="方正黑体_GBK" w:cs="宋体"/>
                <w:sz w:val="15"/>
                <w:szCs w:val="20"/>
              </w:rPr>
              <w:t>北京市西城区金融大街甲17号首层</w:t>
            </w:r>
          </w:p>
        </w:tc>
        <w:tc>
          <w:tcPr>
            <w:tcW w:w="1350" w:type="dxa"/>
            <w:tcMar>
              <w:left w:w="120" w:type="dxa"/>
            </w:tcMar>
            <w:vAlign w:val="center"/>
          </w:tcPr>
          <w:p w14:paraId="2B4231E9">
            <w:pPr>
              <w:spacing w:line="200" w:lineRule="exact"/>
            </w:pPr>
            <w:r>
              <w:rPr>
                <w:rFonts w:ascii="方正黑体_GBK" w:hAnsi="方正黑体_GBK" w:eastAsia="方正黑体_GBK" w:cs="宋体"/>
                <w:sz w:val="15"/>
                <w:szCs w:val="20"/>
              </w:rPr>
              <w:t>010-66426500</w:t>
            </w:r>
          </w:p>
        </w:tc>
      </w:tr>
      <w:tr w14:paraId="714568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283189D">
            <w:pPr>
              <w:spacing w:line="200" w:lineRule="exact"/>
            </w:pPr>
            <w:r>
              <w:rPr>
                <w:rFonts w:ascii="方正黑体_GBK" w:hAnsi="方正黑体_GBK" w:eastAsia="方正黑体_GBK" w:cs="宋体"/>
                <w:sz w:val="15"/>
                <w:szCs w:val="20"/>
              </w:rPr>
              <w:t>江苏赣榆农村商业银行股份有限公司</w:t>
            </w:r>
          </w:p>
        </w:tc>
        <w:tc>
          <w:tcPr>
            <w:tcW w:w="4050" w:type="dxa"/>
            <w:tcMar>
              <w:left w:w="120" w:type="dxa"/>
            </w:tcMar>
            <w:vAlign w:val="center"/>
          </w:tcPr>
          <w:p w14:paraId="416760C9">
            <w:pPr>
              <w:spacing w:line="200" w:lineRule="exact"/>
            </w:pPr>
            <w:r>
              <w:rPr>
                <w:rFonts w:ascii="方正黑体_GBK" w:hAnsi="方正黑体_GBK" w:eastAsia="方正黑体_GBK" w:cs="宋体"/>
                <w:sz w:val="15"/>
                <w:szCs w:val="20"/>
              </w:rPr>
              <w:t>连云港市赣榆区黄海东路304号</w:t>
            </w:r>
          </w:p>
        </w:tc>
        <w:tc>
          <w:tcPr>
            <w:tcW w:w="1350" w:type="dxa"/>
            <w:tcMar>
              <w:left w:w="120" w:type="dxa"/>
            </w:tcMar>
            <w:vAlign w:val="center"/>
          </w:tcPr>
          <w:p w14:paraId="2457B8F7">
            <w:pPr>
              <w:spacing w:line="200" w:lineRule="exact"/>
            </w:pPr>
            <w:r>
              <w:rPr>
                <w:rFonts w:ascii="方正黑体_GBK" w:hAnsi="方正黑体_GBK" w:eastAsia="方正黑体_GBK" w:cs="宋体"/>
                <w:sz w:val="15"/>
                <w:szCs w:val="20"/>
              </w:rPr>
              <w:t>96008</w:t>
            </w:r>
          </w:p>
        </w:tc>
      </w:tr>
      <w:tr w14:paraId="7CE1CB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F0E07C6">
            <w:pPr>
              <w:spacing w:line="200" w:lineRule="exact"/>
            </w:pPr>
            <w:r>
              <w:rPr>
                <w:rFonts w:ascii="方正黑体_GBK" w:hAnsi="方正黑体_GBK" w:eastAsia="方正黑体_GBK" w:cs="宋体"/>
                <w:sz w:val="15"/>
                <w:szCs w:val="20"/>
              </w:rPr>
              <w:t>江苏盱眙农村商业银行股份有限公司</w:t>
            </w:r>
          </w:p>
        </w:tc>
        <w:tc>
          <w:tcPr>
            <w:tcW w:w="4050" w:type="dxa"/>
            <w:tcMar>
              <w:left w:w="120" w:type="dxa"/>
            </w:tcMar>
            <w:vAlign w:val="center"/>
          </w:tcPr>
          <w:p w14:paraId="7425AA22">
            <w:pPr>
              <w:spacing w:line="200" w:lineRule="exact"/>
            </w:pPr>
            <w:r>
              <w:rPr>
                <w:rFonts w:ascii="方正黑体_GBK" w:hAnsi="方正黑体_GBK" w:eastAsia="方正黑体_GBK" w:cs="宋体"/>
                <w:sz w:val="15"/>
                <w:szCs w:val="20"/>
              </w:rPr>
              <w:t>江苏省盱眙县合欢大道2号</w:t>
            </w:r>
          </w:p>
        </w:tc>
        <w:tc>
          <w:tcPr>
            <w:tcW w:w="1350" w:type="dxa"/>
            <w:tcMar>
              <w:left w:w="120" w:type="dxa"/>
            </w:tcMar>
            <w:vAlign w:val="center"/>
          </w:tcPr>
          <w:p w14:paraId="351203CF">
            <w:pPr>
              <w:spacing w:line="200" w:lineRule="exact"/>
            </w:pPr>
            <w:r>
              <w:rPr>
                <w:rFonts w:ascii="方正黑体_GBK" w:hAnsi="方正黑体_GBK" w:eastAsia="方正黑体_GBK" w:cs="宋体"/>
                <w:sz w:val="15"/>
                <w:szCs w:val="20"/>
              </w:rPr>
              <w:t>96008</w:t>
            </w:r>
          </w:p>
        </w:tc>
      </w:tr>
      <w:tr w14:paraId="777D7C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7DD40DE">
            <w:pPr>
              <w:spacing w:line="200" w:lineRule="exact"/>
            </w:pPr>
            <w:r>
              <w:rPr>
                <w:rFonts w:ascii="方正黑体_GBK" w:hAnsi="方正黑体_GBK" w:eastAsia="方正黑体_GBK" w:cs="宋体"/>
                <w:sz w:val="15"/>
                <w:szCs w:val="20"/>
              </w:rPr>
              <w:t>兰州银行股份有限公司</w:t>
            </w:r>
          </w:p>
        </w:tc>
        <w:tc>
          <w:tcPr>
            <w:tcW w:w="4050" w:type="dxa"/>
            <w:tcMar>
              <w:left w:w="120" w:type="dxa"/>
            </w:tcMar>
            <w:vAlign w:val="center"/>
          </w:tcPr>
          <w:p w14:paraId="6930DECB">
            <w:pPr>
              <w:spacing w:line="200" w:lineRule="exact"/>
            </w:pPr>
            <w:r>
              <w:rPr>
                <w:rFonts w:ascii="方正黑体_GBK" w:hAnsi="方正黑体_GBK" w:eastAsia="方正黑体_GBK" w:cs="宋体"/>
                <w:sz w:val="15"/>
                <w:szCs w:val="20"/>
              </w:rPr>
              <w:t>甘肃省兰州市城关区酒泉路 211 号</w:t>
            </w:r>
          </w:p>
        </w:tc>
        <w:tc>
          <w:tcPr>
            <w:tcW w:w="1350" w:type="dxa"/>
            <w:tcMar>
              <w:left w:w="120" w:type="dxa"/>
            </w:tcMar>
            <w:vAlign w:val="center"/>
          </w:tcPr>
          <w:p w14:paraId="3B7B00A7">
            <w:pPr>
              <w:spacing w:line="200" w:lineRule="exact"/>
            </w:pPr>
            <w:r>
              <w:rPr>
                <w:rFonts w:ascii="方正黑体_GBK" w:hAnsi="方正黑体_GBK" w:eastAsia="方正黑体_GBK" w:cs="宋体"/>
                <w:sz w:val="15"/>
                <w:szCs w:val="20"/>
              </w:rPr>
              <w:t>96799</w:t>
            </w:r>
          </w:p>
        </w:tc>
      </w:tr>
      <w:tr w14:paraId="25E88F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88F344B">
            <w:pPr>
              <w:spacing w:line="200" w:lineRule="exact"/>
            </w:pPr>
            <w:r>
              <w:rPr>
                <w:rFonts w:ascii="方正黑体_GBK" w:hAnsi="方正黑体_GBK" w:eastAsia="方正黑体_GBK" w:cs="宋体"/>
                <w:sz w:val="15"/>
                <w:szCs w:val="20"/>
              </w:rPr>
              <w:t>江苏灌南农村商业银行股份有限公司</w:t>
            </w:r>
          </w:p>
        </w:tc>
        <w:tc>
          <w:tcPr>
            <w:tcW w:w="4050" w:type="dxa"/>
            <w:tcMar>
              <w:left w:w="120" w:type="dxa"/>
            </w:tcMar>
            <w:vAlign w:val="center"/>
          </w:tcPr>
          <w:p w14:paraId="127F47B1">
            <w:pPr>
              <w:spacing w:line="200" w:lineRule="exact"/>
            </w:pPr>
            <w:r>
              <w:rPr>
                <w:rFonts w:ascii="方正黑体_GBK" w:hAnsi="方正黑体_GBK" w:eastAsia="方正黑体_GBK" w:cs="宋体"/>
                <w:sz w:val="15"/>
                <w:szCs w:val="20"/>
              </w:rPr>
              <w:t>江苏省连云港市灌南县人民路29号</w:t>
            </w:r>
          </w:p>
        </w:tc>
        <w:tc>
          <w:tcPr>
            <w:tcW w:w="1350" w:type="dxa"/>
            <w:tcMar>
              <w:left w:w="120" w:type="dxa"/>
            </w:tcMar>
            <w:vAlign w:val="center"/>
          </w:tcPr>
          <w:p w14:paraId="3A486884">
            <w:pPr>
              <w:spacing w:line="200" w:lineRule="exact"/>
            </w:pPr>
            <w:r>
              <w:rPr>
                <w:rFonts w:ascii="方正黑体_GBK" w:hAnsi="方正黑体_GBK" w:eastAsia="方正黑体_GBK" w:cs="宋体"/>
                <w:sz w:val="15"/>
                <w:szCs w:val="20"/>
              </w:rPr>
              <w:t>96008</w:t>
            </w:r>
          </w:p>
        </w:tc>
      </w:tr>
      <w:tr w14:paraId="62C488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1A6EAFD">
            <w:pPr>
              <w:spacing w:line="200" w:lineRule="exact"/>
            </w:pPr>
            <w:r>
              <w:rPr>
                <w:rFonts w:ascii="方正黑体_GBK" w:hAnsi="方正黑体_GBK" w:eastAsia="方正黑体_GBK" w:cs="宋体"/>
                <w:sz w:val="15"/>
                <w:szCs w:val="20"/>
              </w:rPr>
              <w:t>东营银行股份有限公司</w:t>
            </w:r>
          </w:p>
        </w:tc>
        <w:tc>
          <w:tcPr>
            <w:tcW w:w="4050" w:type="dxa"/>
            <w:tcMar>
              <w:left w:w="120" w:type="dxa"/>
            </w:tcMar>
            <w:vAlign w:val="center"/>
          </w:tcPr>
          <w:p w14:paraId="7A367D49">
            <w:pPr>
              <w:spacing w:line="200" w:lineRule="exact"/>
            </w:pPr>
            <w:r>
              <w:rPr>
                <w:rFonts w:ascii="方正黑体_GBK" w:hAnsi="方正黑体_GBK" w:eastAsia="方正黑体_GBK" w:cs="宋体"/>
                <w:sz w:val="15"/>
                <w:szCs w:val="20"/>
              </w:rPr>
              <w:t>山东省东营市东营区府前大街87-1号</w:t>
            </w:r>
          </w:p>
        </w:tc>
        <w:tc>
          <w:tcPr>
            <w:tcW w:w="1350" w:type="dxa"/>
            <w:tcMar>
              <w:left w:w="120" w:type="dxa"/>
            </w:tcMar>
            <w:vAlign w:val="center"/>
          </w:tcPr>
          <w:p w14:paraId="2C310388">
            <w:pPr>
              <w:spacing w:line="200" w:lineRule="exact"/>
            </w:pPr>
            <w:r>
              <w:rPr>
                <w:rFonts w:ascii="方正黑体_GBK" w:hAnsi="方正黑体_GBK" w:eastAsia="方正黑体_GBK" w:cs="宋体"/>
                <w:sz w:val="15"/>
                <w:szCs w:val="20"/>
              </w:rPr>
              <w:t>0546-96588/400-6296588</w:t>
            </w:r>
          </w:p>
        </w:tc>
      </w:tr>
      <w:tr w14:paraId="3B14A9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0B141C0">
            <w:pPr>
              <w:spacing w:line="200" w:lineRule="exact"/>
            </w:pPr>
            <w:r>
              <w:rPr>
                <w:rFonts w:ascii="方正黑体_GBK" w:hAnsi="方正黑体_GBK" w:eastAsia="方正黑体_GBK" w:cs="宋体"/>
                <w:sz w:val="15"/>
                <w:szCs w:val="20"/>
              </w:rPr>
              <w:t>江苏沛县农村商业银行股份有限公司</w:t>
            </w:r>
          </w:p>
        </w:tc>
        <w:tc>
          <w:tcPr>
            <w:tcW w:w="4050" w:type="dxa"/>
            <w:tcMar>
              <w:left w:w="120" w:type="dxa"/>
            </w:tcMar>
            <w:vAlign w:val="center"/>
          </w:tcPr>
          <w:p w14:paraId="1D71C69C">
            <w:pPr>
              <w:spacing w:line="200" w:lineRule="exact"/>
            </w:pPr>
            <w:r>
              <w:rPr>
                <w:rFonts w:ascii="方正黑体_GBK" w:hAnsi="方正黑体_GBK" w:eastAsia="方正黑体_GBK" w:cs="宋体"/>
                <w:sz w:val="15"/>
                <w:szCs w:val="20"/>
              </w:rPr>
              <w:t>江苏省沛县汤沐路中段11号</w:t>
            </w:r>
          </w:p>
        </w:tc>
        <w:tc>
          <w:tcPr>
            <w:tcW w:w="1350" w:type="dxa"/>
            <w:tcMar>
              <w:left w:w="120" w:type="dxa"/>
            </w:tcMar>
            <w:vAlign w:val="center"/>
          </w:tcPr>
          <w:p w14:paraId="08239A1C">
            <w:pPr>
              <w:spacing w:line="200" w:lineRule="exact"/>
            </w:pPr>
            <w:r>
              <w:rPr>
                <w:rFonts w:ascii="方正黑体_GBK" w:hAnsi="方正黑体_GBK" w:eastAsia="方正黑体_GBK" w:cs="宋体"/>
                <w:sz w:val="15"/>
                <w:szCs w:val="20"/>
              </w:rPr>
              <w:t>96008</w:t>
            </w:r>
          </w:p>
        </w:tc>
      </w:tr>
      <w:tr w14:paraId="38E2BD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464C5AA">
            <w:pPr>
              <w:spacing w:line="200" w:lineRule="exact"/>
            </w:pPr>
            <w:r>
              <w:rPr>
                <w:rFonts w:ascii="方正黑体_GBK" w:hAnsi="方正黑体_GBK" w:eastAsia="方正黑体_GBK" w:cs="宋体"/>
                <w:sz w:val="15"/>
                <w:szCs w:val="20"/>
              </w:rPr>
              <w:t>交通银行股份有限公司</w:t>
            </w:r>
          </w:p>
        </w:tc>
        <w:tc>
          <w:tcPr>
            <w:tcW w:w="4050" w:type="dxa"/>
            <w:tcMar>
              <w:left w:w="120" w:type="dxa"/>
            </w:tcMar>
            <w:vAlign w:val="center"/>
          </w:tcPr>
          <w:p w14:paraId="333C8F77">
            <w:pPr>
              <w:spacing w:line="200" w:lineRule="exact"/>
            </w:pPr>
            <w:r>
              <w:rPr>
                <w:rFonts w:ascii="方正黑体_GBK" w:hAnsi="方正黑体_GBK" w:eastAsia="方正黑体_GBK" w:cs="宋体"/>
                <w:sz w:val="15"/>
                <w:szCs w:val="20"/>
              </w:rPr>
              <w:t>上海市浦东新区银城中路188号</w:t>
            </w:r>
          </w:p>
        </w:tc>
        <w:tc>
          <w:tcPr>
            <w:tcW w:w="1350" w:type="dxa"/>
            <w:tcMar>
              <w:left w:w="120" w:type="dxa"/>
            </w:tcMar>
            <w:vAlign w:val="center"/>
          </w:tcPr>
          <w:p w14:paraId="65296812">
            <w:pPr>
              <w:spacing w:line="200" w:lineRule="exact"/>
            </w:pPr>
            <w:r>
              <w:rPr>
                <w:rFonts w:ascii="方正黑体_GBK" w:hAnsi="方正黑体_GBK" w:eastAsia="方正黑体_GBK" w:cs="宋体"/>
                <w:sz w:val="15"/>
                <w:szCs w:val="20"/>
              </w:rPr>
              <w:t>95559</w:t>
            </w:r>
          </w:p>
        </w:tc>
      </w:tr>
      <w:tr w14:paraId="7B6486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A6DB457">
            <w:pPr>
              <w:spacing w:line="200" w:lineRule="exact"/>
            </w:pPr>
            <w:r>
              <w:rPr>
                <w:rFonts w:ascii="方正黑体_GBK" w:hAnsi="方正黑体_GBK" w:eastAsia="方正黑体_GBK" w:cs="宋体"/>
                <w:sz w:val="15"/>
                <w:szCs w:val="20"/>
              </w:rPr>
              <w:t>甘肃银行股份有限公司</w:t>
            </w:r>
          </w:p>
        </w:tc>
        <w:tc>
          <w:tcPr>
            <w:tcW w:w="4050" w:type="dxa"/>
            <w:tcMar>
              <w:left w:w="120" w:type="dxa"/>
            </w:tcMar>
            <w:vAlign w:val="center"/>
          </w:tcPr>
          <w:p w14:paraId="37C8E829">
            <w:pPr>
              <w:spacing w:line="200" w:lineRule="exact"/>
            </w:pPr>
            <w:r>
              <w:rPr>
                <w:rFonts w:ascii="方正黑体_GBK" w:hAnsi="方正黑体_GBK" w:eastAsia="方正黑体_GBK" w:cs="宋体"/>
                <w:sz w:val="15"/>
                <w:szCs w:val="20"/>
              </w:rPr>
              <w:t>甘肃省兰州市城关区东岗西路 525-1 号甘肃银行大厦</w:t>
            </w:r>
          </w:p>
        </w:tc>
        <w:tc>
          <w:tcPr>
            <w:tcW w:w="1350" w:type="dxa"/>
            <w:tcMar>
              <w:left w:w="120" w:type="dxa"/>
            </w:tcMar>
            <w:vAlign w:val="center"/>
          </w:tcPr>
          <w:p w14:paraId="5888D709">
            <w:pPr>
              <w:spacing w:line="200" w:lineRule="exact"/>
            </w:pPr>
            <w:r>
              <w:rPr>
                <w:rFonts w:ascii="方正黑体_GBK" w:hAnsi="方正黑体_GBK" w:eastAsia="方正黑体_GBK" w:cs="宋体"/>
                <w:sz w:val="15"/>
                <w:szCs w:val="20"/>
              </w:rPr>
              <w:t>96666</w:t>
            </w:r>
          </w:p>
        </w:tc>
      </w:tr>
      <w:tr w14:paraId="688907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E3C5DB6">
            <w:pPr>
              <w:spacing w:line="200" w:lineRule="exact"/>
            </w:pPr>
            <w:r>
              <w:rPr>
                <w:rFonts w:ascii="方正黑体_GBK" w:hAnsi="方正黑体_GBK" w:eastAsia="方正黑体_GBK" w:cs="宋体"/>
                <w:sz w:val="15"/>
                <w:szCs w:val="20"/>
              </w:rPr>
              <w:t>中国银行股份有限公司</w:t>
            </w:r>
          </w:p>
        </w:tc>
        <w:tc>
          <w:tcPr>
            <w:tcW w:w="4050" w:type="dxa"/>
            <w:tcMar>
              <w:left w:w="120" w:type="dxa"/>
            </w:tcMar>
            <w:vAlign w:val="center"/>
          </w:tcPr>
          <w:p w14:paraId="21E5C0EC">
            <w:pPr>
              <w:spacing w:line="200" w:lineRule="exact"/>
            </w:pPr>
            <w:r>
              <w:rPr>
                <w:rFonts w:ascii="方正黑体_GBK" w:hAnsi="方正黑体_GBK" w:eastAsia="方正黑体_GBK" w:cs="宋体"/>
                <w:sz w:val="15"/>
                <w:szCs w:val="20"/>
              </w:rPr>
              <w:t>北京市西城区复兴门内大街 1 号</w:t>
            </w:r>
          </w:p>
        </w:tc>
        <w:tc>
          <w:tcPr>
            <w:tcW w:w="1350" w:type="dxa"/>
            <w:tcMar>
              <w:left w:w="120" w:type="dxa"/>
            </w:tcMar>
            <w:vAlign w:val="center"/>
          </w:tcPr>
          <w:p w14:paraId="20D2BC96">
            <w:pPr>
              <w:spacing w:line="200" w:lineRule="exact"/>
            </w:pPr>
            <w:r>
              <w:rPr>
                <w:rFonts w:ascii="方正黑体_GBK" w:hAnsi="方正黑体_GBK" w:eastAsia="方正黑体_GBK" w:cs="宋体"/>
                <w:sz w:val="15"/>
                <w:szCs w:val="20"/>
              </w:rPr>
              <w:t>95566</w:t>
            </w:r>
          </w:p>
        </w:tc>
      </w:tr>
      <w:tr w14:paraId="01B2B6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6270BA2">
            <w:pPr>
              <w:spacing w:line="200" w:lineRule="exact"/>
            </w:pPr>
            <w:r>
              <w:rPr>
                <w:rFonts w:ascii="方正黑体_GBK" w:hAnsi="方正黑体_GBK" w:eastAsia="方正黑体_GBK" w:cs="宋体"/>
                <w:sz w:val="15"/>
                <w:szCs w:val="20"/>
              </w:rPr>
              <w:t>台州银行股份有限公司</w:t>
            </w:r>
          </w:p>
        </w:tc>
        <w:tc>
          <w:tcPr>
            <w:tcW w:w="4050" w:type="dxa"/>
            <w:tcMar>
              <w:left w:w="120" w:type="dxa"/>
            </w:tcMar>
            <w:vAlign w:val="center"/>
          </w:tcPr>
          <w:p w14:paraId="1EDACA0E">
            <w:pPr>
              <w:spacing w:line="200" w:lineRule="exact"/>
            </w:pPr>
            <w:r>
              <w:rPr>
                <w:rFonts w:ascii="方正黑体_GBK" w:hAnsi="方正黑体_GBK" w:eastAsia="方正黑体_GBK" w:cs="宋体"/>
                <w:sz w:val="15"/>
                <w:szCs w:val="20"/>
              </w:rPr>
              <w:t>浙江省台州市路桥区南官大道92号</w:t>
            </w:r>
          </w:p>
        </w:tc>
        <w:tc>
          <w:tcPr>
            <w:tcW w:w="1350" w:type="dxa"/>
            <w:tcMar>
              <w:left w:w="120" w:type="dxa"/>
            </w:tcMar>
            <w:vAlign w:val="center"/>
          </w:tcPr>
          <w:p w14:paraId="7A70DA6F">
            <w:pPr>
              <w:spacing w:line="200" w:lineRule="exact"/>
            </w:pPr>
            <w:r>
              <w:rPr>
                <w:rFonts w:ascii="方正黑体_GBK" w:hAnsi="方正黑体_GBK" w:eastAsia="方正黑体_GBK" w:cs="宋体"/>
                <w:sz w:val="15"/>
                <w:szCs w:val="20"/>
              </w:rPr>
              <w:t>95371</w:t>
            </w:r>
          </w:p>
        </w:tc>
      </w:tr>
      <w:tr w14:paraId="126107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A338EA6">
            <w:pPr>
              <w:spacing w:line="200" w:lineRule="exact"/>
            </w:pPr>
            <w:r>
              <w:rPr>
                <w:rFonts w:ascii="方正黑体_GBK" w:hAnsi="方正黑体_GBK" w:eastAsia="方正黑体_GBK" w:cs="宋体"/>
                <w:sz w:val="15"/>
                <w:szCs w:val="20"/>
              </w:rPr>
              <w:t>浙江民泰商业银行股份有限公司</w:t>
            </w:r>
          </w:p>
        </w:tc>
        <w:tc>
          <w:tcPr>
            <w:tcW w:w="4050" w:type="dxa"/>
            <w:tcMar>
              <w:left w:w="120" w:type="dxa"/>
            </w:tcMar>
            <w:vAlign w:val="center"/>
          </w:tcPr>
          <w:p w14:paraId="14A11778">
            <w:pPr>
              <w:spacing w:line="200" w:lineRule="exact"/>
            </w:pPr>
            <w:r>
              <w:rPr>
                <w:rFonts w:ascii="方正黑体_GBK" w:hAnsi="方正黑体_GBK" w:eastAsia="方正黑体_GBK" w:cs="宋体"/>
                <w:sz w:val="15"/>
                <w:szCs w:val="20"/>
              </w:rPr>
              <w:t>浙江省温岭市太平街道三星大道168号</w:t>
            </w:r>
          </w:p>
        </w:tc>
        <w:tc>
          <w:tcPr>
            <w:tcW w:w="1350" w:type="dxa"/>
            <w:tcMar>
              <w:left w:w="120" w:type="dxa"/>
            </w:tcMar>
            <w:vAlign w:val="center"/>
          </w:tcPr>
          <w:p w14:paraId="48553F69">
            <w:pPr>
              <w:spacing w:line="200" w:lineRule="exact"/>
            </w:pPr>
            <w:r>
              <w:rPr>
                <w:rFonts w:ascii="方正黑体_GBK" w:hAnsi="方正黑体_GBK" w:eastAsia="方正黑体_GBK" w:cs="宋体"/>
                <w:sz w:val="15"/>
                <w:szCs w:val="20"/>
              </w:rPr>
              <w:t>95343</w:t>
            </w:r>
          </w:p>
        </w:tc>
      </w:tr>
      <w:tr w14:paraId="23002D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9E2064C">
            <w:pPr>
              <w:spacing w:line="200" w:lineRule="exact"/>
            </w:pPr>
            <w:r>
              <w:rPr>
                <w:rFonts w:ascii="方正黑体_GBK" w:hAnsi="方正黑体_GBK" w:eastAsia="方正黑体_GBK" w:cs="宋体"/>
                <w:sz w:val="15"/>
                <w:szCs w:val="20"/>
              </w:rPr>
              <w:t>江苏仪征农村商业银行股份有限公司</w:t>
            </w:r>
          </w:p>
        </w:tc>
        <w:tc>
          <w:tcPr>
            <w:tcW w:w="4050" w:type="dxa"/>
            <w:tcMar>
              <w:left w:w="120" w:type="dxa"/>
            </w:tcMar>
            <w:vAlign w:val="center"/>
          </w:tcPr>
          <w:p w14:paraId="4EC46275">
            <w:pPr>
              <w:spacing w:line="200" w:lineRule="exact"/>
            </w:pPr>
            <w:r>
              <w:rPr>
                <w:rFonts w:ascii="方正黑体_GBK" w:hAnsi="方正黑体_GBK" w:eastAsia="方正黑体_GBK" w:cs="宋体"/>
                <w:sz w:val="15"/>
                <w:szCs w:val="20"/>
              </w:rPr>
              <w:t>江苏省仪征市真州镇解放东路818号金融集聚区1座801-811，901-911，1001-1011，2座101</w:t>
            </w:r>
          </w:p>
        </w:tc>
        <w:tc>
          <w:tcPr>
            <w:tcW w:w="1350" w:type="dxa"/>
            <w:tcMar>
              <w:left w:w="120" w:type="dxa"/>
            </w:tcMar>
            <w:vAlign w:val="center"/>
          </w:tcPr>
          <w:p w14:paraId="40B72D67">
            <w:pPr>
              <w:spacing w:line="200" w:lineRule="exact"/>
            </w:pPr>
            <w:r>
              <w:rPr>
                <w:rFonts w:ascii="方正黑体_GBK" w:hAnsi="方正黑体_GBK" w:eastAsia="方正黑体_GBK" w:cs="宋体"/>
                <w:sz w:val="15"/>
                <w:szCs w:val="20"/>
              </w:rPr>
              <w:t>96008</w:t>
            </w:r>
          </w:p>
        </w:tc>
      </w:tr>
      <w:tr w14:paraId="53BD68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625F8D2">
            <w:pPr>
              <w:spacing w:line="200" w:lineRule="exact"/>
            </w:pPr>
            <w:r>
              <w:rPr>
                <w:rFonts w:ascii="方正黑体_GBK" w:hAnsi="方正黑体_GBK" w:eastAsia="方正黑体_GBK" w:cs="宋体"/>
                <w:sz w:val="15"/>
                <w:szCs w:val="20"/>
              </w:rPr>
              <w:t>金华银行股份有限公司</w:t>
            </w:r>
          </w:p>
        </w:tc>
        <w:tc>
          <w:tcPr>
            <w:tcW w:w="4050" w:type="dxa"/>
            <w:tcMar>
              <w:left w:w="120" w:type="dxa"/>
            </w:tcMar>
            <w:vAlign w:val="center"/>
          </w:tcPr>
          <w:p w14:paraId="2C030EFF">
            <w:pPr>
              <w:spacing w:line="200" w:lineRule="exact"/>
            </w:pPr>
            <w:r>
              <w:rPr>
                <w:rFonts w:ascii="方正黑体_GBK" w:hAnsi="方正黑体_GBK" w:eastAsia="方正黑体_GBK" w:cs="宋体"/>
                <w:sz w:val="15"/>
                <w:szCs w:val="20"/>
              </w:rPr>
              <w:t>浙江省金华市丹溪路1388号</w:t>
            </w:r>
          </w:p>
        </w:tc>
        <w:tc>
          <w:tcPr>
            <w:tcW w:w="1350" w:type="dxa"/>
            <w:tcMar>
              <w:left w:w="120" w:type="dxa"/>
            </w:tcMar>
            <w:vAlign w:val="center"/>
          </w:tcPr>
          <w:p w14:paraId="411CCEC9">
            <w:pPr>
              <w:spacing w:line="200" w:lineRule="exact"/>
            </w:pPr>
            <w:r>
              <w:rPr>
                <w:rFonts w:ascii="方正黑体_GBK" w:hAnsi="方正黑体_GBK" w:eastAsia="方正黑体_GBK" w:cs="宋体"/>
                <w:sz w:val="15"/>
                <w:szCs w:val="20"/>
              </w:rPr>
              <w:t>0579-96528</w:t>
            </w:r>
          </w:p>
        </w:tc>
      </w:tr>
      <w:tr w14:paraId="72FA88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E868C4B">
            <w:pPr>
              <w:spacing w:line="200" w:lineRule="exact"/>
            </w:pPr>
            <w:r>
              <w:rPr>
                <w:rFonts w:ascii="方正黑体_GBK" w:hAnsi="方正黑体_GBK" w:eastAsia="方正黑体_GBK" w:cs="宋体"/>
                <w:sz w:val="15"/>
                <w:szCs w:val="20"/>
              </w:rPr>
              <w:t>昆山鹿城村镇银行股份有限公司</w:t>
            </w:r>
          </w:p>
        </w:tc>
        <w:tc>
          <w:tcPr>
            <w:tcW w:w="4050" w:type="dxa"/>
            <w:tcMar>
              <w:left w:w="120" w:type="dxa"/>
            </w:tcMar>
            <w:vAlign w:val="center"/>
          </w:tcPr>
          <w:p w14:paraId="6989D816">
            <w:pPr>
              <w:spacing w:line="200" w:lineRule="exact"/>
            </w:pPr>
            <w:r>
              <w:rPr>
                <w:rFonts w:ascii="方正黑体_GBK" w:hAnsi="方正黑体_GBK" w:eastAsia="方正黑体_GBK" w:cs="宋体"/>
                <w:sz w:val="15"/>
                <w:szCs w:val="20"/>
              </w:rPr>
              <w:t>昆山市玉山镇前进西路1899号1号房</w:t>
            </w:r>
          </w:p>
        </w:tc>
        <w:tc>
          <w:tcPr>
            <w:tcW w:w="1350" w:type="dxa"/>
            <w:tcMar>
              <w:left w:w="120" w:type="dxa"/>
            </w:tcMar>
            <w:vAlign w:val="center"/>
          </w:tcPr>
          <w:p w14:paraId="0F033CC5">
            <w:pPr>
              <w:spacing w:line="200" w:lineRule="exact"/>
            </w:pPr>
            <w:r>
              <w:rPr>
                <w:rFonts w:ascii="方正黑体_GBK" w:hAnsi="方正黑体_GBK" w:eastAsia="方正黑体_GBK" w:cs="宋体"/>
                <w:sz w:val="15"/>
                <w:szCs w:val="20"/>
              </w:rPr>
              <w:t>0512-962077</w:t>
            </w:r>
          </w:p>
        </w:tc>
      </w:tr>
      <w:tr w14:paraId="0F82F3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9EF9692">
            <w:pPr>
              <w:spacing w:line="200" w:lineRule="exact"/>
            </w:pPr>
            <w:r>
              <w:rPr>
                <w:rFonts w:ascii="方正黑体_GBK" w:hAnsi="方正黑体_GBK" w:eastAsia="方正黑体_GBK" w:cs="宋体"/>
                <w:sz w:val="15"/>
                <w:szCs w:val="20"/>
              </w:rPr>
              <w:t>成都银行股份有限公司</w:t>
            </w:r>
          </w:p>
        </w:tc>
        <w:tc>
          <w:tcPr>
            <w:tcW w:w="4050" w:type="dxa"/>
            <w:tcMar>
              <w:left w:w="120" w:type="dxa"/>
            </w:tcMar>
            <w:vAlign w:val="center"/>
          </w:tcPr>
          <w:p w14:paraId="7BCAAF25">
            <w:pPr>
              <w:spacing w:line="200" w:lineRule="exact"/>
            </w:pPr>
            <w:r>
              <w:rPr>
                <w:rFonts w:ascii="方正黑体_GBK" w:hAnsi="方正黑体_GBK" w:eastAsia="方正黑体_GBK" w:cs="宋体"/>
                <w:sz w:val="15"/>
                <w:szCs w:val="20"/>
              </w:rPr>
              <w:t>四川省成都市青羊区西御街 16 号</w:t>
            </w:r>
          </w:p>
        </w:tc>
        <w:tc>
          <w:tcPr>
            <w:tcW w:w="1350" w:type="dxa"/>
            <w:tcMar>
              <w:left w:w="120" w:type="dxa"/>
            </w:tcMar>
            <w:vAlign w:val="center"/>
          </w:tcPr>
          <w:p w14:paraId="20D329ED">
            <w:pPr>
              <w:spacing w:line="200" w:lineRule="exact"/>
            </w:pPr>
            <w:r>
              <w:rPr>
                <w:rFonts w:ascii="方正黑体_GBK" w:hAnsi="方正黑体_GBK" w:eastAsia="方正黑体_GBK" w:cs="宋体"/>
                <w:sz w:val="15"/>
                <w:szCs w:val="20"/>
              </w:rPr>
              <w:t>95507</w:t>
            </w:r>
          </w:p>
        </w:tc>
      </w:tr>
      <w:tr w14:paraId="27D234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D406B31">
            <w:pPr>
              <w:spacing w:line="200" w:lineRule="exact"/>
            </w:pPr>
            <w:r>
              <w:rPr>
                <w:rFonts w:ascii="方正黑体_GBK" w:hAnsi="方正黑体_GBK" w:eastAsia="方正黑体_GBK" w:cs="宋体"/>
                <w:sz w:val="15"/>
                <w:szCs w:val="20"/>
              </w:rPr>
              <w:t>湖北银行股份有限公司</w:t>
            </w:r>
          </w:p>
        </w:tc>
        <w:tc>
          <w:tcPr>
            <w:tcW w:w="4050" w:type="dxa"/>
            <w:tcMar>
              <w:left w:w="120" w:type="dxa"/>
            </w:tcMar>
            <w:vAlign w:val="center"/>
          </w:tcPr>
          <w:p w14:paraId="768C41D1">
            <w:pPr>
              <w:spacing w:line="200" w:lineRule="exact"/>
            </w:pPr>
            <w:r>
              <w:rPr>
                <w:rFonts w:ascii="方正黑体_GBK" w:hAnsi="方正黑体_GBK" w:eastAsia="方正黑体_GBK" w:cs="宋体"/>
                <w:sz w:val="15"/>
                <w:szCs w:val="20"/>
              </w:rPr>
              <w:t>武汉市武昌区水果湖街中北路86号汉街总部国际8栋</w:t>
            </w:r>
          </w:p>
        </w:tc>
        <w:tc>
          <w:tcPr>
            <w:tcW w:w="1350" w:type="dxa"/>
            <w:tcMar>
              <w:left w:w="120" w:type="dxa"/>
            </w:tcMar>
            <w:vAlign w:val="center"/>
          </w:tcPr>
          <w:p w14:paraId="7E69340A">
            <w:pPr>
              <w:spacing w:line="200" w:lineRule="exact"/>
            </w:pPr>
            <w:r>
              <w:rPr>
                <w:rFonts w:ascii="方正黑体_GBK" w:hAnsi="方正黑体_GBK" w:eastAsia="方正黑体_GBK" w:cs="宋体"/>
                <w:sz w:val="15"/>
                <w:szCs w:val="20"/>
              </w:rPr>
              <w:t>400-85-96599</w:t>
            </w:r>
          </w:p>
        </w:tc>
      </w:tr>
      <w:tr w14:paraId="011A4B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1AEE210">
            <w:pPr>
              <w:spacing w:line="200" w:lineRule="exact"/>
            </w:pPr>
            <w:r>
              <w:rPr>
                <w:rFonts w:ascii="方正黑体_GBK" w:hAnsi="方正黑体_GBK" w:eastAsia="方正黑体_GBK" w:cs="宋体"/>
                <w:sz w:val="15"/>
                <w:szCs w:val="20"/>
              </w:rPr>
              <w:t>连云港东方农村商业银行股份有限公司</w:t>
            </w:r>
          </w:p>
        </w:tc>
        <w:tc>
          <w:tcPr>
            <w:tcW w:w="4050" w:type="dxa"/>
            <w:tcMar>
              <w:left w:w="120" w:type="dxa"/>
            </w:tcMar>
            <w:vAlign w:val="center"/>
          </w:tcPr>
          <w:p w14:paraId="51D55459">
            <w:pPr>
              <w:spacing w:line="200" w:lineRule="exact"/>
            </w:pPr>
            <w:r>
              <w:rPr>
                <w:rFonts w:ascii="方正黑体_GBK" w:hAnsi="方正黑体_GBK" w:eastAsia="方正黑体_GBK" w:cs="宋体"/>
                <w:sz w:val="15"/>
                <w:szCs w:val="20"/>
              </w:rPr>
              <w:t>江苏省连云港市海州区郁洲南路10号</w:t>
            </w:r>
          </w:p>
        </w:tc>
        <w:tc>
          <w:tcPr>
            <w:tcW w:w="1350" w:type="dxa"/>
            <w:tcMar>
              <w:left w:w="120" w:type="dxa"/>
            </w:tcMar>
            <w:vAlign w:val="center"/>
          </w:tcPr>
          <w:p w14:paraId="5D66A8A1">
            <w:pPr>
              <w:spacing w:line="200" w:lineRule="exact"/>
            </w:pPr>
            <w:r>
              <w:rPr>
                <w:rFonts w:ascii="方正黑体_GBK" w:hAnsi="方正黑体_GBK" w:eastAsia="方正黑体_GBK" w:cs="宋体"/>
                <w:sz w:val="15"/>
                <w:szCs w:val="20"/>
              </w:rPr>
              <w:t>96008</w:t>
            </w:r>
          </w:p>
        </w:tc>
      </w:tr>
      <w:tr w14:paraId="4EBCCF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75B3D52">
            <w:pPr>
              <w:spacing w:line="200" w:lineRule="exact"/>
            </w:pPr>
            <w:r>
              <w:rPr>
                <w:rFonts w:ascii="方正黑体_GBK" w:hAnsi="方正黑体_GBK" w:eastAsia="方正黑体_GBK" w:cs="宋体"/>
                <w:sz w:val="15"/>
                <w:szCs w:val="20"/>
              </w:rPr>
              <w:t>德州银行股份有限公司</w:t>
            </w:r>
          </w:p>
        </w:tc>
        <w:tc>
          <w:tcPr>
            <w:tcW w:w="4050" w:type="dxa"/>
            <w:tcMar>
              <w:left w:w="120" w:type="dxa"/>
            </w:tcMar>
            <w:vAlign w:val="center"/>
          </w:tcPr>
          <w:p w14:paraId="77EBF130">
            <w:pPr>
              <w:spacing w:line="200" w:lineRule="exact"/>
            </w:pPr>
            <w:r>
              <w:rPr>
                <w:rFonts w:ascii="方正黑体_GBK" w:hAnsi="方正黑体_GBK" w:eastAsia="方正黑体_GBK" w:cs="宋体"/>
                <w:sz w:val="15"/>
                <w:szCs w:val="20"/>
              </w:rPr>
              <w:t>山东省德州市三八东路1266号</w:t>
            </w:r>
          </w:p>
        </w:tc>
        <w:tc>
          <w:tcPr>
            <w:tcW w:w="1350" w:type="dxa"/>
            <w:tcMar>
              <w:left w:w="120" w:type="dxa"/>
            </w:tcMar>
            <w:vAlign w:val="center"/>
          </w:tcPr>
          <w:p w14:paraId="1FA5D315">
            <w:pPr>
              <w:spacing w:line="200" w:lineRule="exact"/>
            </w:pPr>
            <w:r>
              <w:rPr>
                <w:rFonts w:ascii="方正黑体_GBK" w:hAnsi="方正黑体_GBK" w:eastAsia="方正黑体_GBK" w:cs="宋体"/>
                <w:sz w:val="15"/>
                <w:szCs w:val="20"/>
              </w:rPr>
              <w:t>0534-2291695</w:t>
            </w:r>
          </w:p>
        </w:tc>
      </w:tr>
      <w:tr w14:paraId="6E1D1D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309A006">
            <w:pPr>
              <w:spacing w:line="200" w:lineRule="exact"/>
            </w:pPr>
            <w:r>
              <w:rPr>
                <w:rFonts w:ascii="方正黑体_GBK" w:hAnsi="方正黑体_GBK" w:eastAsia="方正黑体_GBK" w:cs="宋体"/>
                <w:sz w:val="15"/>
                <w:szCs w:val="20"/>
              </w:rPr>
              <w:t>北京农村商业银行股份有限公司</w:t>
            </w:r>
          </w:p>
        </w:tc>
        <w:tc>
          <w:tcPr>
            <w:tcW w:w="4050" w:type="dxa"/>
            <w:tcMar>
              <w:left w:w="120" w:type="dxa"/>
            </w:tcMar>
            <w:vAlign w:val="center"/>
          </w:tcPr>
          <w:p w14:paraId="0F02745B">
            <w:pPr>
              <w:spacing w:line="200" w:lineRule="exact"/>
            </w:pPr>
            <w:r>
              <w:rPr>
                <w:rFonts w:ascii="方正黑体_GBK" w:hAnsi="方正黑体_GBK" w:eastAsia="方正黑体_GBK" w:cs="宋体"/>
                <w:sz w:val="15"/>
                <w:szCs w:val="20"/>
              </w:rPr>
              <w:t>北京市西城区月坛南街1号院2号楼</w:t>
            </w:r>
          </w:p>
        </w:tc>
        <w:tc>
          <w:tcPr>
            <w:tcW w:w="1350" w:type="dxa"/>
            <w:tcMar>
              <w:left w:w="120" w:type="dxa"/>
            </w:tcMar>
            <w:vAlign w:val="center"/>
          </w:tcPr>
          <w:p w14:paraId="37246345">
            <w:pPr>
              <w:spacing w:line="200" w:lineRule="exact"/>
            </w:pPr>
            <w:r>
              <w:rPr>
                <w:rFonts w:ascii="方正黑体_GBK" w:hAnsi="方正黑体_GBK" w:eastAsia="方正黑体_GBK" w:cs="宋体"/>
                <w:sz w:val="15"/>
                <w:szCs w:val="20"/>
              </w:rPr>
              <w:t>010-96198、4008896198</w:t>
            </w:r>
          </w:p>
        </w:tc>
      </w:tr>
      <w:tr w14:paraId="1C3065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FDAB384">
            <w:pPr>
              <w:spacing w:line="200" w:lineRule="exact"/>
            </w:pPr>
            <w:r>
              <w:rPr>
                <w:rFonts w:ascii="方正黑体_GBK" w:hAnsi="方正黑体_GBK" w:eastAsia="方正黑体_GBK" w:cs="宋体"/>
                <w:sz w:val="15"/>
                <w:szCs w:val="20"/>
              </w:rPr>
              <w:t>上海农村商业银行股份有限公司</w:t>
            </w:r>
          </w:p>
        </w:tc>
        <w:tc>
          <w:tcPr>
            <w:tcW w:w="4050" w:type="dxa"/>
            <w:tcMar>
              <w:left w:w="120" w:type="dxa"/>
            </w:tcMar>
            <w:vAlign w:val="center"/>
          </w:tcPr>
          <w:p w14:paraId="3DED8565">
            <w:pPr>
              <w:spacing w:line="200" w:lineRule="exact"/>
            </w:pPr>
            <w:r>
              <w:rPr>
                <w:rFonts w:ascii="方正黑体_GBK" w:hAnsi="方正黑体_GBK" w:eastAsia="方正黑体_GBK" w:cs="宋体"/>
                <w:sz w:val="15"/>
                <w:szCs w:val="20"/>
              </w:rPr>
              <w:t>上海市黄浦区中山东二路70号</w:t>
            </w:r>
          </w:p>
        </w:tc>
        <w:tc>
          <w:tcPr>
            <w:tcW w:w="1350" w:type="dxa"/>
            <w:tcMar>
              <w:left w:w="120" w:type="dxa"/>
            </w:tcMar>
            <w:vAlign w:val="center"/>
          </w:tcPr>
          <w:p w14:paraId="0BCCA203">
            <w:pPr>
              <w:spacing w:line="200" w:lineRule="exact"/>
            </w:pPr>
            <w:r>
              <w:rPr>
                <w:rFonts w:ascii="方正黑体_GBK" w:hAnsi="方正黑体_GBK" w:eastAsia="方正黑体_GBK" w:cs="宋体"/>
                <w:sz w:val="15"/>
                <w:szCs w:val="20"/>
              </w:rPr>
              <w:t>021-962999</w:t>
            </w:r>
          </w:p>
        </w:tc>
      </w:tr>
      <w:tr w14:paraId="15440D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8128DB5">
            <w:pPr>
              <w:spacing w:line="200" w:lineRule="exact"/>
            </w:pPr>
            <w:r>
              <w:rPr>
                <w:rFonts w:ascii="方正黑体_GBK" w:hAnsi="方正黑体_GBK" w:eastAsia="方正黑体_GBK" w:cs="宋体"/>
                <w:sz w:val="15"/>
                <w:szCs w:val="20"/>
              </w:rPr>
              <w:t>长安银行股份有限公司</w:t>
            </w:r>
          </w:p>
        </w:tc>
        <w:tc>
          <w:tcPr>
            <w:tcW w:w="4050" w:type="dxa"/>
            <w:tcMar>
              <w:left w:w="120" w:type="dxa"/>
            </w:tcMar>
            <w:vAlign w:val="center"/>
          </w:tcPr>
          <w:p w14:paraId="1122CDEE">
            <w:pPr>
              <w:spacing w:line="200" w:lineRule="exact"/>
            </w:pPr>
            <w:r>
              <w:rPr>
                <w:rFonts w:ascii="方正黑体_GBK" w:hAnsi="方正黑体_GBK" w:eastAsia="方正黑体_GBK" w:cs="宋体"/>
                <w:sz w:val="15"/>
                <w:szCs w:val="20"/>
              </w:rPr>
              <w:t>西安市高新区高新四路13号1幢1单元10101室</w:t>
            </w:r>
          </w:p>
        </w:tc>
        <w:tc>
          <w:tcPr>
            <w:tcW w:w="1350" w:type="dxa"/>
            <w:tcMar>
              <w:left w:w="120" w:type="dxa"/>
            </w:tcMar>
            <w:vAlign w:val="center"/>
          </w:tcPr>
          <w:p w14:paraId="4544B750">
            <w:pPr>
              <w:spacing w:line="200" w:lineRule="exact"/>
            </w:pPr>
            <w:r>
              <w:rPr>
                <w:rFonts w:ascii="方正黑体_GBK" w:hAnsi="方正黑体_GBK" w:eastAsia="方正黑体_GBK" w:cs="宋体"/>
                <w:sz w:val="15"/>
                <w:szCs w:val="20"/>
              </w:rPr>
              <w:t>029-96669</w:t>
            </w:r>
          </w:p>
        </w:tc>
      </w:tr>
      <w:tr w14:paraId="1347D9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09D32BD">
            <w:pPr>
              <w:spacing w:line="200" w:lineRule="exact"/>
            </w:pPr>
            <w:r>
              <w:rPr>
                <w:rFonts w:ascii="方正黑体_GBK" w:hAnsi="方正黑体_GBK" w:eastAsia="方正黑体_GBK" w:cs="宋体"/>
                <w:sz w:val="15"/>
                <w:szCs w:val="20"/>
              </w:rPr>
              <w:t>江苏沭阳农村商业银行股份有限公司</w:t>
            </w:r>
          </w:p>
        </w:tc>
        <w:tc>
          <w:tcPr>
            <w:tcW w:w="4050" w:type="dxa"/>
            <w:tcMar>
              <w:left w:w="120" w:type="dxa"/>
            </w:tcMar>
            <w:vAlign w:val="center"/>
          </w:tcPr>
          <w:p w14:paraId="1650369F">
            <w:pPr>
              <w:spacing w:line="200" w:lineRule="exact"/>
            </w:pPr>
            <w:r>
              <w:rPr>
                <w:rFonts w:ascii="方正黑体_GBK" w:hAnsi="方正黑体_GBK" w:eastAsia="方正黑体_GBK" w:cs="宋体"/>
                <w:sz w:val="15"/>
                <w:szCs w:val="20"/>
              </w:rPr>
              <w:t>沭阳县沭城镇苏州东路与台州南路交汇处</w:t>
            </w:r>
          </w:p>
        </w:tc>
        <w:tc>
          <w:tcPr>
            <w:tcW w:w="1350" w:type="dxa"/>
            <w:tcMar>
              <w:left w:w="120" w:type="dxa"/>
            </w:tcMar>
            <w:vAlign w:val="center"/>
          </w:tcPr>
          <w:p w14:paraId="27899E6E">
            <w:pPr>
              <w:spacing w:line="200" w:lineRule="exact"/>
            </w:pPr>
            <w:r>
              <w:rPr>
                <w:rFonts w:ascii="方正黑体_GBK" w:hAnsi="方正黑体_GBK" w:eastAsia="方正黑体_GBK" w:cs="宋体"/>
                <w:sz w:val="15"/>
                <w:szCs w:val="20"/>
              </w:rPr>
              <w:t>96008</w:t>
            </w:r>
          </w:p>
        </w:tc>
      </w:tr>
      <w:tr w14:paraId="43A9CE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BA9DF4E">
            <w:pPr>
              <w:spacing w:line="200" w:lineRule="exact"/>
            </w:pPr>
            <w:r>
              <w:rPr>
                <w:rFonts w:ascii="方正黑体_GBK" w:hAnsi="方正黑体_GBK" w:eastAsia="方正黑体_GBK" w:cs="宋体"/>
                <w:sz w:val="15"/>
                <w:szCs w:val="20"/>
              </w:rPr>
              <w:t>海南农村商业银行股份有限公司</w:t>
            </w:r>
          </w:p>
        </w:tc>
        <w:tc>
          <w:tcPr>
            <w:tcW w:w="4050" w:type="dxa"/>
            <w:tcMar>
              <w:left w:w="120" w:type="dxa"/>
            </w:tcMar>
            <w:vAlign w:val="center"/>
          </w:tcPr>
          <w:p w14:paraId="73DF3E05">
            <w:pPr>
              <w:spacing w:line="200" w:lineRule="exact"/>
            </w:pPr>
            <w:r>
              <w:rPr>
                <w:rFonts w:ascii="方正黑体_GBK" w:hAnsi="方正黑体_GBK" w:eastAsia="方正黑体_GBK" w:cs="宋体"/>
                <w:sz w:val="15"/>
                <w:szCs w:val="20"/>
              </w:rPr>
              <w:t>海南省海口市美兰区国兴大道5号海南大厦</w:t>
            </w:r>
          </w:p>
        </w:tc>
        <w:tc>
          <w:tcPr>
            <w:tcW w:w="1350" w:type="dxa"/>
            <w:tcMar>
              <w:left w:w="120" w:type="dxa"/>
            </w:tcMar>
            <w:vAlign w:val="center"/>
          </w:tcPr>
          <w:p w14:paraId="02396E47">
            <w:pPr>
              <w:spacing w:line="200" w:lineRule="exact"/>
            </w:pPr>
            <w:r>
              <w:rPr>
                <w:rFonts w:ascii="方正黑体_GBK" w:hAnsi="方正黑体_GBK" w:eastAsia="方正黑体_GBK" w:cs="宋体"/>
                <w:sz w:val="15"/>
                <w:szCs w:val="20"/>
              </w:rPr>
              <w:t>65200533</w:t>
            </w:r>
          </w:p>
        </w:tc>
      </w:tr>
      <w:tr w14:paraId="56A547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257CCCA">
            <w:pPr>
              <w:spacing w:line="200" w:lineRule="exact"/>
            </w:pPr>
            <w:r>
              <w:rPr>
                <w:rFonts w:ascii="方正黑体_GBK" w:hAnsi="方正黑体_GBK" w:eastAsia="方正黑体_GBK" w:cs="宋体"/>
                <w:sz w:val="15"/>
                <w:szCs w:val="20"/>
              </w:rPr>
              <w:t>湖州银行股份有限公司</w:t>
            </w:r>
          </w:p>
        </w:tc>
        <w:tc>
          <w:tcPr>
            <w:tcW w:w="4050" w:type="dxa"/>
            <w:tcMar>
              <w:left w:w="120" w:type="dxa"/>
            </w:tcMar>
            <w:vAlign w:val="center"/>
          </w:tcPr>
          <w:p w14:paraId="1C8A9435">
            <w:pPr>
              <w:spacing w:line="200" w:lineRule="exact"/>
            </w:pPr>
            <w:r>
              <w:rPr>
                <w:rFonts w:ascii="方正黑体_GBK" w:hAnsi="方正黑体_GBK" w:eastAsia="方正黑体_GBK" w:cs="宋体"/>
                <w:sz w:val="15"/>
                <w:szCs w:val="20"/>
              </w:rPr>
              <w:t>浙江省湖州市红旗路268号</w:t>
            </w:r>
          </w:p>
        </w:tc>
        <w:tc>
          <w:tcPr>
            <w:tcW w:w="1350" w:type="dxa"/>
            <w:tcMar>
              <w:left w:w="120" w:type="dxa"/>
            </w:tcMar>
            <w:vAlign w:val="center"/>
          </w:tcPr>
          <w:p w14:paraId="50817234">
            <w:pPr>
              <w:spacing w:line="200" w:lineRule="exact"/>
            </w:pPr>
            <w:r>
              <w:rPr>
                <w:rFonts w:ascii="方正黑体_GBK" w:hAnsi="方正黑体_GBK" w:eastAsia="方正黑体_GBK" w:cs="宋体"/>
                <w:sz w:val="15"/>
                <w:szCs w:val="20"/>
              </w:rPr>
              <w:t>40080-96528</w:t>
            </w:r>
          </w:p>
        </w:tc>
      </w:tr>
      <w:tr w14:paraId="1F9D2C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C57F416">
            <w:pPr>
              <w:spacing w:line="200" w:lineRule="exact"/>
            </w:pPr>
            <w:r>
              <w:rPr>
                <w:rFonts w:ascii="方正黑体_GBK" w:hAnsi="方正黑体_GBK" w:eastAsia="方正黑体_GBK" w:cs="宋体"/>
                <w:sz w:val="15"/>
                <w:szCs w:val="20"/>
              </w:rPr>
              <w:t>江苏灌云农村商业银行股份有限公司</w:t>
            </w:r>
          </w:p>
        </w:tc>
        <w:tc>
          <w:tcPr>
            <w:tcW w:w="4050" w:type="dxa"/>
            <w:tcMar>
              <w:left w:w="120" w:type="dxa"/>
            </w:tcMar>
            <w:vAlign w:val="center"/>
          </w:tcPr>
          <w:p w14:paraId="6286044C">
            <w:pPr>
              <w:spacing w:line="200" w:lineRule="exact"/>
            </w:pPr>
            <w:r>
              <w:rPr>
                <w:rFonts w:ascii="方正黑体_GBK" w:hAnsi="方正黑体_GBK" w:eastAsia="方正黑体_GBK" w:cs="宋体"/>
                <w:sz w:val="15"/>
                <w:szCs w:val="20"/>
              </w:rPr>
              <w:t>江苏省灌云县伊山镇水利路东侧（人民路与水利路交汇处）</w:t>
            </w:r>
          </w:p>
        </w:tc>
        <w:tc>
          <w:tcPr>
            <w:tcW w:w="1350" w:type="dxa"/>
            <w:tcMar>
              <w:left w:w="120" w:type="dxa"/>
            </w:tcMar>
            <w:vAlign w:val="center"/>
          </w:tcPr>
          <w:p w14:paraId="3CAECED1">
            <w:pPr>
              <w:spacing w:line="200" w:lineRule="exact"/>
            </w:pPr>
            <w:r>
              <w:rPr>
                <w:rFonts w:ascii="方正黑体_GBK" w:hAnsi="方正黑体_GBK" w:eastAsia="方正黑体_GBK" w:cs="宋体"/>
                <w:sz w:val="15"/>
                <w:szCs w:val="20"/>
              </w:rPr>
              <w:t>96008</w:t>
            </w:r>
          </w:p>
        </w:tc>
      </w:tr>
      <w:tr w14:paraId="4501E4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7940463">
            <w:pPr>
              <w:spacing w:line="200" w:lineRule="exact"/>
            </w:pPr>
            <w:r>
              <w:rPr>
                <w:rFonts w:ascii="方正黑体_GBK" w:hAnsi="方正黑体_GBK" w:eastAsia="方正黑体_GBK" w:cs="宋体"/>
                <w:sz w:val="15"/>
                <w:szCs w:val="20"/>
              </w:rPr>
              <w:t>江苏海安农村商业银行股份有限公司</w:t>
            </w:r>
          </w:p>
        </w:tc>
        <w:tc>
          <w:tcPr>
            <w:tcW w:w="4050" w:type="dxa"/>
            <w:tcMar>
              <w:left w:w="120" w:type="dxa"/>
            </w:tcMar>
            <w:vAlign w:val="center"/>
          </w:tcPr>
          <w:p w14:paraId="63E4352E">
            <w:pPr>
              <w:spacing w:line="200" w:lineRule="exact"/>
            </w:pPr>
            <w:r>
              <w:rPr>
                <w:rFonts w:ascii="方正黑体_GBK" w:hAnsi="方正黑体_GBK" w:eastAsia="方正黑体_GBK" w:cs="宋体"/>
                <w:sz w:val="15"/>
                <w:szCs w:val="20"/>
              </w:rPr>
              <w:t>江苏省海安市长江中路88号(东楼 )</w:t>
            </w:r>
          </w:p>
        </w:tc>
        <w:tc>
          <w:tcPr>
            <w:tcW w:w="1350" w:type="dxa"/>
            <w:tcMar>
              <w:left w:w="120" w:type="dxa"/>
            </w:tcMar>
            <w:vAlign w:val="center"/>
          </w:tcPr>
          <w:p w14:paraId="465FF400">
            <w:pPr>
              <w:spacing w:line="200" w:lineRule="exact"/>
            </w:pPr>
            <w:r>
              <w:rPr>
                <w:rFonts w:ascii="方正黑体_GBK" w:hAnsi="方正黑体_GBK" w:eastAsia="方正黑体_GBK" w:cs="宋体"/>
                <w:sz w:val="15"/>
                <w:szCs w:val="20"/>
              </w:rPr>
              <w:t>96008</w:t>
            </w:r>
          </w:p>
        </w:tc>
      </w:tr>
      <w:tr w14:paraId="6042AC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D47A740">
            <w:pPr>
              <w:spacing w:line="200" w:lineRule="exact"/>
            </w:pPr>
            <w:r>
              <w:rPr>
                <w:rFonts w:ascii="方正黑体_GBK" w:hAnsi="方正黑体_GBK" w:eastAsia="方正黑体_GBK" w:cs="宋体"/>
                <w:sz w:val="15"/>
                <w:szCs w:val="20"/>
              </w:rPr>
              <w:t>广州农村商业银行股份有限公司</w:t>
            </w:r>
          </w:p>
        </w:tc>
        <w:tc>
          <w:tcPr>
            <w:tcW w:w="4050" w:type="dxa"/>
            <w:tcMar>
              <w:left w:w="120" w:type="dxa"/>
            </w:tcMar>
            <w:vAlign w:val="center"/>
          </w:tcPr>
          <w:p w14:paraId="2C8DEA22">
            <w:pPr>
              <w:spacing w:line="200" w:lineRule="exact"/>
            </w:pPr>
            <w:r>
              <w:rPr>
                <w:rFonts w:ascii="方正黑体_GBK" w:hAnsi="方正黑体_GBK" w:eastAsia="方正黑体_GBK" w:cs="宋体"/>
                <w:sz w:val="15"/>
                <w:szCs w:val="20"/>
              </w:rPr>
              <w:t>广州市黄埔区映日路9号</w:t>
            </w:r>
          </w:p>
        </w:tc>
        <w:tc>
          <w:tcPr>
            <w:tcW w:w="1350" w:type="dxa"/>
            <w:tcMar>
              <w:left w:w="120" w:type="dxa"/>
            </w:tcMar>
            <w:vAlign w:val="center"/>
          </w:tcPr>
          <w:p w14:paraId="7CCC3A7F">
            <w:pPr>
              <w:spacing w:line="200" w:lineRule="exact"/>
            </w:pPr>
            <w:r>
              <w:rPr>
                <w:rFonts w:ascii="方正黑体_GBK" w:hAnsi="方正黑体_GBK" w:eastAsia="方正黑体_GBK" w:cs="宋体"/>
                <w:sz w:val="15"/>
                <w:szCs w:val="20"/>
              </w:rPr>
              <w:t>95313</w:t>
            </w:r>
          </w:p>
        </w:tc>
      </w:tr>
      <w:tr w14:paraId="7B0A50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69F80B8">
            <w:pPr>
              <w:spacing w:line="200" w:lineRule="exact"/>
            </w:pPr>
            <w:r>
              <w:rPr>
                <w:rFonts w:ascii="方正黑体_GBK" w:hAnsi="方正黑体_GBK" w:eastAsia="方正黑体_GBK" w:cs="宋体"/>
                <w:sz w:val="15"/>
                <w:szCs w:val="20"/>
              </w:rPr>
              <w:t>江苏泰州农村商业银行股份有限公司</w:t>
            </w:r>
          </w:p>
        </w:tc>
        <w:tc>
          <w:tcPr>
            <w:tcW w:w="4050" w:type="dxa"/>
            <w:tcMar>
              <w:left w:w="120" w:type="dxa"/>
            </w:tcMar>
            <w:vAlign w:val="center"/>
          </w:tcPr>
          <w:p w14:paraId="35E92BCA">
            <w:pPr>
              <w:spacing w:line="200" w:lineRule="exact"/>
            </w:pPr>
            <w:r>
              <w:rPr>
                <w:rFonts w:ascii="方正黑体_GBK" w:hAnsi="方正黑体_GBK" w:eastAsia="方正黑体_GBK" w:cs="宋体"/>
                <w:sz w:val="15"/>
                <w:szCs w:val="20"/>
              </w:rPr>
              <w:t>泰州市海陵区西仓路36号</w:t>
            </w:r>
          </w:p>
        </w:tc>
        <w:tc>
          <w:tcPr>
            <w:tcW w:w="1350" w:type="dxa"/>
            <w:tcMar>
              <w:left w:w="120" w:type="dxa"/>
            </w:tcMar>
            <w:vAlign w:val="center"/>
          </w:tcPr>
          <w:p w14:paraId="7BCCEBD2">
            <w:pPr>
              <w:spacing w:line="200" w:lineRule="exact"/>
            </w:pPr>
            <w:r>
              <w:rPr>
                <w:rFonts w:ascii="方正黑体_GBK" w:hAnsi="方正黑体_GBK" w:eastAsia="方正黑体_GBK" w:cs="宋体"/>
                <w:sz w:val="15"/>
                <w:szCs w:val="20"/>
              </w:rPr>
              <w:t>96008</w:t>
            </w:r>
          </w:p>
        </w:tc>
      </w:tr>
      <w:tr w14:paraId="23091E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69DACF9">
            <w:pPr>
              <w:spacing w:line="200" w:lineRule="exact"/>
            </w:pPr>
            <w:r>
              <w:rPr>
                <w:rFonts w:ascii="方正黑体_GBK" w:hAnsi="方正黑体_GBK" w:eastAsia="方正黑体_GBK" w:cs="宋体"/>
                <w:sz w:val="15"/>
                <w:szCs w:val="20"/>
              </w:rPr>
              <w:t>朝阳银行股份有限公司</w:t>
            </w:r>
          </w:p>
        </w:tc>
        <w:tc>
          <w:tcPr>
            <w:tcW w:w="4050" w:type="dxa"/>
            <w:tcMar>
              <w:left w:w="120" w:type="dxa"/>
            </w:tcMar>
            <w:vAlign w:val="center"/>
          </w:tcPr>
          <w:p w14:paraId="7407DBEC">
            <w:pPr>
              <w:spacing w:line="200" w:lineRule="exact"/>
            </w:pPr>
            <w:r>
              <w:rPr>
                <w:rFonts w:ascii="方正黑体_GBK" w:hAnsi="方正黑体_GBK" w:eastAsia="方正黑体_GBK" w:cs="宋体"/>
                <w:sz w:val="15"/>
                <w:szCs w:val="20"/>
              </w:rPr>
              <w:t>朝阳市双塔区朝阳大街三段4号</w:t>
            </w:r>
          </w:p>
        </w:tc>
        <w:tc>
          <w:tcPr>
            <w:tcW w:w="1350" w:type="dxa"/>
            <w:tcMar>
              <w:left w:w="120" w:type="dxa"/>
            </w:tcMar>
            <w:vAlign w:val="center"/>
          </w:tcPr>
          <w:p w14:paraId="6ACA1F74">
            <w:pPr>
              <w:spacing w:line="200" w:lineRule="exact"/>
            </w:pPr>
            <w:r>
              <w:rPr>
                <w:rFonts w:ascii="方正黑体_GBK" w:hAnsi="方正黑体_GBK" w:eastAsia="方正黑体_GBK" w:cs="宋体"/>
                <w:sz w:val="15"/>
                <w:szCs w:val="20"/>
              </w:rPr>
              <w:t>0421-2632275</w:t>
            </w:r>
          </w:p>
        </w:tc>
      </w:tr>
      <w:tr w14:paraId="232890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8EECE8B">
            <w:pPr>
              <w:spacing w:line="200" w:lineRule="exact"/>
            </w:pPr>
            <w:r>
              <w:rPr>
                <w:rFonts w:ascii="方正黑体_GBK" w:hAnsi="方正黑体_GBK" w:eastAsia="方正黑体_GBK" w:cs="宋体"/>
                <w:sz w:val="15"/>
                <w:szCs w:val="20"/>
              </w:rPr>
              <w:t>江苏启东农村商业银行股份有限公司</w:t>
            </w:r>
          </w:p>
        </w:tc>
        <w:tc>
          <w:tcPr>
            <w:tcW w:w="4050" w:type="dxa"/>
            <w:tcMar>
              <w:left w:w="120" w:type="dxa"/>
            </w:tcMar>
            <w:vAlign w:val="center"/>
          </w:tcPr>
          <w:p w14:paraId="18E0B739">
            <w:pPr>
              <w:spacing w:line="200" w:lineRule="exact"/>
            </w:pPr>
            <w:r>
              <w:rPr>
                <w:rFonts w:ascii="方正黑体_GBK" w:hAnsi="方正黑体_GBK" w:eastAsia="方正黑体_GBK" w:cs="宋体"/>
                <w:sz w:val="15"/>
                <w:szCs w:val="20"/>
              </w:rPr>
              <w:t>江苏省启东市汇龙镇金沙江路1688号</w:t>
            </w:r>
          </w:p>
        </w:tc>
        <w:tc>
          <w:tcPr>
            <w:tcW w:w="1350" w:type="dxa"/>
            <w:tcMar>
              <w:left w:w="120" w:type="dxa"/>
            </w:tcMar>
            <w:vAlign w:val="center"/>
          </w:tcPr>
          <w:p w14:paraId="043F4CF5">
            <w:pPr>
              <w:spacing w:line="200" w:lineRule="exact"/>
            </w:pPr>
            <w:r>
              <w:rPr>
                <w:rFonts w:ascii="方正黑体_GBK" w:hAnsi="方正黑体_GBK" w:eastAsia="方正黑体_GBK" w:cs="宋体"/>
                <w:sz w:val="15"/>
                <w:szCs w:val="20"/>
              </w:rPr>
              <w:t>96008</w:t>
            </w:r>
          </w:p>
        </w:tc>
      </w:tr>
    </w:tbl>
    <w:p w14:paraId="2148B983">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（二）关联关系信息</w:t>
      </w:r>
    </w:p>
    <w:p w14:paraId="64486F59">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（1）与管理人有关联关系的机构信息如下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4B66E6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vAlign w:val="center"/>
          </w:tcPr>
          <w:p w14:paraId="14EDB460">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36721EAF">
            <w:pPr>
              <w:spacing w:line="200" w:lineRule="exact"/>
              <w:jc w:val="center"/>
            </w:pPr>
            <w:r>
              <w:rPr>
                <w:rFonts w:ascii="方正黑体_GBK" w:hAnsi="方正黑体_GBK" w:eastAsia="方正黑体_GBK" w:cs="宋体"/>
                <w:b/>
                <w:sz w:val="15"/>
                <w:szCs w:val="20"/>
              </w:rPr>
              <w:t>关联关系</w:t>
            </w:r>
          </w:p>
        </w:tc>
      </w:tr>
      <w:tr w14:paraId="3728EB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6E63CB11">
            <w:pPr>
              <w:spacing w:line="200" w:lineRule="exact"/>
            </w:pPr>
            <w:r>
              <w:rPr>
                <w:rFonts w:ascii="方正黑体_GBK" w:hAnsi="方正黑体_GBK" w:eastAsia="方正黑体_GBK" w:cs="宋体"/>
                <w:sz w:val="15"/>
                <w:szCs w:val="20"/>
              </w:rPr>
              <w:t>江苏丹阳农村商业银行股份有限公司</w:t>
            </w:r>
          </w:p>
        </w:tc>
        <w:tc>
          <w:tcPr>
            <w:tcW w:w="4500" w:type="dxa"/>
            <w:tcMar>
              <w:left w:w="120" w:type="dxa"/>
            </w:tcMar>
            <w:vAlign w:val="center"/>
          </w:tcPr>
          <w:p w14:paraId="3E89333B">
            <w:pPr>
              <w:spacing w:line="200" w:lineRule="exact"/>
            </w:pPr>
            <w:r>
              <w:rPr>
                <w:rFonts w:ascii="方正黑体_GBK" w:hAnsi="方正黑体_GBK" w:eastAsia="方正黑体_GBK" w:cs="宋体"/>
                <w:sz w:val="15"/>
                <w:szCs w:val="20"/>
              </w:rPr>
              <w:t>发行机构的董事、高管及其近亲属控制的法人或非法人组织</w:t>
            </w:r>
          </w:p>
        </w:tc>
      </w:tr>
      <w:tr w14:paraId="65F19B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15B3B982">
            <w:pPr>
              <w:spacing w:line="200" w:lineRule="exact"/>
            </w:pPr>
            <w:r>
              <w:rPr>
                <w:rFonts w:ascii="方正黑体_GBK" w:hAnsi="方正黑体_GBK" w:eastAsia="方正黑体_GBK" w:cs="宋体"/>
                <w:sz w:val="15"/>
                <w:szCs w:val="20"/>
              </w:rPr>
              <w:t>江苏江南农村商业银行股份有限公司</w:t>
            </w:r>
          </w:p>
        </w:tc>
        <w:tc>
          <w:tcPr>
            <w:tcW w:w="4500" w:type="dxa"/>
            <w:tcMar>
              <w:left w:w="120" w:type="dxa"/>
            </w:tcMar>
            <w:vAlign w:val="center"/>
          </w:tcPr>
          <w:p w14:paraId="06334564">
            <w:pPr>
              <w:spacing w:line="200" w:lineRule="exact"/>
            </w:pPr>
            <w:r>
              <w:rPr>
                <w:rFonts w:ascii="方正黑体_GBK" w:hAnsi="方正黑体_GBK" w:eastAsia="方正黑体_GBK" w:cs="宋体"/>
                <w:sz w:val="15"/>
                <w:szCs w:val="20"/>
              </w:rPr>
              <w:t>发行机构的董事、高管及其近亲属控制的法人或非法人组织</w:t>
            </w:r>
          </w:p>
        </w:tc>
      </w:tr>
      <w:tr w14:paraId="50A929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5469C8D5">
            <w:pPr>
              <w:spacing w:line="200" w:lineRule="exact"/>
            </w:pPr>
            <w:r>
              <w:rPr>
                <w:rFonts w:ascii="方正黑体_GBK" w:hAnsi="方正黑体_GBK" w:eastAsia="方正黑体_GBK" w:cs="宋体"/>
                <w:sz w:val="15"/>
                <w:szCs w:val="20"/>
              </w:rPr>
              <w:t>昆山鹿城村镇银行股份有限公司</w:t>
            </w:r>
          </w:p>
        </w:tc>
        <w:tc>
          <w:tcPr>
            <w:tcW w:w="4500" w:type="dxa"/>
            <w:tcMar>
              <w:left w:w="120" w:type="dxa"/>
            </w:tcMar>
            <w:vAlign w:val="center"/>
          </w:tcPr>
          <w:p w14:paraId="04E581D3">
            <w:pPr>
              <w:spacing w:line="200" w:lineRule="exact"/>
            </w:pPr>
            <w:r>
              <w:rPr>
                <w:rFonts w:ascii="方正黑体_GBK" w:hAnsi="方正黑体_GBK" w:eastAsia="方正黑体_GBK" w:cs="宋体"/>
                <w:sz w:val="15"/>
                <w:szCs w:val="20"/>
              </w:rPr>
              <w:t>发行机构股东控制或可施加重大影响的法人或非法人组织</w:t>
            </w:r>
          </w:p>
        </w:tc>
      </w:tr>
      <w:tr w14:paraId="443BC4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317FEF7B">
            <w:pPr>
              <w:spacing w:line="200" w:lineRule="exact"/>
            </w:pPr>
            <w:r>
              <w:rPr>
                <w:rFonts w:ascii="方正黑体_GBK" w:hAnsi="方正黑体_GBK" w:eastAsia="方正黑体_GBK" w:cs="宋体"/>
                <w:sz w:val="15"/>
                <w:szCs w:val="20"/>
              </w:rPr>
              <w:t>南京银行股份有限公司</w:t>
            </w:r>
          </w:p>
        </w:tc>
        <w:tc>
          <w:tcPr>
            <w:tcW w:w="4500" w:type="dxa"/>
            <w:tcMar>
              <w:left w:w="120" w:type="dxa"/>
            </w:tcMar>
            <w:vAlign w:val="center"/>
          </w:tcPr>
          <w:p w14:paraId="1C42743C">
            <w:pPr>
              <w:spacing w:line="200" w:lineRule="exact"/>
            </w:pPr>
            <w:r>
              <w:rPr>
                <w:rFonts w:ascii="方正黑体_GBK" w:hAnsi="方正黑体_GBK" w:eastAsia="方正黑体_GBK" w:cs="宋体"/>
                <w:sz w:val="15"/>
                <w:szCs w:val="20"/>
              </w:rPr>
              <w:t>发行机构股东</w:t>
            </w:r>
          </w:p>
        </w:tc>
      </w:tr>
    </w:tbl>
    <w:p w14:paraId="7E1C771A">
      <w:pPr>
        <w:pStyle w:val="29"/>
        <w:spacing w:line="200" w:lineRule="exact"/>
        <w:ind w:firstLine="300" w:firstLineChars="200"/>
        <w:rPr>
          <w:rFonts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（2）与托管人有关联关系的机构信息如下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6453CB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vAlign w:val="center"/>
          </w:tcPr>
          <w:p w14:paraId="6B6033D7">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1962700C">
            <w:pPr>
              <w:spacing w:line="200" w:lineRule="exact"/>
              <w:jc w:val="center"/>
            </w:pPr>
            <w:r>
              <w:rPr>
                <w:rFonts w:ascii="方正黑体_GBK" w:hAnsi="方正黑体_GBK" w:eastAsia="方正黑体_GBK" w:cs="宋体"/>
                <w:b/>
                <w:sz w:val="15"/>
                <w:szCs w:val="20"/>
              </w:rPr>
              <w:t>关联关系</w:t>
            </w:r>
          </w:p>
        </w:tc>
      </w:tr>
      <w:tr w14:paraId="6CC539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3F77496D">
            <w:pPr>
              <w:spacing w:line="200" w:lineRule="exact"/>
            </w:pPr>
            <w:r>
              <w:rPr>
                <w:rFonts w:ascii="方正黑体_GBK" w:hAnsi="方正黑体_GBK" w:eastAsia="方正黑体_GBK" w:cs="宋体"/>
                <w:sz w:val="15"/>
                <w:szCs w:val="20"/>
              </w:rPr>
              <w:t>昆山鹿城村镇银行股份有限公司</w:t>
            </w:r>
          </w:p>
        </w:tc>
        <w:tc>
          <w:tcPr>
            <w:tcW w:w="4500" w:type="dxa"/>
            <w:tcMar>
              <w:left w:w="120" w:type="dxa"/>
            </w:tcMar>
            <w:vAlign w:val="center"/>
          </w:tcPr>
          <w:p w14:paraId="2BB09AD8">
            <w:pPr>
              <w:spacing w:line="200" w:lineRule="exact"/>
            </w:pPr>
            <w:r>
              <w:rPr>
                <w:rFonts w:ascii="方正黑体_GBK" w:hAnsi="方正黑体_GBK" w:eastAsia="方正黑体_GBK" w:cs="宋体"/>
                <w:sz w:val="15"/>
                <w:szCs w:val="20"/>
              </w:rPr>
              <w:t>托管机构的控股机构</w:t>
            </w:r>
          </w:p>
        </w:tc>
      </w:tr>
      <w:tr w14:paraId="50877B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4775A913">
            <w:pPr>
              <w:spacing w:line="200" w:lineRule="exact"/>
            </w:pPr>
            <w:r>
              <w:rPr>
                <w:rFonts w:ascii="方正黑体_GBK" w:hAnsi="方正黑体_GBK" w:eastAsia="方正黑体_GBK" w:cs="宋体"/>
                <w:sz w:val="15"/>
                <w:szCs w:val="20"/>
              </w:rPr>
              <w:t>南银理财有限责任公司</w:t>
            </w:r>
          </w:p>
        </w:tc>
        <w:tc>
          <w:tcPr>
            <w:tcW w:w="4500" w:type="dxa"/>
            <w:tcMar>
              <w:left w:w="120" w:type="dxa"/>
            </w:tcMar>
            <w:vAlign w:val="center"/>
          </w:tcPr>
          <w:p w14:paraId="295DD618">
            <w:pPr>
              <w:spacing w:line="200" w:lineRule="exact"/>
            </w:pPr>
            <w:r>
              <w:rPr>
                <w:rFonts w:ascii="方正黑体_GBK" w:hAnsi="方正黑体_GBK" w:eastAsia="方正黑体_GBK" w:cs="宋体"/>
                <w:sz w:val="15"/>
                <w:szCs w:val="20"/>
              </w:rPr>
              <w:t>托管机构的控股机构</w:t>
            </w:r>
          </w:p>
        </w:tc>
      </w:tr>
    </w:tbl>
    <w:p w14:paraId="44B4E76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4F702EC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9D44C5D">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184241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1E637DE4">
      <w:pPr>
        <w:spacing w:line="200" w:lineRule="exact"/>
        <w:ind w:firstLine="300"/>
      </w:pPr>
      <w:r>
        <w:rPr>
          <w:rFonts w:ascii="方正黑体_GBK" w:hAnsi="方正黑体_GBK" w:eastAsia="方正黑体_GBK" w:cs="宋体"/>
          <w:color w:val="3D3D3D"/>
          <w:sz w:val="15"/>
          <w:szCs w:val="20"/>
        </w:rPr>
        <w:t>1.净值信息</w:t>
      </w:r>
    </w:p>
    <w:p w14:paraId="2B1602DE">
      <w:pPr>
        <w:spacing w:line="200" w:lineRule="exact"/>
        <w:ind w:firstLine="300"/>
      </w:pPr>
      <w:r>
        <w:rPr>
          <w:rFonts w:ascii="方正黑体_GBK" w:hAnsi="方正黑体_GBK" w:eastAsia="方正黑体_GBK" w:cs="宋体"/>
          <w:color w:val="3D3D3D"/>
          <w:sz w:val="15"/>
          <w:szCs w:val="20"/>
        </w:rPr>
        <w:t>管理人在本理财产品存续期间至少</w:t>
      </w:r>
      <w:r>
        <w:rPr>
          <w:rFonts w:ascii="方正黑体_GBK" w:hAnsi="方正黑体_GBK" w:eastAsia="方正黑体_GBK" w:cs="宋体"/>
          <w:color w:val="3D3D3D"/>
          <w:sz w:val="15"/>
          <w:szCs w:val="20"/>
          <w:shd w:val="clear" w:fill="FFFFFF"/>
        </w:rPr>
        <w:t>按周</w:t>
      </w:r>
      <w:r>
        <w:rPr>
          <w:rFonts w:ascii="方正黑体_GBK" w:hAnsi="方正黑体_GBK" w:eastAsia="方正黑体_GBK" w:cs="宋体"/>
          <w:color w:val="3D3D3D"/>
          <w:sz w:val="15"/>
          <w:szCs w:val="20"/>
        </w:rPr>
        <w:t>向投资者披露净值。</w:t>
      </w:r>
    </w:p>
    <w:p w14:paraId="5FEA0A1D">
      <w:pPr>
        <w:spacing w:line="200" w:lineRule="exact"/>
        <w:ind w:firstLine="300"/>
      </w:pPr>
      <w:r>
        <w:rPr>
          <w:rFonts w:ascii="方正黑体_GBK" w:hAnsi="方正黑体_GBK" w:eastAsia="方正黑体_GBK" w:cs="宋体"/>
          <w:color w:val="3D3D3D"/>
          <w:sz w:val="15"/>
          <w:szCs w:val="20"/>
        </w:rPr>
        <w:t>2.产品发行公告</w:t>
      </w:r>
    </w:p>
    <w:p w14:paraId="0AE78243">
      <w:pPr>
        <w:spacing w:line="200" w:lineRule="exact"/>
        <w:ind w:firstLine="300"/>
      </w:pPr>
      <w:r>
        <w:rPr>
          <w:rFonts w:ascii="方正黑体_GBK" w:hAnsi="方正黑体_GBK" w:eastAsia="方正黑体_GBK" w:cs="宋体"/>
          <w:color w:val="3D3D3D"/>
          <w:sz w:val="15"/>
          <w:szCs w:val="20"/>
        </w:rPr>
        <w:t>管理人将在本理财产品成立后5个工作日内披露产品发行公告。</w:t>
      </w:r>
    </w:p>
    <w:p w14:paraId="5005248B">
      <w:pPr>
        <w:spacing w:line="200" w:lineRule="exact"/>
        <w:ind w:firstLine="300"/>
      </w:pPr>
      <w:r>
        <w:rPr>
          <w:rFonts w:ascii="方正黑体_GBK" w:hAnsi="方正黑体_GBK" w:eastAsia="方正黑体_GBK" w:cs="宋体"/>
          <w:color w:val="3D3D3D"/>
          <w:sz w:val="15"/>
          <w:szCs w:val="20"/>
        </w:rPr>
        <w:t>3.定期报告</w:t>
      </w:r>
    </w:p>
    <w:p w14:paraId="069B2169">
      <w:pPr>
        <w:spacing w:line="200" w:lineRule="exact"/>
        <w:ind w:firstLine="300"/>
      </w:pPr>
      <w:r>
        <w:rPr>
          <w:rFonts w:ascii="方正黑体_GBK" w:hAnsi="方正黑体_GBK" w:eastAsia="方正黑体_GBK"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14:paraId="33BB230B">
      <w:pPr>
        <w:spacing w:line="200" w:lineRule="exact"/>
        <w:ind w:firstLine="300"/>
      </w:pPr>
      <w:r>
        <w:rPr>
          <w:rFonts w:ascii="方正黑体_GBK" w:hAnsi="方正黑体_GBK" w:eastAsia="方正黑体_GBK" w:cs="宋体"/>
          <w:color w:val="3D3D3D"/>
          <w:sz w:val="15"/>
          <w:szCs w:val="20"/>
        </w:rPr>
        <w:t>4.到期公告</w:t>
      </w:r>
    </w:p>
    <w:p w14:paraId="508AEA25">
      <w:pPr>
        <w:spacing w:line="200" w:lineRule="exact"/>
        <w:ind w:firstLine="300"/>
      </w:pPr>
      <w:r>
        <w:rPr>
          <w:rFonts w:ascii="方正黑体_GBK" w:hAnsi="方正黑体_GBK" w:eastAsia="方正黑体_GBK" w:cs="宋体"/>
          <w:color w:val="3D3D3D"/>
          <w:sz w:val="15"/>
          <w:szCs w:val="20"/>
        </w:rPr>
        <w:t>管理人将在本理财产品终止后5个工作日内披露产品到期公告。</w:t>
      </w:r>
    </w:p>
    <w:p w14:paraId="5B5944CA">
      <w:pPr>
        <w:spacing w:line="200" w:lineRule="exact"/>
        <w:ind w:firstLine="300"/>
      </w:pPr>
      <w:r>
        <w:rPr>
          <w:rFonts w:ascii="方正黑体_GBK" w:hAnsi="方正黑体_GBK" w:eastAsia="方正黑体_GBK" w:cs="宋体"/>
          <w:color w:val="3D3D3D"/>
          <w:sz w:val="15"/>
          <w:szCs w:val="20"/>
        </w:rPr>
        <w:t>5.重大事项公告</w:t>
      </w:r>
    </w:p>
    <w:p w14:paraId="2B919D72">
      <w:pPr>
        <w:spacing w:line="200" w:lineRule="exact"/>
        <w:ind w:firstLine="300"/>
      </w:pPr>
      <w:r>
        <w:rPr>
          <w:rFonts w:ascii="方正黑体_GBK" w:hAnsi="方正黑体_GBK" w:eastAsia="方正黑体_GBK" w:cs="宋体"/>
          <w:color w:val="3D3D3D"/>
          <w:sz w:val="15"/>
          <w:szCs w:val="20"/>
        </w:rPr>
        <w:t>管理人将在发生可能对本理财产品投资者或者理财产品收益产生重大影响的事件后2个工作日内披露重大事项公告。</w:t>
      </w:r>
    </w:p>
    <w:p w14:paraId="36E3D81C">
      <w:pPr>
        <w:spacing w:line="200" w:lineRule="exact"/>
        <w:ind w:firstLine="300"/>
      </w:pPr>
      <w:r>
        <w:rPr>
          <w:rFonts w:ascii="方正黑体_GBK" w:hAnsi="方正黑体_GBK" w:eastAsia="方正黑体_GBK" w:cs="宋体"/>
          <w:color w:val="3D3D3D"/>
          <w:sz w:val="15"/>
          <w:szCs w:val="20"/>
        </w:rPr>
        <w:t>6.临时公告</w:t>
      </w:r>
    </w:p>
    <w:p w14:paraId="30052236">
      <w:pPr>
        <w:spacing w:line="200" w:lineRule="exact"/>
        <w:ind w:firstLine="300"/>
      </w:pPr>
      <w:r>
        <w:rPr>
          <w:rFonts w:ascii="方正黑体_GBK" w:hAnsi="方正黑体_GBK" w:eastAsia="方正黑体_GBK" w:cs="宋体"/>
          <w:color w:val="3D3D3D"/>
          <w:sz w:val="15"/>
          <w:szCs w:val="20"/>
        </w:rPr>
        <w:t>理财产品在运作管理过程中，发生可能对理财产品持有人权益产生影响的事项时，管理人将根据法律法规规定及时进行临时信息披露。</w:t>
      </w:r>
    </w:p>
    <w:p w14:paraId="62DC59A0">
      <w:pPr>
        <w:spacing w:line="200" w:lineRule="exact"/>
        <w:ind w:firstLine="300"/>
      </w:pPr>
      <w:r>
        <w:rPr>
          <w:rFonts w:ascii="方正黑体_GBK" w:hAnsi="方正黑体_GBK" w:eastAsia="方正黑体_GBK" w:cs="宋体"/>
          <w:color w:val="3D3D3D"/>
          <w:sz w:val="15"/>
          <w:szCs w:val="20"/>
        </w:rPr>
        <w:t>7.关联交易信息披露</w:t>
      </w:r>
    </w:p>
    <w:p w14:paraId="6D2F2F9F">
      <w:pPr>
        <w:spacing w:line="200" w:lineRule="exact"/>
        <w:ind w:firstLine="300"/>
      </w:pPr>
      <w:r>
        <w:rPr>
          <w:rFonts w:ascii="方正黑体_GBK" w:hAnsi="方正黑体_GBK" w:eastAsia="方正黑体_GBK"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5A1473C0">
      <w:pPr>
        <w:spacing w:line="200" w:lineRule="exact"/>
        <w:ind w:firstLine="300"/>
      </w:pPr>
      <w:r>
        <w:rPr>
          <w:rFonts w:ascii="方正黑体_GBK" w:hAnsi="方正黑体_GBK" w:eastAsia="方正黑体_GBK" w:cs="宋体"/>
          <w:color w:val="3D3D3D"/>
          <w:sz w:val="15"/>
          <w:szCs w:val="20"/>
        </w:rPr>
        <w:t>8.账单</w:t>
      </w:r>
    </w:p>
    <w:p w14:paraId="778055E1">
      <w:pPr>
        <w:spacing w:line="200" w:lineRule="exact"/>
        <w:ind w:firstLine="300"/>
      </w:pPr>
      <w:r>
        <w:rPr>
          <w:rFonts w:ascii="方正黑体_GBK" w:hAnsi="方正黑体_GBK" w:eastAsia="方正黑体_GBK"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7600DAE2">
      <w:pPr>
        <w:spacing w:line="200" w:lineRule="exact"/>
        <w:ind w:firstLine="301"/>
      </w:pPr>
      <w:r>
        <w:rPr>
          <w:rFonts w:ascii="方正黑体_GBK" w:hAnsi="方正黑体_GBK" w:eastAsia="方正黑体_GBK" w:cs="宋体"/>
          <w:b/>
          <w:sz w:val="15"/>
          <w:szCs w:val="20"/>
        </w:rPr>
        <w:t>9.在本理财产品存续期内：</w:t>
      </w:r>
    </w:p>
    <w:p w14:paraId="0AB89C3B">
      <w:pPr>
        <w:spacing w:line="200" w:lineRule="exact"/>
        <w:ind w:firstLine="301"/>
      </w:pPr>
      <w:r>
        <w:rPr>
          <w:rFonts w:ascii="方正黑体_GBK" w:hAnsi="方正黑体_GBK" w:eastAsia="方正黑体_GBK"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274FAC9">
      <w:pPr>
        <w:spacing w:line="200" w:lineRule="exact"/>
        <w:ind w:firstLine="300"/>
      </w:pPr>
      <w:r>
        <w:rPr>
          <w:rFonts w:ascii="方正黑体_GBK" w:hAnsi="方正黑体_GBK" w:eastAsia="方正黑体_GBK" w:cs="宋体"/>
          <w:color w:val="3D3D3D"/>
          <w:sz w:val="15"/>
          <w:szCs w:val="20"/>
        </w:rPr>
        <w:t>10.其他公告</w:t>
      </w:r>
    </w:p>
    <w:p w14:paraId="4807591A">
      <w:pPr>
        <w:spacing w:line="200" w:lineRule="exact"/>
        <w:ind w:firstLine="300"/>
      </w:pPr>
      <w:r>
        <w:rPr>
          <w:rFonts w:ascii="方正黑体_GBK" w:hAnsi="方正黑体_GBK" w:eastAsia="方正黑体_GBK" w:cs="宋体"/>
          <w:color w:val="3D3D3D"/>
          <w:sz w:val="15"/>
          <w:szCs w:val="20"/>
        </w:rPr>
        <w:t>理财产品在运作管理过程中，管理人根据实际运作情况发布的其他公告。</w:t>
      </w:r>
    </w:p>
    <w:p w14:paraId="35BE33A5">
      <w:pPr>
        <w:spacing w:line="200" w:lineRule="exact"/>
        <w:ind w:firstLine="300"/>
      </w:pPr>
    </w:p>
    <w:p w14:paraId="4BCED1D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2EBA54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03D898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60F3F3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A964FB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E26CDA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04252FC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九</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3F02DBA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7565214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32034F1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764FA99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14D787B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AAE44EC">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401F9">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1">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2">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A9B33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f9f497b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1d723ce9"/>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e0490192"/>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09cfa8b1"/>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618bfa7"/>
    <w:qFormat/>
    <w:uiPriority w:val="0"/>
  </w:style>
  <w:style w:type="paragraph" w:customStyle="1" w:styleId="20">
    <w:name w:val="toc 1b71a711b"/>
    <w:basedOn w:val="15"/>
    <w:next w:val="1"/>
    <w:autoRedefine/>
    <w:qFormat/>
    <w:uiPriority w:val="0"/>
  </w:style>
  <w:style w:type="paragraph" w:customStyle="1" w:styleId="21">
    <w:name w:val="toc 2f99fcc0e"/>
    <w:basedOn w:val="15"/>
    <w:next w:val="1"/>
    <w:autoRedefine/>
    <w:qFormat/>
    <w:uiPriority w:val="0"/>
    <w:pPr>
      <w:ind w:left="420"/>
    </w:pPr>
  </w:style>
  <w:style w:type="paragraph" w:customStyle="1" w:styleId="22">
    <w:name w:val="toc 3d7d25b1a"/>
    <w:basedOn w:val="15"/>
    <w:next w:val="1"/>
    <w:autoRedefine/>
    <w:qFormat/>
    <w:uiPriority w:val="0"/>
    <w:pPr>
      <w:ind w:left="840"/>
    </w:pPr>
  </w:style>
  <w:style w:type="paragraph" w:customStyle="1" w:styleId="23">
    <w:name w:val="toc 47862116b"/>
    <w:basedOn w:val="15"/>
    <w:next w:val="1"/>
    <w:autoRedefine/>
    <w:uiPriority w:val="0"/>
    <w:pPr>
      <w:ind w:left="1260"/>
    </w:pPr>
  </w:style>
  <w:style w:type="paragraph" w:customStyle="1" w:styleId="24">
    <w:name w:val="toc 501f78813"/>
    <w:basedOn w:val="15"/>
    <w:next w:val="1"/>
    <w:autoRedefine/>
    <w:uiPriority w:val="0"/>
    <w:pPr>
      <w:ind w:left="1680"/>
    </w:pPr>
  </w:style>
  <w:style w:type="paragraph" w:customStyle="1" w:styleId="25">
    <w:name w:val="headerb49bc333"/>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818fb1a2"/>
    <w:basedOn w:val="15"/>
    <w:uiPriority w:val="0"/>
    <w:pPr>
      <w:tabs>
        <w:tab w:val="center" w:pos="4153"/>
        <w:tab w:val="right" w:pos="8307"/>
      </w:tabs>
      <w:adjustRightInd/>
      <w:snapToGrid w:val="0"/>
      <w:contextualSpacing w:val="0"/>
      <w:jc w:val="left"/>
    </w:pPr>
    <w:rPr>
      <w:sz w:val="18"/>
    </w:rPr>
  </w:style>
  <w:style w:type="character" w:customStyle="1" w:styleId="27">
    <w:name w:val="Strong603dfebb"/>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789ecd8"/>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034fef1"/>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bd792a23"/>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5611c0e8"/>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b1600a19"/>
    <w:qFormat/>
    <w:uiPriority w:val="0"/>
  </w:style>
  <w:style w:type="paragraph" w:customStyle="1" w:styleId="34">
    <w:name w:val="Normal Indent17939b6b"/>
    <w:basedOn w:val="29"/>
    <w:qFormat/>
    <w:uiPriority w:val="0"/>
    <w:pPr>
      <w:ind w:firstLine="200" w:firstLineChars="200"/>
    </w:pPr>
  </w:style>
  <w:style w:type="paragraph" w:customStyle="1" w:styleId="35">
    <w:name w:val="toc 58fe4bd8d"/>
    <w:basedOn w:val="29"/>
    <w:next w:val="1"/>
    <w:qFormat/>
    <w:uiPriority w:val="0"/>
    <w:pPr>
      <w:ind w:left="1680"/>
    </w:pPr>
  </w:style>
  <w:style w:type="paragraph" w:customStyle="1" w:styleId="36">
    <w:name w:val="toc 3bea65a4d"/>
    <w:basedOn w:val="29"/>
    <w:next w:val="1"/>
    <w:uiPriority w:val="0"/>
    <w:pPr>
      <w:ind w:left="840"/>
    </w:pPr>
  </w:style>
  <w:style w:type="paragraph" w:customStyle="1" w:styleId="37">
    <w:name w:val="footerbad1e271"/>
    <w:basedOn w:val="29"/>
    <w:qFormat/>
    <w:uiPriority w:val="0"/>
    <w:pPr>
      <w:tabs>
        <w:tab w:val="center" w:pos="4153"/>
        <w:tab w:val="right" w:pos="8307"/>
      </w:tabs>
      <w:adjustRightInd/>
      <w:snapToGrid w:val="0"/>
      <w:contextualSpacing w:val="0"/>
      <w:jc w:val="left"/>
    </w:pPr>
    <w:rPr>
      <w:sz w:val="18"/>
    </w:rPr>
  </w:style>
  <w:style w:type="paragraph" w:customStyle="1" w:styleId="38">
    <w:name w:val="header6d796036"/>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e0108996"/>
    <w:basedOn w:val="29"/>
    <w:next w:val="1"/>
    <w:qFormat/>
    <w:uiPriority w:val="0"/>
  </w:style>
  <w:style w:type="paragraph" w:customStyle="1" w:styleId="40">
    <w:name w:val="toc 4070bd4ab"/>
    <w:basedOn w:val="29"/>
    <w:next w:val="1"/>
    <w:qFormat/>
    <w:uiPriority w:val="0"/>
    <w:pPr>
      <w:ind w:left="1260"/>
    </w:pPr>
  </w:style>
  <w:style w:type="paragraph" w:customStyle="1" w:styleId="41">
    <w:name w:val="toc 2b93461fc"/>
    <w:basedOn w:val="29"/>
    <w:next w:val="1"/>
    <w:qFormat/>
    <w:uiPriority w:val="0"/>
    <w:pPr>
      <w:ind w:left="420"/>
    </w:pPr>
  </w:style>
  <w:style w:type="paragraph" w:customStyle="1" w:styleId="42">
    <w:name w:val="Normal (Web)7f3e7406"/>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c9fef7d9c9fef7d9"/>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7242a39e7242a39"/>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957e8800957e8800"/>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538d5450538d545"/>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e78ff6bbe78ff6bb"/>
    <w:qFormat/>
    <w:uiPriority w:val="0"/>
  </w:style>
  <w:style w:type="paragraph" w:customStyle="1" w:styleId="49">
    <w:name w:val="引文目录18c234fce8c234fce"/>
    <w:basedOn w:val="44"/>
    <w:next w:val="1"/>
    <w:uiPriority w:val="0"/>
    <w:pPr>
      <w:ind w:left="200" w:leftChars="200"/>
    </w:pPr>
  </w:style>
  <w:style w:type="paragraph" w:customStyle="1" w:styleId="50">
    <w:name w:val="toc 525bcb62f25bcb62f"/>
    <w:basedOn w:val="44"/>
    <w:next w:val="1"/>
    <w:uiPriority w:val="0"/>
    <w:pPr>
      <w:ind w:left="1680"/>
    </w:pPr>
  </w:style>
  <w:style w:type="paragraph" w:customStyle="1" w:styleId="51">
    <w:name w:val="toc 39574c15a9574c15a"/>
    <w:basedOn w:val="44"/>
    <w:next w:val="1"/>
    <w:uiPriority w:val="0"/>
    <w:pPr>
      <w:ind w:left="840"/>
    </w:pPr>
  </w:style>
  <w:style w:type="paragraph" w:customStyle="1" w:styleId="52">
    <w:name w:val="footer5f2274be5f2274be"/>
    <w:basedOn w:val="44"/>
    <w:qFormat/>
    <w:uiPriority w:val="0"/>
    <w:pPr>
      <w:tabs>
        <w:tab w:val="center" w:pos="4153"/>
        <w:tab w:val="right" w:pos="8307"/>
      </w:tabs>
      <w:adjustRightInd/>
      <w:snapToGrid w:val="0"/>
      <w:contextualSpacing w:val="0"/>
      <w:jc w:val="left"/>
    </w:pPr>
    <w:rPr>
      <w:sz w:val="18"/>
    </w:rPr>
  </w:style>
  <w:style w:type="paragraph" w:customStyle="1" w:styleId="53">
    <w:name w:val="header91eb457191eb4571"/>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2c33480a2c33480"/>
    <w:basedOn w:val="44"/>
    <w:next w:val="1"/>
    <w:uiPriority w:val="0"/>
  </w:style>
  <w:style w:type="paragraph" w:customStyle="1" w:styleId="55">
    <w:name w:val="toc 40aae04310aae0431"/>
    <w:basedOn w:val="44"/>
    <w:next w:val="1"/>
    <w:uiPriority w:val="0"/>
    <w:pPr>
      <w:ind w:left="1260"/>
    </w:pPr>
  </w:style>
  <w:style w:type="paragraph" w:customStyle="1" w:styleId="56">
    <w:name w:val="toc 26dcb8fa16dcb8fa1"/>
    <w:basedOn w:val="44"/>
    <w:next w:val="1"/>
    <w:uiPriority w:val="0"/>
    <w:pPr>
      <w:ind w:left="420"/>
    </w:pPr>
  </w:style>
  <w:style w:type="paragraph" w:customStyle="1" w:styleId="57">
    <w:name w:val="列出段落1f6df3a49f6df3a4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16</Pages>
  <Words>24306</Words>
  <Characters>25223</Characters>
  <Lines>77</Lines>
  <Paragraphs>27</Paragraphs>
  <TotalTime>9</TotalTime>
  <ScaleCrop>false</ScaleCrop>
  <LinksUpToDate>false</LinksUpToDate>
  <CharactersWithSpaces>25441</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2026-08-14T07:44:53Z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