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9f497b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9f497b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789ecd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789ecd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f3e740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南银理财珠联璧合鑫逸稳半年197期封闭式公募人民币理财产品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ZZ700322600272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Z7003226000245(投资者可依据该编码在中国理财网www.chinawealth.com.cn查询理财产品相关信息）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A份额：NYXY001664</w:t>
            </w:r>
          </w:p>
          <w:p>
            <w:pPr>
              <w:pStyle w:val="null10"/>
              <w:spacing w:lineRule="exact" w:line="200"/>
            </w:pPr>
            <w:r>
              <w:rPr>
                <w:rFonts w:ascii="方正黑体_GBK" w:hAnsi="方正黑体_GBK" w:cs="宋体" w:eastAsia="方正黑体_GBK"/>
                <w:sz w:val="18"/>
                <w:szCs w:val="18"/>
              </w:rPr>
              <w:t>B份额：NYXY001665</w:t>
            </w:r>
          </w:p>
          <w:p>
            <w:pPr>
              <w:pStyle w:val="null10"/>
              <w:spacing w:lineRule="exact" w:line="200"/>
            </w:pPr>
            <w:r>
              <w:rPr>
                <w:rFonts w:ascii="方正黑体_GBK" w:hAnsi="方正黑体_GBK" w:cs="宋体" w:eastAsia="方正黑体_GBK"/>
                <w:sz w:val="18"/>
                <w:szCs w:val="18"/>
              </w:rPr>
              <w:t>C份额：NYXY001666</w:t>
            </w:r>
          </w:p>
          <w:p>
            <w:pPr>
              <w:pStyle w:val="null10"/>
              <w:spacing w:lineRule="exact" w:line="200"/>
            </w:pPr>
            <w:r>
              <w:rPr>
                <w:rFonts w:ascii="方正黑体_GBK" w:hAnsi="方正黑体_GBK" w:cs="宋体" w:eastAsia="方正黑体_GBK"/>
                <w:sz w:val="18"/>
                <w:szCs w:val="18"/>
              </w:rPr>
              <w:t>F份额：NYXY001857</w:t>
            </w:r>
          </w:p>
          <w:p>
            <w:pPr>
              <w:pStyle w:val="null10"/>
              <w:spacing w:lineRule="exact" w:line="200"/>
            </w:pPr>
            <w:r>
              <w:rPr>
                <w:rFonts w:ascii="方正黑体_GBK" w:hAnsi="方正黑体_GBK" w:cs="宋体" w:eastAsia="方正黑体_GBK"/>
                <w:sz w:val="18"/>
                <w:szCs w:val="18"/>
              </w:rPr>
              <w:t>J份额：NYXY001667</w:t>
            </w:r>
          </w:p>
          <w:p>
            <w:pPr>
              <w:pStyle w:val="null10"/>
              <w:spacing w:lineRule="exact" w:line="200"/>
            </w:pPr>
            <w:r>
              <w:rPr>
                <w:rFonts w:ascii="方正黑体_GBK" w:hAnsi="方正黑体_GBK" w:cs="宋体" w:eastAsia="方正黑体_GBK"/>
                <w:sz w:val="18"/>
                <w:szCs w:val="18"/>
              </w:rPr>
              <w:t>L份额：NYXY001668</w:t>
            </w:r>
          </w:p>
          <w:p>
            <w:pPr>
              <w:pStyle w:val="null10"/>
              <w:spacing w:lineRule="exact" w:line="200"/>
            </w:pPr>
            <w:r>
              <w:rPr>
                <w:rFonts w:ascii="方正黑体_GBK" w:hAnsi="方正黑体_GBK" w:cs="宋体" w:eastAsia="方正黑体_GBK"/>
                <w:sz w:val="18"/>
                <w:szCs w:val="18"/>
              </w:rPr>
              <w:t>N份额：NYXY001858</w:t>
            </w:r>
          </w:p>
          <w:p>
            <w:pPr>
              <w:pStyle w:val="null10"/>
              <w:spacing w:lineRule="exact" w:line="200"/>
            </w:pPr>
            <w:r>
              <w:rPr>
                <w:rFonts w:ascii="方正黑体_GBK" w:hAnsi="方正黑体_GBK" w:cs="宋体" w:eastAsia="方正黑体_GBK"/>
                <w:sz w:val="18"/>
                <w:szCs w:val="18"/>
              </w:rPr>
              <w:t>O份额：NYXY001859</w:t>
            </w:r>
          </w:p>
          <w:p>
            <w:pPr>
              <w:pStyle w:val="null10"/>
              <w:spacing w:lineRule="exact" w:line="200"/>
            </w:pPr>
            <w:r>
              <w:rPr>
                <w:rFonts w:ascii="方正黑体_GBK" w:hAnsi="方正黑体_GBK" w:cs="宋体" w:eastAsia="方正黑体_GBK"/>
                <w:sz w:val="18"/>
                <w:szCs w:val="18"/>
              </w:rPr>
              <w:t>D2份额：NYXY001861</w:t>
            </w:r>
          </w:p>
          <w:p>
            <w:pPr>
              <w:pStyle w:val="null10"/>
              <w:spacing w:lineRule="exact" w:line="200"/>
            </w:pPr>
            <w:r>
              <w:rPr>
                <w:rFonts w:ascii="方正黑体_GBK" w:hAnsi="方正黑体_GBK" w:cs="宋体" w:eastAsia="方正黑体_GBK"/>
                <w:sz w:val="18"/>
                <w:szCs w:val="18"/>
              </w:rPr>
              <w:t>I2份额：NYXY001862</w:t>
            </w:r>
          </w:p>
          <w:p>
            <w:pPr>
              <w:pStyle w:val="null10"/>
              <w:spacing w:lineRule="exact" w:line="200"/>
            </w:pPr>
            <w:r>
              <w:rPr>
                <w:rFonts w:ascii="方正黑体_GBK" w:hAnsi="方正黑体_GBK" w:cs="宋体" w:eastAsia="方正黑体_GBK"/>
                <w:sz w:val="18"/>
                <w:szCs w:val="18"/>
              </w:rPr>
              <w:t>Q份额：NYXY001669</w:t>
            </w:r>
          </w:p>
          <w:p>
            <w:pPr>
              <w:pStyle w:val="null10"/>
              <w:spacing w:lineRule="exact" w:line="200"/>
            </w:pPr>
            <w:r>
              <w:rPr>
                <w:rFonts w:ascii="方正黑体_GBK" w:hAnsi="方正黑体_GBK" w:cs="宋体" w:eastAsia="方正黑体_GBK"/>
                <w:sz w:val="18"/>
                <w:szCs w:val="18"/>
              </w:rPr>
              <w:t>Q2份额：NYXY001860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 新资金、代发、对公客户、拥军优属客户以外的其他客户）、交通银行股份有限公司、北京农村商业银行股份有限公司、青岛银行股份有限公司、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手机银行版本为尊享家园版的个人客户）、宁夏银行股份有限公司、九江银行股份有限公司、湖北银行股份有限公司、海南银行股份有限公司、廊坊银行股份有限公司、乌鲁木齐银行股份有限公司、上海农村商业银行股份有限公司（除新客新资金外的其他客户）、湖州银行股份有限公司、桂林银行股份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除新客户和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灌南农村商业银行股份有限公司、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徽商银行股份有限公司、温州银行股份有限公司、江苏张家港农村商业银行股份有限公司、齐商银行股份有限公司、浙江民泰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云南红塔银行股份有限公司（时点资产较上月末提升5万元的个人客户）、兰州银行股份有限公司、甘肃银行股份有限公司、上海农村商业银行股份有限公司（新客新资金客户）、东营银行股份有限公司、桂林银行股份有限公司（财富客户）、海南农村商业银行股份有限公司、石嘴山银行股份有限公司（财富客户）、江苏高淳农村商业银行股份有限公司、江苏新沂农村商业银行股份有限公司（1元起购）、江苏阜宁农村商业银行股份有限公司、江苏江都农村商业银行股份有限公司、江苏淮安农村商业银行股份有限公司(财富客户)、江苏大丰农村商业银行股份有限公司、江苏镇江农村商业银行股份有限公司( 除代发客户外的20万元起购客户)、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江苏江南农村商业银行股份有限公司(代发薪客户和新资金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L份额：天津农村商业银行股份有限公司(私钻客户)、江苏姜堰农村商业银行股份有限公司（代发客户）、江苏扬州农村商业银行股份有限公司（新客户）。</w:t>
            </w:r>
          </w:p>
          <w:p>
            <w:pPr>
              <w:pStyle w:val="null10"/>
              <w:spacing w:lineRule="exact" w:line="200"/>
            </w:pPr>
            <w:r>
              <w:rPr>
                <w:rFonts w:ascii="方正黑体_GBK" w:hAnsi="方正黑体_GBK" w:cs="宋体" w:eastAsia="方正黑体_GBK"/>
                <w:sz w:val="18"/>
                <w:szCs w:val="18"/>
              </w:rPr>
              <w:t>N份额：蒙商银行股份有限公司（除财富客户外的其他客户）。</w:t>
            </w:r>
          </w:p>
          <w:p>
            <w:pPr>
              <w:pStyle w:val="null10"/>
              <w:spacing w:lineRule="exact" w:line="200"/>
            </w:pPr>
            <w:r>
              <w:rPr>
                <w:rFonts w:ascii="方正黑体_GBK" w:hAnsi="方正黑体_GBK" w:cs="宋体" w:eastAsia="方正黑体_GBK"/>
                <w:sz w:val="18"/>
                <w:szCs w:val="18"/>
              </w:rPr>
              <w:t>O份额：蒙商银行股份有限公司（财富客户）。</w:t>
            </w:r>
          </w:p>
          <w:p>
            <w:pPr>
              <w:pStyle w:val="null10"/>
              <w:spacing w:lineRule="exact" w:line="200"/>
            </w:pPr>
            <w:r>
              <w:rPr>
                <w:rFonts w:ascii="方正黑体_GBK" w:hAnsi="方正黑体_GBK" w:cs="宋体" w:eastAsia="方正黑体_GBK"/>
                <w:sz w:val="18"/>
                <w:szCs w:val="18"/>
              </w:rPr>
              <w:t>D2份额：成都银行股份有限公司。</w:t>
            </w:r>
          </w:p>
          <w:p>
            <w:pPr>
              <w:pStyle w:val="null10"/>
              <w:spacing w:lineRule="exact" w:line="200"/>
            </w:pPr>
            <w:r>
              <w:rPr>
                <w:rFonts w:ascii="方正黑体_GBK" w:hAnsi="方正黑体_GBK" w:cs="宋体" w:eastAsia="方正黑体_GBK"/>
                <w:sz w:val="18"/>
                <w:szCs w:val="18"/>
              </w:rPr>
              <w:t>I2份额：南京银行股份有限公司(拥军优属客户)。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A份额/B份额/C份额/F份额/J份额/L份额/N份额/O份额/D2份额/I2份额/Q份额/Q2份额：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2026年08月19日 09:00—2026年08月25日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2027年03月10日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A份额：业绩比较基准为2.09%(年化)。</w:t>
            </w:r>
          </w:p>
          <w:p>
            <w:pPr>
              <w:pStyle w:val="null10"/>
              <w:spacing w:lineRule="exact" w:line="200"/>
            </w:pPr>
            <w:r>
              <w:rPr>
                <w:rFonts w:ascii="方正黑体_GBK" w:hAnsi="方正黑体_GBK" w:cs="宋体" w:eastAsia="方正黑体_GBK"/>
                <w:sz w:val="18"/>
                <w:szCs w:val="18"/>
              </w:rPr>
              <w:t>B份额：业绩比较基准为2.19%(年化)。</w:t>
            </w:r>
          </w:p>
          <w:p>
            <w:pPr>
              <w:pStyle w:val="null10"/>
              <w:spacing w:lineRule="exact" w:line="200"/>
            </w:pPr>
            <w:r>
              <w:rPr>
                <w:rFonts w:ascii="方正黑体_GBK" w:hAnsi="方正黑体_GBK" w:cs="宋体" w:eastAsia="方正黑体_GBK"/>
                <w:sz w:val="18"/>
                <w:szCs w:val="18"/>
              </w:rPr>
              <w:t>C份额：业绩比较基准为2.29%(年化)。</w:t>
            </w:r>
          </w:p>
          <w:p>
            <w:pPr>
              <w:pStyle w:val="null10"/>
              <w:spacing w:lineRule="exact" w:line="200"/>
            </w:pPr>
            <w:r>
              <w:rPr>
                <w:rFonts w:ascii="方正黑体_GBK" w:hAnsi="方正黑体_GBK" w:cs="宋体" w:eastAsia="方正黑体_GBK"/>
                <w:sz w:val="18"/>
                <w:szCs w:val="18"/>
              </w:rPr>
              <w:t>F份额：业绩比较基准为2.19%(年化)。</w:t>
            </w:r>
          </w:p>
          <w:p>
            <w:pPr>
              <w:pStyle w:val="null10"/>
              <w:spacing w:lineRule="exact" w:line="200"/>
            </w:pPr>
            <w:r>
              <w:rPr>
                <w:rFonts w:ascii="方正黑体_GBK" w:hAnsi="方正黑体_GBK" w:cs="宋体" w:eastAsia="方正黑体_GBK"/>
                <w:sz w:val="18"/>
                <w:szCs w:val="18"/>
              </w:rPr>
              <w:t>J份额：业绩比较基准为2.09%(年化)。</w:t>
            </w:r>
          </w:p>
          <w:p>
            <w:pPr>
              <w:pStyle w:val="null10"/>
              <w:spacing w:lineRule="exact" w:line="200"/>
            </w:pPr>
            <w:r>
              <w:rPr>
                <w:rFonts w:ascii="方正黑体_GBK" w:hAnsi="方正黑体_GBK" w:cs="宋体" w:eastAsia="方正黑体_GBK"/>
                <w:sz w:val="18"/>
                <w:szCs w:val="18"/>
              </w:rPr>
              <w:t>L份额：业绩比较基准为2.34%(年化)。</w:t>
            </w:r>
          </w:p>
          <w:p>
            <w:pPr>
              <w:pStyle w:val="null10"/>
              <w:spacing w:lineRule="exact" w:line="200"/>
            </w:pPr>
            <w:r>
              <w:rPr>
                <w:rFonts w:ascii="方正黑体_GBK" w:hAnsi="方正黑体_GBK" w:cs="宋体" w:eastAsia="方正黑体_GBK"/>
                <w:sz w:val="18"/>
                <w:szCs w:val="18"/>
              </w:rPr>
              <w:t>N份额：业绩比较基准为2.09%(年化)。</w:t>
            </w:r>
          </w:p>
          <w:p>
            <w:pPr>
              <w:pStyle w:val="null10"/>
              <w:spacing w:lineRule="exact" w:line="200"/>
            </w:pPr>
            <w:r>
              <w:rPr>
                <w:rFonts w:ascii="方正黑体_GBK" w:hAnsi="方正黑体_GBK" w:cs="宋体" w:eastAsia="方正黑体_GBK"/>
                <w:sz w:val="18"/>
                <w:szCs w:val="18"/>
              </w:rPr>
              <w:t>O份额：业绩比较基准为2.29%(年化)。</w:t>
            </w:r>
          </w:p>
          <w:p>
            <w:pPr>
              <w:pStyle w:val="null10"/>
              <w:spacing w:lineRule="exact" w:line="200"/>
            </w:pPr>
            <w:r>
              <w:rPr>
                <w:rFonts w:ascii="方正黑体_GBK" w:hAnsi="方正黑体_GBK" w:cs="宋体" w:eastAsia="方正黑体_GBK"/>
                <w:sz w:val="18"/>
                <w:szCs w:val="18"/>
              </w:rPr>
              <w:t>D2份额：业绩比较基准为2.24%(年化)。</w:t>
            </w:r>
          </w:p>
          <w:p>
            <w:pPr>
              <w:pStyle w:val="null10"/>
              <w:spacing w:lineRule="exact" w:line="200"/>
            </w:pPr>
            <w:r>
              <w:rPr>
                <w:rFonts w:ascii="方正黑体_GBK" w:hAnsi="方正黑体_GBK" w:cs="宋体" w:eastAsia="方正黑体_GBK"/>
                <w:sz w:val="18"/>
                <w:szCs w:val="18"/>
              </w:rPr>
              <w:t>I2份额：业绩比较基准为2.19%(年化)。</w:t>
            </w:r>
          </w:p>
          <w:p>
            <w:pPr>
              <w:pStyle w:val="null10"/>
              <w:spacing w:lineRule="exact" w:line="200"/>
            </w:pPr>
            <w:r>
              <w:rPr>
                <w:rFonts w:ascii="方正黑体_GBK" w:hAnsi="方正黑体_GBK" w:cs="宋体" w:eastAsia="方正黑体_GBK"/>
                <w:sz w:val="18"/>
                <w:szCs w:val="18"/>
              </w:rPr>
              <w:t>Q份额：业绩比较基准为2.24%(年化)。</w:t>
            </w:r>
          </w:p>
          <w:p>
            <w:pPr>
              <w:pStyle w:val="null10"/>
              <w:spacing w:lineRule="exact" w:line="200"/>
            </w:pPr>
            <w:r>
              <w:rPr>
                <w:rFonts w:ascii="方正黑体_GBK" w:hAnsi="方正黑体_GBK" w:cs="宋体" w:eastAsia="方正黑体_GBK"/>
                <w:sz w:val="18"/>
                <w:szCs w:val="18"/>
              </w:rPr>
              <w:t>Q2份额：业绩比较基准为2.3%(年化)。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A份额，F份额，J份额：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B份额，I2份额：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C份额，L份额，Q2份额：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D2份额，Q份额：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A份额：固定管理费年化0.11%</w:t>
            </w:r>
          </w:p>
          <w:p>
            <w:pPr>
              <w:pStyle w:val="null10"/>
              <w:spacing w:lineRule="exact" w:line="200"/>
            </w:pPr>
            <w:r>
              <w:rPr>
                <w:rFonts w:ascii="方正黑体_GBK" w:hAnsi="方正黑体_GBK" w:cs="宋体" w:eastAsia="方正黑体_GBK"/>
                <w:sz w:val="18"/>
                <w:b/>
                <w:szCs w:val="18"/>
              </w:rPr>
              <w:t>B份额：固定管理费年化0.06%</w:t>
            </w:r>
          </w:p>
          <w:p>
            <w:pPr>
              <w:pStyle w:val="null10"/>
              <w:spacing w:lineRule="exact" w:line="200"/>
            </w:pPr>
            <w:r>
              <w:rPr>
                <w:rFonts w:ascii="方正黑体_GBK" w:hAnsi="方正黑体_GBK" w:cs="宋体" w:eastAsia="方正黑体_GBK"/>
                <w:sz w:val="18"/>
                <w:b/>
                <w:szCs w:val="18"/>
              </w:rPr>
              <w:t>C份额：固定管理费年化0.06%</w:t>
            </w:r>
          </w:p>
          <w:p>
            <w:pPr>
              <w:pStyle w:val="null10"/>
              <w:spacing w:lineRule="exact" w:line="200"/>
            </w:pPr>
            <w:r>
              <w:rPr>
                <w:rFonts w:ascii="方正黑体_GBK" w:hAnsi="方正黑体_GBK" w:cs="宋体" w:eastAsia="方正黑体_GBK"/>
                <w:sz w:val="18"/>
                <w:b/>
                <w:szCs w:val="18"/>
              </w:rPr>
              <w:t>F份额：固定管理费年化0.01%</w:t>
            </w:r>
          </w:p>
          <w:p>
            <w:pPr>
              <w:pStyle w:val="null10"/>
              <w:spacing w:lineRule="exact" w:line="200"/>
            </w:pPr>
            <w:r>
              <w:rPr>
                <w:rFonts w:ascii="方正黑体_GBK" w:hAnsi="方正黑体_GBK" w:cs="宋体" w:eastAsia="方正黑体_GBK"/>
                <w:sz w:val="18"/>
                <w:b/>
                <w:szCs w:val="18"/>
              </w:rPr>
              <w:t>J份额：固定管理费年化0.11%</w:t>
            </w:r>
          </w:p>
          <w:p>
            <w:pPr>
              <w:pStyle w:val="null10"/>
              <w:spacing w:lineRule="exact" w:line="200"/>
            </w:pPr>
            <w:r>
              <w:rPr>
                <w:rFonts w:ascii="方正黑体_GBK" w:hAnsi="方正黑体_GBK" w:cs="宋体" w:eastAsia="方正黑体_GBK"/>
                <w:sz w:val="18"/>
                <w:b/>
                <w:szCs w:val="18"/>
              </w:rPr>
              <w:t>L份额：固定管理费年化0.01%</w:t>
            </w:r>
          </w:p>
          <w:p>
            <w:pPr>
              <w:pStyle w:val="null10"/>
              <w:spacing w:lineRule="exact" w:line="200"/>
            </w:pPr>
            <w:r>
              <w:rPr>
                <w:rFonts w:ascii="方正黑体_GBK" w:hAnsi="方正黑体_GBK" w:cs="宋体" w:eastAsia="方正黑体_GBK"/>
                <w:sz w:val="18"/>
                <w:b/>
                <w:szCs w:val="18"/>
              </w:rPr>
              <w:t>N份额：固定管理费年化0.01%</w:t>
            </w:r>
          </w:p>
          <w:p>
            <w:pPr>
              <w:pStyle w:val="null10"/>
              <w:spacing w:lineRule="exact" w:line="200"/>
            </w:pPr>
            <w:r>
              <w:rPr>
                <w:rFonts w:ascii="方正黑体_GBK" w:hAnsi="方正黑体_GBK" w:cs="宋体" w:eastAsia="方正黑体_GBK"/>
                <w:sz w:val="18"/>
                <w:b/>
                <w:szCs w:val="18"/>
              </w:rPr>
              <w:t>O份额：固定管理费年化0.01%</w:t>
            </w:r>
          </w:p>
          <w:p>
            <w:pPr>
              <w:pStyle w:val="null10"/>
              <w:spacing w:lineRule="exact" w:line="200"/>
            </w:pPr>
            <w:r>
              <w:rPr>
                <w:rFonts w:ascii="方正黑体_GBK" w:hAnsi="方正黑体_GBK" w:cs="宋体" w:eastAsia="方正黑体_GBK"/>
                <w:sz w:val="18"/>
                <w:b/>
                <w:szCs w:val="18"/>
              </w:rPr>
              <w:t>D2份额：固定管理费年化0.06%</w:t>
            </w:r>
          </w:p>
          <w:p>
            <w:pPr>
              <w:pStyle w:val="null10"/>
              <w:spacing w:lineRule="exact" w:line="200"/>
            </w:pPr>
            <w:r>
              <w:rPr>
                <w:rFonts w:ascii="方正黑体_GBK" w:hAnsi="方正黑体_GBK" w:cs="宋体" w:eastAsia="方正黑体_GBK"/>
                <w:sz w:val="18"/>
                <w:b/>
                <w:szCs w:val="18"/>
              </w:rPr>
              <w:t>I2份额：固定管理费年化0.06%</w:t>
            </w:r>
          </w:p>
          <w:p>
            <w:pPr>
              <w:pStyle w:val="null10"/>
              <w:spacing w:lineRule="exact" w:line="200"/>
            </w:pPr>
            <w:r>
              <w:rPr>
                <w:rFonts w:ascii="方正黑体_GBK" w:hAnsi="方正黑体_GBK" w:cs="宋体" w:eastAsia="方正黑体_GBK"/>
                <w:sz w:val="18"/>
                <w:b/>
                <w:szCs w:val="18"/>
              </w:rPr>
              <w:t>Q份额：固定管理费年化0.06%</w:t>
            </w:r>
          </w:p>
          <w:p>
            <w:pPr>
              <w:pStyle w:val="null10"/>
              <w:spacing w:lineRule="exact" w:line="200"/>
            </w:pPr>
            <w:r>
              <w:rPr>
                <w:rFonts w:ascii="方正黑体_GBK" w:hAnsi="方正黑体_GBK" w:cs="宋体" w:eastAsia="方正黑体_GBK"/>
                <w:sz w:val="18"/>
                <w:b/>
                <w:szCs w:val="18"/>
              </w:rPr>
              <w:t>Q2份额：固定管理费年化0.05%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N份额：到期兑付时，当期产品投资的实际资产组合收益（扣除销售费、固定管理费、托管费等相关费用）超过2.09%（年化，即产品该份额对应的业绩报酬计提基准）时，超过部分管理人将按60%收取业绩报酬。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O份额：到期兑付时，当期产品投资的实际资产组合收益（扣除销售费、固定管理费、托管费等相关费用）超过2.29%（年化，即产品该份额对应的业绩报酬计提基准）时，超过部分管理人将按60%收取业绩报酬。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D2份额：到期兑付时，当期产品投资的实际资产组合收益（扣除销售费、固定管理费、托管费等相关费用）超过2.24%（年化，即产品该份额对应的业绩报酬计提基准）时，超过部分管理人将按60%收取业绩报酬。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I2份额：到期兑付时，当期产品投资的实际资产组合收益（扣除销售费、固定管理费、托管费等相关费用）超过2.19%（年化，即产品该份额对应的业绩报酬计提基准）时，超过部分管理人将按60%收取业绩报酬。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Q份额：到期兑付时，当期产品投资的实际资产组合收益（扣除销售费、固定管理费、托管费等相关费用）超过2.24%（年化，即产品该份额对应的业绩报酬计提基准）时，超过部分管理人将按60%收取业绩报酬。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pPr>
              <w:pStyle w:val="null10"/>
              <w:spacing w:lineRule="exact" w:line="200"/>
              <w:jc w:val="left"/>
            </w:pPr>
            <w:r>
              <w:rPr>
                <w:rFonts w:ascii="方正黑体_GBK" w:hAnsi="方正黑体_GBK" w:cs="宋体" w:eastAsia="方正黑体_GBK"/>
                <w:sz w:val="18"/>
                <w:szCs w:val="18"/>
              </w:rPr>
              <w:t xml:space="preserve">管理人主要职责如下：  </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阜宁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江苏灌南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成都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789ecd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9fef7d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9fef7d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9fef7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9fef7d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9fef7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9fef7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9fef7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9fef7d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南银理财珠联璧合鑫逸稳半年197期封闭式公募人民币理财产品</w:t>
      </w:r>
      <w:r>
        <w:rPr>
          <w:rFonts w:ascii="方正黑体_GBK" w:eastAsia="方正黑体_GBK" w:hint="eastAsia" w:hAnsi="方正黑体_GBK"/>
          <w:vanish w:val="0"/>
          <w:color w:val="3D3D3D"/>
          <w:kern w:val="0"/>
          <w:sz w:val="15"/>
          <w:szCs w:val="15"/>
        </w:rPr>
        <w:t>。</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9fef7d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9fef7d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9fef7d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9fef7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6df3a49"/>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9fef7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9fef7d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9fef7d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6df3a49"/>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789ecd8"/>
        <w:keepNext w:val="0"/>
        <w:keepLines w:val="0"/>
        <w:pageBreakBefore w:val="0"/>
        <w:widowControl/>
        <w:suppressLineNumbers w:val="0"/>
        <w:suppressAutoHyphens w:val="0"/>
        <w:spacing w:line="200" w:lineRule="exact"/>
        <w:ind w:firstLineChars="200" w:firstLine="300"/>
        <w:rPr>
          <w:rStyle w:val="f6df3a49"/>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3789ecd8"/>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3789ecd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兴业银行股份有限公司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福建省福州市台江区江滨中大道398号兴业银行大厦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江苏太仓农村商业银行股份有限公司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太仓市娄东街道上海东路198号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4001840060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贵阳银行股份有限公司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贵州省贵阳市观山湖区长岭北路中天·会展城B区金融商务区东区1-6栋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0851-86859053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九江银行股份有限公司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江西省九江市濂溪区长虹大道619号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常州市武进区延政中路9号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0519-96005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桂林银行股份有限公司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广西壮族自治区桂林市临桂区公园北路 8 号桂林金融大厦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400-86-96299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江苏省无锡市锡山区延庆街11号、丹山路66-3、 66-1301、 66-1401号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0510-96058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江苏阜宁农村商业银行股份有限公司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江苏省阜宁县城南新区上海路459号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枣庄银行股份有限公司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山东省枣庄市薛城区光明大道1666号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乌鲁木齐银行股份有限公司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新疆乌鲁木齐市水磨沟区会展大道 599 号新疆财富中心 A 座 4-31 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0991-96518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徽商银行股份有限公司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安徽省合肥市云谷路1699号徽银大厦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甘肃省兰州市城关区酒泉路 211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96799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江苏省连云港市灌南县人民路29号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交通银行股份有限公司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上海市浦东新区银城中路188号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95559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甘肃银行股份有限公司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甘肃省兰州市城关区东岗西路 525-1 号甘肃银行大厦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中国银行股份有限公司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北京市西城区复兴门内大街 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台州银行股份有限公司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浙江省台州市路桥区南官大道92号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95371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浙江民泰商业银行股份有限公司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浙江省温岭市太平街道三星大道168号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昆山市玉山镇前进西路1899号1号房</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0512-962077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成都银行股份有限公司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四川省成都市青羊区西御街 16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95507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武汉市武昌区水果湖街中北路86号汉街总部国际8栋</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400-85-96599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西安市高新区高新四路13号1幢1单元10101室</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029-96669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江苏海安农村商业银行股份有限公司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江苏省海安市长江中路88号(东楼 )</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江苏启东农村商业银行股份有限公司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江苏省启东市汇龙镇金沙江路1688号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bl>
    <w:p>
      <w:pPr>
        <w:pStyle w:val="3789ecd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3789ecd8"/>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江苏江南农村商业银行股份有限公司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bl>
    <w:p>
      <w:pPr>
        <w:pStyle w:val="3789ecd8"/>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昆山鹿城村镇银行股份有限公司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bl>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789ecd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789ecd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789ecd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789ecd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789ec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789ecd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9f497b2">
    <w:name w:val="Normalf9f497b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d723ce9">
    <w:name w:val="heading 11d723ce9"/>
    <w:basedOn w:val="f9f497b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0490192">
    <w:name w:val="heading 2e0490192"/>
    <w:basedOn w:val="f9f497b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9cfa8b1">
    <w:name w:val="heading 309cfa8b1"/>
    <w:basedOn w:val="f9f497b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618bfa7">
    <w:name w:val="Default Paragraph Font7618bfa7"/>
  </w:style>
  <w:style xmlns:r="http://schemas.openxmlformats.org/officeDocument/2006/relationships" w:type="paragraph" w:styleId="b71a711b">
    <w:name w:val="toc 1b71a711b"/>
    <w:basedOn w:val="f9f497b2"/>
    <w:autoRedefine/>
    <w:next w:val="0"/>
  </w:style>
  <w:style xmlns:r="http://schemas.openxmlformats.org/officeDocument/2006/relationships" w:type="paragraph" w:styleId="f99fcc0e">
    <w:name w:val="toc 2f99fcc0e"/>
    <w:basedOn w:val="f9f497b2"/>
    <w:autoRedefine/>
    <w:next w:val="0"/>
    <w:pPr>
      <w:ind w:left="420"/>
    </w:pPr>
  </w:style>
  <w:style xmlns:r="http://schemas.openxmlformats.org/officeDocument/2006/relationships" w:type="paragraph" w:styleId="d7d25b1a">
    <w:name w:val="toc 3d7d25b1a"/>
    <w:basedOn w:val="f9f497b2"/>
    <w:autoRedefine/>
    <w:next w:val="0"/>
    <w:pPr>
      <w:ind w:left="840"/>
    </w:pPr>
  </w:style>
  <w:style xmlns:r="http://schemas.openxmlformats.org/officeDocument/2006/relationships" w:type="paragraph" w:styleId="7862116b">
    <w:name w:val="toc 47862116b"/>
    <w:basedOn w:val="f9f497b2"/>
    <w:autoRedefine/>
    <w:next w:val="0"/>
    <w:pPr>
      <w:ind w:left="1260"/>
    </w:pPr>
  </w:style>
  <w:style xmlns:r="http://schemas.openxmlformats.org/officeDocument/2006/relationships" w:type="paragraph" w:styleId="01f78813">
    <w:name w:val="toc 501f78813"/>
    <w:basedOn w:val="f9f497b2"/>
    <w:autoRedefine/>
    <w:next w:val="0"/>
    <w:pPr>
      <w:ind w:left="1680"/>
    </w:pPr>
  </w:style>
  <w:style xmlns:r="http://schemas.openxmlformats.org/officeDocument/2006/relationships" w:type="paragraph" w:styleId="b49bc333">
    <w:name w:val="headerb49bc333"/>
    <w:basedOn w:val="f9f497b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18fb1a2">
    <w:name w:val="footer818fb1a2"/>
    <w:basedOn w:val="f9f497b2"/>
    <w:pPr>
      <w:tabs>
        <w:tab w:val="center" w:pos="4153"/>
        <w:tab w:val="right" w:pos="8307"/>
      </w:tabs>
      <w:adjustRightInd/>
      <w:snapToGrid w:val="0"/>
      <w:contextualSpacing w:val="0"/>
      <w:jc w:val="left"/>
    </w:pPr>
    <w:rPr>
      <w:sz w:val="18"/>
    </w:rPr>
  </w:style>
  <w:style xmlns:r="http://schemas.openxmlformats.org/officeDocument/2006/relationships" w:type="character" w:styleId="603dfebb">
    <w:name w:val="Strong603dfeb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789ecd8">
    <w:name w:val="Normal3789ecd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034fef1">
    <w:name w:val="heading 16034fef1"/>
    <w:basedOn w:val="3789ecd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d792a23">
    <w:name w:val="heading 2bd792a23"/>
    <w:basedOn w:val="3789ecd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11c0e8">
    <w:name w:val="heading 35611c0e8"/>
    <w:basedOn w:val="3789ecd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1600a19">
    <w:name w:val="Default Paragraph Fontb1600a19"/>
  </w:style>
  <w:style xmlns:r="http://schemas.openxmlformats.org/officeDocument/2006/relationships" w:type="paragraph" w:styleId="17939b6b">
    <w:name w:val="Normal Indent17939b6b"/>
    <w:basedOn w:val="3789ecd8"/>
    <w:pPr>
      <w:ind w:firstLineChars="200" w:firstLine="200"/>
    </w:pPr>
  </w:style>
  <w:style xmlns:r="http://schemas.openxmlformats.org/officeDocument/2006/relationships" w:type="paragraph" w:styleId="8fe4bd8d">
    <w:name w:val="toc 58fe4bd8d"/>
    <w:basedOn w:val="3789ecd8"/>
    <w:next w:val="0"/>
    <w:pPr>
      <w:ind w:left="1680"/>
    </w:pPr>
  </w:style>
  <w:style xmlns:r="http://schemas.openxmlformats.org/officeDocument/2006/relationships" w:type="paragraph" w:styleId="bea65a4d">
    <w:name w:val="toc 3bea65a4d"/>
    <w:basedOn w:val="3789ecd8"/>
    <w:next w:val="0"/>
    <w:pPr>
      <w:ind w:left="840"/>
    </w:pPr>
  </w:style>
  <w:style xmlns:r="http://schemas.openxmlformats.org/officeDocument/2006/relationships" w:type="paragraph" w:styleId="bad1e271">
    <w:name w:val="footerbad1e271"/>
    <w:basedOn w:val="3789ecd8"/>
    <w:pPr>
      <w:tabs>
        <w:tab w:val="center" w:pos="4153"/>
        <w:tab w:val="right" w:pos="8307"/>
      </w:tabs>
      <w:adjustRightInd/>
      <w:snapToGrid w:val="0"/>
      <w:contextualSpacing w:val="0"/>
      <w:jc w:val="left"/>
    </w:pPr>
    <w:rPr>
      <w:sz w:val="18"/>
    </w:rPr>
  </w:style>
  <w:style xmlns:r="http://schemas.openxmlformats.org/officeDocument/2006/relationships" w:type="paragraph" w:styleId="6d796036">
    <w:name w:val="header6d796036"/>
    <w:basedOn w:val="3789ecd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0108996">
    <w:name w:val="toc 1e0108996"/>
    <w:basedOn w:val="3789ecd8"/>
    <w:next w:val="0"/>
  </w:style>
  <w:style xmlns:r="http://schemas.openxmlformats.org/officeDocument/2006/relationships" w:type="paragraph" w:styleId="070bd4ab">
    <w:name w:val="toc 4070bd4ab"/>
    <w:basedOn w:val="3789ecd8"/>
    <w:next w:val="0"/>
    <w:pPr>
      <w:ind w:left="1260"/>
    </w:pPr>
  </w:style>
  <w:style xmlns:r="http://schemas.openxmlformats.org/officeDocument/2006/relationships" w:type="paragraph" w:styleId="b93461fc">
    <w:name w:val="toc 2b93461fc"/>
    <w:basedOn w:val="3789ecd8"/>
    <w:next w:val="0"/>
    <w:pPr>
      <w:ind w:left="420"/>
    </w:pPr>
  </w:style>
  <w:style xmlns:r="http://schemas.openxmlformats.org/officeDocument/2006/relationships" w:type="paragraph" w:styleId="7f3e7406">
    <w:name w:val="Normal (Web)7f3e740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9fef7d9">
    <w:name w:val="Normalc9fef7d9c9fef7d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7242a39">
    <w:name w:val="heading 1e7242a39e7242a39"/>
    <w:basedOn w:val="c9fef7d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7e8800">
    <w:name w:val="heading 2957e8800957e8800"/>
    <w:basedOn w:val="c9fef7d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538d545">
    <w:name w:val="heading 30538d5450538d545"/>
    <w:basedOn w:val="c9fef7d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8ff6bb">
    <w:name w:val="Default Paragraph Fonte78ff6bbe78ff6bb"/>
  </w:style>
  <w:style xmlns:r="http://schemas.openxmlformats.org/officeDocument/2006/relationships" w:type="paragraph" w:customStyle="1" w:styleId="8c234fce">
    <w:name w:val="引文目录18c234fce8c234fce"/>
    <w:basedOn w:val="c9fef7d9"/>
    <w:next w:val="0"/>
    <w:pPr>
      <w:ind w:leftChars="200" w:left="200"/>
    </w:pPr>
  </w:style>
  <w:style xmlns:r="http://schemas.openxmlformats.org/officeDocument/2006/relationships" w:type="paragraph" w:styleId="25bcb62f">
    <w:name w:val="toc 525bcb62f25bcb62f"/>
    <w:basedOn w:val="c9fef7d9"/>
    <w:next w:val="0"/>
    <w:pPr>
      <w:ind w:left="1680"/>
    </w:pPr>
  </w:style>
  <w:style xmlns:r="http://schemas.openxmlformats.org/officeDocument/2006/relationships" w:type="paragraph" w:styleId="9574c15a">
    <w:name w:val="toc 39574c15a9574c15a"/>
    <w:basedOn w:val="c9fef7d9"/>
    <w:next w:val="0"/>
    <w:pPr>
      <w:ind w:left="840"/>
    </w:pPr>
  </w:style>
  <w:style xmlns:r="http://schemas.openxmlformats.org/officeDocument/2006/relationships" w:type="paragraph" w:styleId="5f2274be">
    <w:name w:val="footer5f2274be5f2274be"/>
    <w:basedOn w:val="c9fef7d9"/>
    <w:pPr>
      <w:tabs>
        <w:tab w:val="center" w:pos="4153"/>
        <w:tab w:val="right" w:pos="8307"/>
      </w:tabs>
      <w:adjustRightInd/>
      <w:snapToGrid w:val="0"/>
      <w:contextualSpacing w:val="0"/>
      <w:jc w:val="left"/>
    </w:pPr>
    <w:rPr>
      <w:sz w:val="18"/>
    </w:rPr>
  </w:style>
  <w:style xmlns:r="http://schemas.openxmlformats.org/officeDocument/2006/relationships" w:type="paragraph" w:styleId="91eb4571">
    <w:name w:val="header91eb457191eb4571"/>
    <w:basedOn w:val="c9fef7d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2c33480">
    <w:name w:val="toc 1a2c33480a2c33480"/>
    <w:basedOn w:val="c9fef7d9"/>
    <w:next w:val="0"/>
  </w:style>
  <w:style xmlns:r="http://schemas.openxmlformats.org/officeDocument/2006/relationships" w:type="paragraph" w:styleId="0aae0431">
    <w:name w:val="toc 40aae04310aae0431"/>
    <w:basedOn w:val="c9fef7d9"/>
    <w:next w:val="0"/>
    <w:pPr>
      <w:ind w:left="1260"/>
    </w:pPr>
  </w:style>
  <w:style xmlns:r="http://schemas.openxmlformats.org/officeDocument/2006/relationships" w:type="paragraph" w:styleId="6dcb8fa1">
    <w:name w:val="toc 26dcb8fa16dcb8fa1"/>
    <w:basedOn w:val="c9fef7d9"/>
    <w:next w:val="0"/>
    <w:pPr>
      <w:ind w:left="420"/>
    </w:pPr>
  </w:style>
  <w:style xmlns:r="http://schemas.openxmlformats.org/officeDocument/2006/relationships" w:type="paragraph" w:customStyle="1" w:styleId="f6df3a49">
    <w:name w:val="列出段落1f6df3a49f6df3a49"/>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