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e08be5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e08be5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6fa8f8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6fa8f81"/>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dd74238"/>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南银理财珠联璧合鑫逸稳一年291期封闭式公募人民币理财产品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ZZ700322600273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Z7003226000244(投资者可依据该编码在中国理财网www.chinawealth.com.cn查询理财产品相关信息）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A份额：NYXY001670</w:t>
            </w:r>
          </w:p>
          <w:p>
            <w:pPr>
              <w:pStyle w:val="null10"/>
              <w:spacing w:lineRule="exact" w:line="200"/>
            </w:pPr>
            <w:r>
              <w:rPr>
                <w:rFonts w:ascii="方正黑体_GBK" w:hAnsi="方正黑体_GBK" w:cs="宋体" w:eastAsia="方正黑体_GBK"/>
                <w:sz w:val="18"/>
                <w:szCs w:val="18"/>
              </w:rPr>
              <w:t>B份额：NYXY001671</w:t>
            </w:r>
          </w:p>
          <w:p>
            <w:pPr>
              <w:pStyle w:val="null10"/>
              <w:spacing w:lineRule="exact" w:line="200"/>
            </w:pPr>
            <w:r>
              <w:rPr>
                <w:rFonts w:ascii="方正黑体_GBK" w:hAnsi="方正黑体_GBK" w:cs="宋体" w:eastAsia="方正黑体_GBK"/>
                <w:sz w:val="18"/>
                <w:szCs w:val="18"/>
              </w:rPr>
              <w:t>C份额：NYXY001672</w:t>
            </w:r>
          </w:p>
          <w:p>
            <w:pPr>
              <w:pStyle w:val="null10"/>
              <w:spacing w:lineRule="exact" w:line="200"/>
            </w:pPr>
            <w:r>
              <w:rPr>
                <w:rFonts w:ascii="方正黑体_GBK" w:hAnsi="方正黑体_GBK" w:cs="宋体" w:eastAsia="方正黑体_GBK"/>
                <w:sz w:val="18"/>
                <w:szCs w:val="18"/>
              </w:rPr>
              <w:t>L份额：NYXY001673</w:t>
            </w:r>
          </w:p>
          <w:p>
            <w:pPr>
              <w:pStyle w:val="null10"/>
              <w:spacing w:lineRule="exact" w:line="200"/>
            </w:pPr>
            <w:r>
              <w:rPr>
                <w:rFonts w:ascii="方正黑体_GBK" w:hAnsi="方正黑体_GBK" w:cs="宋体" w:eastAsia="方正黑体_GBK"/>
                <w:sz w:val="18"/>
                <w:szCs w:val="18"/>
              </w:rPr>
              <w:t>M份额：NYXY001863</w:t>
            </w:r>
          </w:p>
          <w:p>
            <w:pPr>
              <w:pStyle w:val="null10"/>
              <w:spacing w:lineRule="exact" w:line="200"/>
            </w:pPr>
            <w:r>
              <w:rPr>
                <w:rFonts w:ascii="方正黑体_GBK" w:hAnsi="方正黑体_GBK" w:cs="宋体" w:eastAsia="方正黑体_GBK"/>
                <w:sz w:val="18"/>
                <w:szCs w:val="18"/>
              </w:rPr>
              <w:t>N份额：NYXY001864</w:t>
            </w:r>
          </w:p>
          <w:p>
            <w:pPr>
              <w:pStyle w:val="null10"/>
              <w:spacing w:lineRule="exact" w:line="200"/>
            </w:pPr>
            <w:r>
              <w:rPr>
                <w:rFonts w:ascii="方正黑体_GBK" w:hAnsi="方正黑体_GBK" w:cs="宋体" w:eastAsia="方正黑体_GBK"/>
                <w:sz w:val="18"/>
                <w:szCs w:val="18"/>
              </w:rPr>
              <w:t>A2份额：NYXY001865</w:t>
            </w:r>
          </w:p>
          <w:p>
            <w:pPr>
              <w:pStyle w:val="null10"/>
              <w:spacing w:lineRule="exact" w:line="200"/>
            </w:pPr>
            <w:r>
              <w:rPr>
                <w:rFonts w:ascii="方正黑体_GBK" w:hAnsi="方正黑体_GBK" w:cs="宋体" w:eastAsia="方正黑体_GBK"/>
                <w:sz w:val="18"/>
                <w:szCs w:val="18"/>
              </w:rPr>
              <w:t>F2份额：NYXY001867</w:t>
            </w:r>
          </w:p>
          <w:p>
            <w:pPr>
              <w:pStyle w:val="null10"/>
              <w:spacing w:lineRule="exact" w:line="200"/>
            </w:pPr>
            <w:r>
              <w:rPr>
                <w:rFonts w:ascii="方正黑体_GBK" w:hAnsi="方正黑体_GBK" w:cs="宋体" w:eastAsia="方正黑体_GBK"/>
                <w:sz w:val="18"/>
                <w:szCs w:val="18"/>
              </w:rPr>
              <w:t>G2份额：NYXY001868</w:t>
            </w:r>
          </w:p>
          <w:p>
            <w:pPr>
              <w:pStyle w:val="null10"/>
              <w:spacing w:lineRule="exact" w:line="200"/>
            </w:pPr>
            <w:r>
              <w:rPr>
                <w:rFonts w:ascii="方正黑体_GBK" w:hAnsi="方正黑体_GBK" w:cs="宋体" w:eastAsia="方正黑体_GBK"/>
                <w:sz w:val="18"/>
                <w:szCs w:val="18"/>
              </w:rPr>
              <w:t>I2份额：NYXY001870</w:t>
            </w:r>
          </w:p>
          <w:p>
            <w:pPr>
              <w:pStyle w:val="null10"/>
              <w:spacing w:lineRule="exact" w:line="200"/>
            </w:pPr>
            <w:r>
              <w:rPr>
                <w:rFonts w:ascii="方正黑体_GBK" w:hAnsi="方正黑体_GBK" w:cs="宋体" w:eastAsia="方正黑体_GBK"/>
                <w:sz w:val="18"/>
                <w:szCs w:val="18"/>
              </w:rPr>
              <w:t>J2份额：NYXY001871</w:t>
            </w:r>
          </w:p>
          <w:p>
            <w:pPr>
              <w:pStyle w:val="null10"/>
              <w:spacing w:lineRule="exact" w:line="200"/>
            </w:pPr>
            <w:r>
              <w:rPr>
                <w:rFonts w:ascii="方正黑体_GBK" w:hAnsi="方正黑体_GBK" w:cs="宋体" w:eastAsia="方正黑体_GBK"/>
                <w:sz w:val="18"/>
                <w:szCs w:val="18"/>
              </w:rPr>
              <w:t>K2份额：NYXY001872</w:t>
            </w:r>
          </w:p>
          <w:p>
            <w:pPr>
              <w:pStyle w:val="null10"/>
              <w:spacing w:lineRule="exact" w:line="200"/>
            </w:pPr>
            <w:r>
              <w:rPr>
                <w:rFonts w:ascii="方正黑体_GBK" w:hAnsi="方正黑体_GBK" w:cs="宋体" w:eastAsia="方正黑体_GBK"/>
                <w:sz w:val="18"/>
                <w:szCs w:val="18"/>
              </w:rPr>
              <w:t>Q份额：NYXY001675</w:t>
            </w:r>
          </w:p>
          <w:p>
            <w:pPr>
              <w:pStyle w:val="null10"/>
              <w:spacing w:lineRule="exact" w:line="200"/>
            </w:pPr>
            <w:r>
              <w:rPr>
                <w:rFonts w:ascii="方正黑体_GBK" w:hAnsi="方正黑体_GBK" w:cs="宋体" w:eastAsia="方正黑体_GBK"/>
                <w:sz w:val="18"/>
                <w:szCs w:val="18"/>
              </w:rPr>
              <w:t>Q1份额：NYXY001676</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5w、代发、对公客户、拥军优属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金华银行股份有限公司、长沙银行股份有限公司、郑州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除新客户外的其他客户）、德州银行股份有限公司、云南红塔银行股份有限公司、宁夏银行股份有限公司（1元起购）、九江银行股份有限公司、海南银行股份有限公司、廊坊银行股份有限公司、上海农村商业银行股份有限公司、富邦华一银行有限公司、湖州银行股份有限公司、海南农村商业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和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新资金5万或代发客户)、青岛银行股份有限公司(私行客户)、徽商银行股份有限公司(除代发客户外的其他客户)、齐商银行股份有限公司、嘉兴银行股份有限公司（私行客户）、广州银行股份有限公司、江苏苏州农村商业银行股份有限公司（高客客户）、秦皇岛银行股份有限公司、宁波东海银行股份有限公司、齐鲁银行股份有限公司(白金/私行客户)、天津农村商业银行股份有限公司(企业拓展客户)、东营银行股份有限公司、宁波通商银行股份有限公司（除新客户外的其他客户）、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江苏苏州农村商业银行股份有限公司（新客客户）、日照银行股份有限公司（除私行客户外的其他客户）、齐鲁银行股份有限公司(财富客户)、天津农村商业银行股份有限公司(个人新客)、山西银行股份有限公司（新客户）、江苏泰兴农村商业银行股份有限公司（除代发客户外的其他客户）、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L份额：日照银行股份有限公司（私行客户）、潍坊银行股份有限公司、泰安银行股份有限公司、天津农村商业银行股份有限公司(私钻客户)、宁波通商银行股份有限公司（新客户）、江苏兴化农村商业银行股份有限公司(人民医院职工客户)、江苏泰兴农村商业银行股份有限公司（代发客户）。</w:t>
            </w:r>
          </w:p>
          <w:p>
            <w:pPr>
              <w:pStyle w:val="null10"/>
              <w:spacing w:lineRule="exact" w:line="200"/>
            </w:pPr>
            <w:r>
              <w:rPr>
                <w:rFonts w:ascii="方正黑体_GBK" w:hAnsi="方正黑体_GBK" w:cs="宋体" w:eastAsia="方正黑体_GBK"/>
                <w:sz w:val="18"/>
                <w:szCs w:val="18"/>
              </w:rPr>
              <w:t>M份额：蒙商银行股份有限公司（除代发工资客户外的其他客户）。</w:t>
            </w:r>
          </w:p>
          <w:p>
            <w:pPr>
              <w:pStyle w:val="null10"/>
              <w:spacing w:lineRule="exact" w:line="200"/>
            </w:pPr>
            <w:r>
              <w:rPr>
                <w:rFonts w:ascii="方正黑体_GBK" w:hAnsi="方正黑体_GBK" w:cs="宋体" w:eastAsia="方正黑体_GBK"/>
                <w:sz w:val="18"/>
                <w:szCs w:val="18"/>
              </w:rPr>
              <w:t>N份额：蒙商银行股份有限公司（代发工资客户）。</w:t>
            </w:r>
          </w:p>
          <w:p>
            <w:pPr>
              <w:pStyle w:val="null10"/>
              <w:spacing w:lineRule="exact" w:line="200"/>
            </w:pPr>
            <w:r>
              <w:rPr>
                <w:rFonts w:ascii="方正黑体_GBK" w:hAnsi="方正黑体_GBK" w:cs="宋体" w:eastAsia="方正黑体_GBK"/>
                <w:sz w:val="18"/>
                <w:szCs w:val="18"/>
              </w:rPr>
              <w:t>A2份额：朝阳银行股份有限公司。</w:t>
            </w:r>
          </w:p>
          <w:p>
            <w:pPr>
              <w:pStyle w:val="null10"/>
              <w:spacing w:lineRule="exact" w:line="200"/>
            </w:pPr>
            <w:r>
              <w:rPr>
                <w:rFonts w:ascii="方正黑体_GBK" w:hAnsi="方正黑体_GBK" w:cs="宋体" w:eastAsia="方正黑体_GBK"/>
                <w:sz w:val="18"/>
                <w:szCs w:val="18"/>
              </w:rPr>
              <w:t>F2份额：温州银行股份有限公司。</w:t>
            </w:r>
          </w:p>
          <w:p>
            <w:pPr>
              <w:pStyle w:val="null10"/>
              <w:spacing w:lineRule="exact" w:line="200"/>
            </w:pPr>
            <w:r>
              <w:rPr>
                <w:rFonts w:ascii="方正黑体_GBK" w:hAnsi="方正黑体_GBK" w:cs="宋体" w:eastAsia="方正黑体_GBK"/>
                <w:sz w:val="18"/>
                <w:szCs w:val="18"/>
              </w:rPr>
              <w:t>G2份额：宁夏银行股份有限公司（20万元起购）。</w:t>
            </w:r>
          </w:p>
          <w:p>
            <w:pPr>
              <w:pStyle w:val="null10"/>
              <w:spacing w:lineRule="exact" w:line="200"/>
            </w:pPr>
            <w:r>
              <w:rPr>
                <w:rFonts w:ascii="方正黑体_GBK" w:hAnsi="方正黑体_GBK" w:cs="宋体" w:eastAsia="方正黑体_GBK"/>
                <w:sz w:val="18"/>
                <w:szCs w:val="18"/>
              </w:rPr>
              <w:t>I2份额：南京银行股份有限公司(拥军优属客户)。</w:t>
            </w:r>
          </w:p>
          <w:p>
            <w:pPr>
              <w:pStyle w:val="null10"/>
              <w:spacing w:lineRule="exact" w:line="200"/>
            </w:pPr>
            <w:r>
              <w:rPr>
                <w:rFonts w:ascii="方正黑体_GBK" w:hAnsi="方正黑体_GBK" w:cs="宋体" w:eastAsia="方正黑体_GBK"/>
                <w:sz w:val="18"/>
                <w:szCs w:val="18"/>
              </w:rPr>
              <w:t>J2份额：吉林银行股份有限公司（新客户）。</w:t>
            </w:r>
          </w:p>
          <w:p>
            <w:pPr>
              <w:pStyle w:val="null10"/>
              <w:spacing w:lineRule="exact" w:line="200"/>
            </w:pPr>
            <w:r>
              <w:rPr>
                <w:rFonts w:ascii="方正黑体_GBK" w:hAnsi="方正黑体_GBK" w:cs="宋体" w:eastAsia="方正黑体_GBK"/>
                <w:sz w:val="18"/>
                <w:szCs w:val="18"/>
              </w:rPr>
              <w:t>K2份额：吉林银行股份有限公司（除新客户外的其他客户）。</w:t>
            </w:r>
          </w:p>
          <w:p>
            <w:pPr>
              <w:pStyle w:val="null10"/>
              <w:spacing w:lineRule="exact" w:line="200"/>
            </w:pPr>
            <w:r>
              <w:rPr>
                <w:rFonts w:ascii="方正黑体_GBK" w:hAnsi="方正黑体_GBK" w:cs="宋体" w:eastAsia="方正黑体_GBK"/>
                <w:sz w:val="18"/>
                <w:szCs w:val="18"/>
              </w:rPr>
              <w:t>Q份额：天津农村商业银行股份有限公司(私行客户)。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A份额/B份额/C份额/L份额/M份额/N份额/A2份额/F2份额/I2份额/K2份额/Q份额/Q1份额：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G2份额：</w:t>
            </w:r>
          </w:p>
          <w:p>
            <w:pPr>
              <w:pStyle w:val="null10"/>
              <w:spacing w:lineRule="exact" w:line="200"/>
            </w:pPr>
            <w:r>
              <w:rPr>
                <w:rFonts w:ascii="方正黑体_GBK" w:hAnsi="方正黑体_GBK" w:cs="宋体" w:eastAsia="方正黑体_GBK"/>
                <w:sz w:val="18"/>
                <w:szCs w:val="18"/>
              </w:rPr>
              <w:t>个人投资者投资起点金额20万元人民币，以1元的整数倍递增；</w:t>
            </w:r>
          </w:p>
          <w:p>
            <w:pPr>
              <w:pStyle w:val="null10"/>
              <w:spacing w:lineRule="exact" w:line="200"/>
            </w:pPr>
            <w:r>
              <w:rPr>
                <w:rFonts w:ascii="方正黑体_GBK" w:hAnsi="方正黑体_GBK" w:cs="宋体" w:eastAsia="方正黑体_GBK"/>
                <w:sz w:val="18"/>
                <w:szCs w:val="18"/>
              </w:rPr>
              <w:t>机构投资者投资起点金额20万元人民币，以1元的整数倍递增；</w:t>
            </w:r>
          </w:p>
          <w:p>
            <w:pPr>
              <w:pStyle w:val="null10"/>
              <w:spacing w:lineRule="exact" w:line="200"/>
            </w:pPr>
            <w:r>
              <w:rPr>
                <w:rFonts w:ascii="方正黑体_GBK" w:hAnsi="方正黑体_GBK" w:cs="宋体" w:eastAsia="方正黑体_GBK"/>
                <w:sz w:val="18"/>
                <w:szCs w:val="18"/>
              </w:rPr>
              <w:t>J2份额：</w:t>
            </w:r>
          </w:p>
          <w:p>
            <w:pPr>
              <w:pStyle w:val="null10"/>
              <w:spacing w:lineRule="exact" w:line="200"/>
            </w:pPr>
            <w:r>
              <w:rPr>
                <w:rFonts w:ascii="方正黑体_GBK" w:hAnsi="方正黑体_GBK" w:cs="宋体" w:eastAsia="方正黑体_GBK"/>
                <w:sz w:val="18"/>
                <w:szCs w:val="18"/>
              </w:rPr>
              <w:t>个人投资者投资起点金额1万元人民币，以1元的整数倍递增；</w:t>
            </w:r>
          </w:p>
          <w:p>
            <w:pPr>
              <w:pStyle w:val="null10"/>
              <w:spacing w:lineRule="exact" w:line="200"/>
            </w:pPr>
            <w:r>
              <w:rPr>
                <w:rFonts w:ascii="方正黑体_GBK" w:hAnsi="方正黑体_GBK" w:cs="宋体" w:eastAsia="方正黑体_GBK"/>
                <w:sz w:val="18"/>
                <w:szCs w:val="18"/>
              </w:rPr>
              <w:t>机构投资者投资起点金额1万元人民币，以1元的整数倍递增；</w:t>
            </w:r>
          </w:p>
        </w:tc>
      </w:tr>
      <w:tr>
        <w:trPr>
          <w:trHeight w:val="358"/>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bookmarkStart w:id="0" w:name="_GoBack"/>
            <w:bookmarkEnd w:id="0"/>
            <w:r>
              <w:rPr>
                <w:rFonts w:ascii="方正黑体_GBK" w:hint="eastAsia" w:hAnsi="方正黑体_GBK" w:eastAsia="方正黑体_GBK"/>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2026年08月19日 09:00—2026年08月25日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2026年08月26日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2026年08月26日—实际到期日（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2027年09月29日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jc w:val="left"/>
            </w:pPr>
            <w:r>
              <w:rPr>
                <w:rFonts w:ascii="方正黑体_GBK" w:hAnsi="方正黑体_GBK" w:cs="宋体" w:eastAsia="方正黑体_GBK"/>
                <w:sz w:val="18"/>
                <w:szCs w:val="18"/>
              </w:rPr>
              <w:t>1.   同业借款：资产类型为南银理财有限责任公司向持牌金融机构发放的同业借款，资产到期日不超过理财产品到期日，融资人为中国中信金融资产管理股份有限公司。</w:t>
            </w:r>
          </w:p>
          <w:p>
            <w:pPr>
              <w:pStyle w:val="null10"/>
              <w:spacing w:lineRule="exact" w:line="200"/>
              <w:jc w:val="left"/>
            </w:pPr>
            <w:r>
              <w:rPr>
                <w:rFonts w:ascii="方正黑体_GBK" w:hAnsi="方正黑体_GBK" w:cs="宋体" w:eastAsia="方正黑体_GBK"/>
                <w:sz w:val="18"/>
                <w:szCs w:val="18"/>
              </w:rPr>
              <w:t>2.   同业借款：资产类型为南银理财有限责任公司向持牌金融机构发放的同业借款，资产到期日不超过理财产品到期日，融资人为中国东方资产管理股份有限公司。</w:t>
            </w:r>
          </w:p>
          <w:p>
            <w:pPr>
              <w:pStyle w:val="null10"/>
              <w:spacing w:lineRule="exact" w:line="200"/>
              <w:jc w:val="left"/>
            </w:pPr>
            <w:r>
              <w:rPr>
                <w:rFonts w:ascii="方正黑体_GBK" w:hAnsi="方正黑体_GBK" w:cs="宋体" w:eastAsia="方正黑体_GBK"/>
                <w:sz w:val="18"/>
                <w:szCs w:val="18"/>
              </w:rPr>
              <w:t>3.   同业借款：资产类型为南银理财有限责任公司向持牌金融机构发放的同业借款，资产到期日不超过理财产品到期日，融资人为中国信达资产管理股份有限公司。</w:t>
            </w:r>
          </w:p>
          <w:p>
            <w:pPr>
              <w:pStyle w:val="null10"/>
              <w:spacing w:lineRule="exact" w:line="200"/>
              <w:jc w:val="left"/>
            </w:pPr>
            <w:r>
              <w:rPr>
                <w:rFonts w:ascii="方正黑体_GBK" w:hAnsi="方正黑体_GBK" w:cs="宋体" w:eastAsia="方正黑体_GBK"/>
                <w:sz w:val="18"/>
                <w:szCs w:val="18"/>
              </w:rPr>
              <w:t>4.   同业借款：资产类型为南银理财有限责任公司向持牌金融机构发放的同业借款，资产到期日不超过理财产品到期日，融资人为中国长城资产管理股份有限公司。</w:t>
            </w:r>
          </w:p>
          <w:p>
            <w:pPr>
              <w:pStyle w:val="null10"/>
              <w:spacing w:lineRule="exact" w:line="200"/>
              <w:jc w:val="left"/>
            </w:pPr>
            <w:r>
              <w:rPr>
                <w:rFonts w:ascii="方正黑体_GBK" w:hAnsi="方正黑体_GBK" w:cs="宋体" w:eastAsia="方正黑体_GBK"/>
                <w:sz w:val="18"/>
                <w:szCs w:val="18"/>
              </w:rPr>
              <w:t>5.   券商收益凭证：资产类型为证券公司发行的收益凭证，资产到期日不超过理财产品到期日，融资人为华宝证券股份有限公司，融资人评级为AA+（评级机构为联合资信评估股份有限公司）。</w:t>
            </w:r>
          </w:p>
          <w:p>
            <w:pPr>
              <w:pStyle w:val="null10"/>
              <w:spacing w:lineRule="exact" w:line="200"/>
              <w:jc w:val="left"/>
            </w:pPr>
            <w:r>
              <w:rPr>
                <w:rFonts w:ascii="方正黑体_GBK" w:hAnsi="方正黑体_GBK" w:cs="宋体" w:eastAsia="方正黑体_GBK"/>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14.  券商收益凭证：资产类型为证券公司发行的收益凭证，资产到期日不超过理财产品到期日，融资人为中国银河证券股份有限公司，融资人评级为AAA（评级机构为联合资信评估股份有限公司）。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15.  券商收益凭证：资产类型为证券公司发行的收益凭证，资产到期日不超过理财产品到期日，融资人为申万宏源证券有限公司，融资人评级为AAA（评级机构为联合资信评估股份有限公司）。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17.  券商收益凭证：资产类型为证券公司发行的收益凭证，资产到期日不超过理财产品到期日，融资人为招商证券股份有限公司，融资人评级为AAA（评级机构为联合资信评估股份有限公司）。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21.  券商收益凭证：资产类型为证券公司发行的收益凭证，资产到期日不超过理财产品到期日，融资人为兴业证券股份有限公司，融资人评级为AAA（评级机构为联合资信评估股份有限公司）。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22.  券商收益凭证：资产类型为证券公司发行的收益凭证，资产到期日不超过理财产品到期日，融资人为光大证券股份有限公司，融资人评级为AAA（评级机构为联合资信评估股份有限公司）。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25.  券商收益凭证：资产类型为证券公司发行的收益凭证，资产到期日不超过理财产品到期日，融资人为长江证券股份有限公司，融资人评级为AAA（评级机构为联合资信评估股份有限公司）。</w:t>
            </w:r>
          </w:p>
          <w:p>
            <w:pPr>
              <w:pStyle w:val="null10"/>
              <w:spacing w:lineRule="exact" w:line="200"/>
              <w:jc w:val="left"/>
            </w:pPr>
            <w:r>
              <w:rPr>
                <w:rFonts w:ascii="方正黑体_GBK" w:hAnsi="方正黑体_GBK" w:cs="宋体" w:eastAsia="方正黑体_GBK"/>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pPr>
              <w:pStyle w:val="null10"/>
              <w:spacing w:lineRule="exact" w:line="200"/>
              <w:jc w:val="left"/>
            </w:pPr>
            <w:r>
              <w:rPr>
                <w:rFonts w:ascii="方正黑体_GBK" w:hAnsi="方正黑体_GBK" w:cs="宋体" w:eastAsia="方正黑体_GBK"/>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pPr>
              <w:pStyle w:val="null10"/>
              <w:spacing w:lineRule="exact" w:line="200"/>
              <w:jc w:val="left"/>
            </w:pPr>
            <w:r>
              <w:rPr>
                <w:rFonts w:ascii="方正黑体_GBK" w:hAnsi="方正黑体_GBK" w:cs="宋体" w:eastAsia="方正黑体_GBK"/>
                <w:sz w:val="18"/>
                <w:szCs w:val="18"/>
              </w:rPr>
              <w:t>28.  券商收益凭证：资产类型为证券公司发行的收益凭证，资产到期日不超过理财产品到期日，融资人为国投证券股份有限公司，融资人评级为AAA（评级机构为联合资信评估股份有限公司）。</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M份额：业绩比较基准为年化2.4%-2.65% 。</w:t>
            </w:r>
          </w:p>
          <w:p>
            <w:pPr>
              <w:pStyle w:val="null10"/>
              <w:spacing w:lineRule="exact" w:line="200"/>
            </w:pPr>
            <w:r>
              <w:rPr>
                <w:rFonts w:ascii="方正黑体_GBK" w:hAnsi="方正黑体_GBK" w:cs="宋体" w:eastAsia="方正黑体_GBK"/>
                <w:sz w:val="18"/>
                <w:szCs w:val="18"/>
              </w:rPr>
              <w:t>N份额：业绩比较基准为年化2.6%-2.85%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F2份额：业绩比较基准为年化2.45%-2.7% 。</w:t>
            </w:r>
          </w:p>
          <w:p>
            <w:pPr>
              <w:pStyle w:val="null10"/>
              <w:spacing w:lineRule="exact" w:line="200"/>
            </w:pPr>
            <w:r>
              <w:rPr>
                <w:rFonts w:ascii="方正黑体_GBK" w:hAnsi="方正黑体_GBK" w:cs="宋体" w:eastAsia="方正黑体_GBK"/>
                <w:sz w:val="18"/>
                <w:szCs w:val="18"/>
              </w:rPr>
              <w:t>G2份额：业绩比较基准为年化2.6%-2.85% 。</w:t>
            </w:r>
          </w:p>
          <w:p>
            <w:pPr>
              <w:pStyle w:val="null10"/>
              <w:spacing w:lineRule="exact" w:line="200"/>
            </w:pPr>
            <w:r>
              <w:rPr>
                <w:rFonts w:ascii="方正黑体_GBK" w:hAnsi="方正黑体_GBK" w:cs="宋体" w:eastAsia="方正黑体_GBK"/>
                <w:sz w:val="18"/>
                <w:szCs w:val="18"/>
              </w:rPr>
              <w:t>I2份额：业绩比较基准为年化2.5%-2.75% 。</w:t>
            </w:r>
          </w:p>
          <w:p>
            <w:pPr>
              <w:pStyle w:val="null10"/>
              <w:spacing w:lineRule="exact" w:line="200"/>
            </w:pPr>
            <w:r>
              <w:rPr>
                <w:rFonts w:ascii="方正黑体_GBK" w:hAnsi="方正黑体_GBK" w:cs="宋体" w:eastAsia="方正黑体_GBK"/>
                <w:sz w:val="18"/>
                <w:szCs w:val="18"/>
              </w:rPr>
              <w:t>J2份额：业绩比较基准为年化2.6%-2.85% 。</w:t>
            </w:r>
          </w:p>
          <w:p>
            <w:pPr>
              <w:pStyle w:val="null10"/>
              <w:spacing w:lineRule="exact" w:line="200"/>
            </w:pPr>
            <w:r>
              <w:rPr>
                <w:rFonts w:ascii="方正黑体_GBK" w:hAnsi="方正黑体_GBK" w:cs="宋体" w:eastAsia="方正黑体_GBK"/>
                <w:sz w:val="18"/>
                <w:szCs w:val="18"/>
              </w:rPr>
              <w:t>K2份额：业绩比较基准为年化2.55%-2.8%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B份额，I2份额：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C份额，L份额，G2份额：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M份额：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N份额，J2份额：</w:t>
            </w:r>
          </w:p>
          <w:p>
            <w:pPr>
              <w:pStyle w:val="null10"/>
              <w:spacing w:lineRule="exact" w:line="200"/>
            </w:pPr>
            <w:r>
              <w:rPr>
                <w:rFonts w:ascii="方正黑体_GBK" w:hAnsi="方正黑体_GBK" w:cs="宋体" w:eastAsia="方正黑体_GBK"/>
                <w:sz w:val="18"/>
                <w:b/>
                <w:szCs w:val="18"/>
              </w:rPr>
              <w:t>本理财产品一次性收取年化0.1%的销售费，按日摊销。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A2份额，F2份额：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K2份额：</w:t>
            </w:r>
          </w:p>
          <w:p>
            <w:pPr>
              <w:pStyle w:val="null10"/>
              <w:spacing w:lineRule="exact" w:line="200"/>
            </w:pPr>
            <w:r>
              <w:rPr>
                <w:rFonts w:ascii="方正黑体_GBK" w:hAnsi="方正黑体_GBK" w:cs="宋体" w:eastAsia="方正黑体_GBK"/>
                <w:sz w:val="18"/>
                <w:b/>
                <w:szCs w:val="18"/>
              </w:rPr>
              <w:t>本理财产品一次性收取年化0.2%的销售费，按日摊销。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M份额：固定管理费年化0.1%</w:t>
            </w:r>
          </w:p>
          <w:p>
            <w:pPr>
              <w:pStyle w:val="null10"/>
              <w:spacing w:lineRule="exact" w:line="200"/>
            </w:pPr>
            <w:r>
              <w:rPr>
                <w:rFonts w:ascii="方正黑体_GBK" w:hAnsi="方正黑体_GBK" w:cs="宋体" w:eastAsia="方正黑体_GBK"/>
                <w:sz w:val="18"/>
                <w:b/>
                <w:szCs w:val="18"/>
              </w:rPr>
              <w:t>N份额：固定管理费年化0.1%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F2份额：固定管理费年化0.1%</w:t>
            </w:r>
          </w:p>
          <w:p>
            <w:pPr>
              <w:pStyle w:val="null10"/>
              <w:spacing w:lineRule="exact" w:line="200"/>
            </w:pPr>
            <w:r>
              <w:rPr>
                <w:rFonts w:ascii="方正黑体_GBK" w:hAnsi="方正黑体_GBK" w:cs="宋体" w:eastAsia="方正黑体_GBK"/>
                <w:sz w:val="18"/>
                <w:b/>
                <w:szCs w:val="18"/>
              </w:rPr>
              <w:t>G2份额：固定管理费年化0.15%</w:t>
            </w:r>
          </w:p>
          <w:p>
            <w:pPr>
              <w:pStyle w:val="null10"/>
              <w:spacing w:lineRule="exact" w:line="200"/>
            </w:pPr>
            <w:r>
              <w:rPr>
                <w:rFonts w:ascii="方正黑体_GBK" w:hAnsi="方正黑体_GBK" w:cs="宋体" w:eastAsia="方正黑体_GBK"/>
                <w:sz w:val="18"/>
                <w:b/>
                <w:szCs w:val="18"/>
              </w:rPr>
              <w:t>I2份额：固定管理费年化0.15%</w:t>
            </w:r>
          </w:p>
          <w:p>
            <w:pPr>
              <w:pStyle w:val="null10"/>
              <w:spacing w:lineRule="exact" w:line="200"/>
            </w:pPr>
            <w:r>
              <w:rPr>
                <w:rFonts w:ascii="方正黑体_GBK" w:hAnsi="方正黑体_GBK" w:cs="宋体" w:eastAsia="方正黑体_GBK"/>
                <w:sz w:val="18"/>
                <w:b/>
                <w:szCs w:val="18"/>
              </w:rPr>
              <w:t>J2份额：固定管理费年化0.1%</w:t>
            </w:r>
          </w:p>
          <w:p>
            <w:pPr>
              <w:pStyle w:val="null10"/>
              <w:spacing w:lineRule="exact" w:line="200"/>
            </w:pPr>
            <w:r>
              <w:rPr>
                <w:rFonts w:ascii="方正黑体_GBK" w:hAnsi="方正黑体_GBK" w:cs="宋体" w:eastAsia="方正黑体_GBK"/>
                <w:sz w:val="18"/>
                <w:b/>
                <w:szCs w:val="18"/>
              </w:rPr>
              <w:t>K2份额：固定管理费年化0.05%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N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F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G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I2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J2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K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亿元人民币。住所：江苏省南京市建邺区庐山路242号2号楼14-16层，联系方式：4001195302。</w:t>
            </w:r>
          </w:p>
          <w:p>
            <w:pPr>
              <w:pStyle w:val="null10"/>
              <w:spacing w:lineRule="exact" w:line="200"/>
              <w:jc w:val="left"/>
            </w:pPr>
            <w:r>
              <w:rPr>
                <w:rFonts w:ascii="方正黑体_GBK" w:hAnsi="方正黑体_GBK" w:cs="宋体" w:eastAsia="方正黑体_GBK"/>
                <w:sz w:val="18"/>
                <w:szCs w:val="18"/>
              </w:rPr>
              <w:t>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宁波东海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海南农村商业银行股份有限公司、湖州银行股份有限公司、江苏灌云农村商业银行股份有限公司、广州农村商业银行股份有限公司、江苏泰州农村商业银行股份有限公司、朝阳银行股份有限公司。销售机构基本信息详见第五条。</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本理财产品托管人为南京银行股份有限公司，住所：南京市建邺区江山大街88号，联系方式：95302。</w:t>
            </w:r>
          </w:p>
          <w:p>
            <w:pPr>
              <w:pStyle w:val="null10"/>
              <w:spacing w:lineRule="exact" w:line="200"/>
            </w:pPr>
            <w:r>
              <w:rPr>
                <w:rFonts w:ascii="方正黑体_GBK" w:hAnsi="方正黑体_GBK" w:cs="宋体" w:eastAsia="方正黑体_GBK"/>
                <w:sz w:val="18"/>
                <w:szCs w:val="18"/>
              </w:rPr>
              <w:t>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6fa8f81"/>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ef23c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ef23cf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ef23cf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ef23cf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ef23cf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ef23cf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ef23cf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ef23cf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南银理财珠联璧合鑫逸稳一年291期封闭式公募人民币理财产品</w:t>
      </w:r>
      <w:r>
        <w:rPr>
          <w:rFonts w:ascii="方正黑体_GBK" w:eastAsia="方正黑体_GBK" w:hint="eastAsia" w:hAnsi="方正黑体_GBK"/>
          <w:vanish w:val="0"/>
          <w:color w:val="3D3D3D"/>
          <w:kern w:val="0"/>
          <w:sz w:val="15"/>
          <w:szCs w:val="15"/>
        </w:rPr>
        <w:t>。</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ef23cf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ef23cf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ef23cf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ef23cf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101682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101682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101682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101682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101682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101682fc"/>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ef23cf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ef23cf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ef23cf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101682fc"/>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6fa8f81"/>
        <w:keepNext w:val="0"/>
        <w:keepLines w:val="0"/>
        <w:pageBreakBefore w:val="0"/>
        <w:widowControl/>
        <w:suppressLineNumbers w:val="0"/>
        <w:suppressAutoHyphens w:val="0"/>
        <w:spacing w:line="200" w:lineRule="exact"/>
        <w:ind w:firstLineChars="200" w:firstLine="300"/>
        <w:rPr>
          <w:rStyle w:val="101682fc"/>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6fa8f81"/>
        <w:pBdr>
          <w:top w:val="none" w:sz="0" w:space="0" w:color="auto"/>
          <w:left w:val="none" w:sz="0" w:space="0" w:color="auto"/>
          <w:bottom w:val="none" w:sz="0" w:space="0" w:color="auto"/>
          <w:right w:val="none" w:sz="0" w:space="0" w:color="auto"/>
        </w:pBdr>
        <w:spacing w:line="200" w:lineRule="exact"/>
        <w:rPr>
          <w:rFonts w:ascii="方正黑体_GBK" w:eastAsia="方正黑体_GBK" w:cs="宋体" w:hint="eastAsia" w:hAnsi="方正黑体_GBK"/>
          <w:b/>
          <w:bCs/>
          <w:vanish w:val="0"/>
          <w:sz w:val="15"/>
          <w:szCs w:val="15"/>
        </w:rPr>
      </w:pPr>
      <w:r>
        <w:rPr>
          <w:rFonts w:ascii="方正黑体_GBK" w:eastAsia="方正黑体_GBK" w:cs="宋体" w:hint="eastAsia" w:hAnsi="方正黑体_GBK"/>
          <w:b/>
          <w:bCs/>
          <w:vanish w:val="0"/>
          <w:sz w:val="15"/>
          <w:szCs w:val="15"/>
        </w:rPr>
        <w:t>第五条 主体机构</w:t>
      </w:r>
    </w:p>
    <w:p>
      <w:pPr>
        <w:pStyle w:val="06fa8f81"/>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（一）销售机构基本信息</w:t>
      </w:r>
      <w:bookmarkStart w:id="0" w:name="_GoBack"/>
      <w:bookmarkEnd w:id="0"/>
    </w:p>
    <w:tbl>
      <w:tblPr>
        <w:tblInd w:w="360" w:type="dxa"/>
        <w:tblW w:w="0" w:type="auto"/>
        <w:tblBorders>
          <w:top w:val="single"/>
          <w:left w:val="single"/>
          <w:bottom w:val="single"/>
          <w:right w:val="single"/>
          <w:insideH w:val="single"/>
          <w:insideV w:val="single"/>
        </w:tblBorders>
      </w:tblPr>
      <w:tblGrid>
        <w:gridCol w:w="2100"/>
        <w:gridCol w:w="4050"/>
        <w:gridCol w:w="1350"/>
      </w:tblGrid>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b/>
                <w:szCs w:val="20"/>
              </w:rPr>
              <w:t>销售机构名称</w:t>
            </w:r>
          </w:p>
        </w:tc>
        <w:tc>
          <w:tcPr>
            <w:tcW w:type="dxa" w:w="4050"/>
            <w:tcMar>
              <w:left w:type="dxa" w:w="120"/>
            </w:tcMar>
            <w:vAlign w:val="center"/>
          </w:tcPr>
          <w:p>
            <w:pPr>
              <w:pStyle w:val="null10"/>
              <w:spacing w:lineRule="exact" w:line="200"/>
            </w:pPr>
            <w:r>
              <w:rPr>
                <w:rFonts w:ascii="方正黑体_GBK" w:hAnsi="方正黑体_GBK" w:cs="宋体" w:eastAsia="方正黑体_GBK"/>
                <w:sz w:val="15"/>
                <w:b/>
                <w:szCs w:val="20"/>
              </w:rPr>
              <w:t>住所</w:t>
            </w:r>
          </w:p>
        </w:tc>
        <w:tc>
          <w:tcPr>
            <w:tcW w:type="dxa" w:w="1350"/>
            <w:tcMar>
              <w:left w:type="dxa" w:w="120"/>
            </w:tcMar>
            <w:vAlign w:val="center"/>
          </w:tcPr>
          <w:p>
            <w:pPr>
              <w:pStyle w:val="null10"/>
              <w:spacing w:lineRule="exact" w:line="200"/>
            </w:pPr>
            <w:r>
              <w:rPr>
                <w:rFonts w:ascii="方正黑体_GBK" w:hAnsi="方正黑体_GBK" w:cs="宋体" w:eastAsia="方正黑体_GBK"/>
                <w:sz w:val="15"/>
                <w:b/>
                <w:szCs w:val="20"/>
              </w:rPr>
              <w:t>联系方式</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江苏省南京市建邺区庐山路242号2号楼14-16层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025-83642111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南京市建邺区江山大街88号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95302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兴业银行股份有限公司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福建省福州市台江区江滨中大道398号兴业银行大厦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95561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青岛银行股份有限公司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山东省青岛市崂山区秦岭路6号3号楼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4006696588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山东省淄博市张店区人民西路212号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0533-2163939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嘉兴银行股份有限公司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浙江省嘉兴市昌盛南路1001号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0573-96528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江苏常熟农村商业银行股份有限公司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江苏省常熟市新世纪大道58号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956020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江苏苏州农村商业银行股份有限公司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江苏省苏州市吴江区中山南路1777号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956111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长沙银行股份有限公司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湖南省长沙市岳麓区滨江路53号楷林商务中心B座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0731-89934772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福建海峡银行股份有限公司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福建省福州市台江区江滨中大道358号海峡银行大厦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0591-4008939999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秦皇岛银行股份有限公司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河北省秦皇岛市海港区河北大街西段 560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0335-96336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泰安银行股份有限公司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山东省泰安市长城路3号圣地大厦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宁波东海银行股份有限公司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浙江省宁波高新区新晖南路113-127号（单号），扬帆路515号2-10层，高新宝龙商业广场13-19号、22号、29号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400-8866-345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齐鲁银行股份有限公司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山东省济南市历下区经十路10817号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4006096588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云南红塔银行股份有限公司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云南省玉溪市东风南路2号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96522</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九江银行股份有限公司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江西省九江市濂溪区长虹大道619号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宁夏银行股份有限公司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宁夏回族自治区银川市北京中路 157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400-809-6558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天津农村商业银行股份有限公司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天津市河西区友谊路32号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022-96155、400-80-96155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江苏紫金农村商业银行股份有限公司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南京市建邺区江东中路381号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温州银行股份有限公司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浙江省温州市鹿城区会展路1316号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江苏滨海农村商业银行股份有限公司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滨海县城迎宾中路1号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江苏金湖农村商业银行股份有限公司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江苏省金湖县黎城街道神华大道299号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苏州银行股份有限公司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中国（江苏）自由贸易试验区苏州片区苏州工业园区钟园路728号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0512-96067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蒙商银行股份有限公司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内蒙古自治区包头市九原区赛汗街道办事处建华南路2号A座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0472-2658888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富邦华一银行有限公司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中国（上海）自由贸易试验区世纪大道1168号A座101室、18楼、19楼及20楼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021-962811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宁波通商银行股份有限公司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浙江省宁波市鄞州区民安东路337号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400-916-6666</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日照市烟台路197号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0633-8081110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广州市天河区珠江东路30号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400-83-96699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石嘴山银行股份有限公司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宁夏回族自治区石嘴山市大武口区朝阳西街 39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0951-96789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无锡锡商银行股份有限公司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江苏省无锡市锡山区安镇街道东翔路578号红豆财富广场1-2层、5-11层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400-888-0555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镇江市丹阳金陵西路152号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江苏宜兴农村商业银行股份有限公司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江苏省宜兴市宜城街道解放东路579号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南京市高淳区淳溪镇宝塔路123号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泰兴市国庆东路166号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江苏响水农村商业银行股份有限公司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江苏省响水县双园东路北侧</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江苏靖江农村商业银行股份有限公司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江苏省靖江市南环西路12号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江苏新沂农村商业银行股份有限公司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江苏省新沂市钟吾路163号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江苏邳州农村商业银行股份有限公司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江苏省邳州市建设中路16号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江苏民丰农村商业银行股份有限公司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江苏省宿迁市宿城区高宝湖路1号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江苏盐城农村商业银行股份有限公司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盐城市盐南高新区新都西路8号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江苏建湖农村商业银行股份有限公司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江苏省建湖县湖中南路958号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东台市东城大道10号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江苏溧水农村商业银行股份有限公司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南京市溧水区永阳街道中山路22号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江苏南通农村商业银行股份有限公司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南通市崇川区工农南路89号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江苏扬州农村商业银行股份有限公司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江苏省扬州市同泰路107号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江苏江都农村商业银行股份有限公司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扬州市江都区龙城路21号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江苏淮安农村商业银行股份有限公司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江苏省淮安市清江浦区水渡口大道20号金融中心B1号楼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江苏大丰农村商业银行股份有限公司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江苏省盐城市大丰区常新中路9号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江苏涟水农村商业银行股份有限公司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淮安市涟水县涟城镇涟州路5号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江苏兴化农村商业银行股份有限公司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江苏省兴化市长安南路999号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江苏镇江农村商业银行股份有限公司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江苏省镇江市润州区长江路97号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江苏如皋农村商业银行股份有限公司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如皋市如城街道海阳南路999号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江苏宝应农村商业银行股份有限公司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江苏省宝应县文津路1号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徐州农村商业银行股份有限公司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徐州市铜山区北京南路26号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枣庄银行股份有限公司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山东省枣庄市薛城区光明大道1666号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海南省海口市龙华区海秀东路31号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0898-66505978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江苏丰县农村商业银行股份有限公司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江苏省丰县人民中路9号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江苏射阳农村商业银行股份有限公司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射阳县合德镇解放路385号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江苏句容农村商业银行股份有限公司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江苏省句容市福地东路66号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烟台银行股份有限公司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烟台市芝罘区海港路25号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0535-6691305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江苏泗洪农村商业银行股份有限公司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江苏省宿迁市泗洪县长江东路17号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江苏泗阳农村商业银行股份有限公司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宿迁市泗阳县众兴镇北京中路21号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江苏张家港农村商业银行股份有限公司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张家港市杨舍镇人民中路66号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96065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江苏江阴农村商业银行股份有限公司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江阴市澄江中路1号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96078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江苏东海农村商业银行股份有限公司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连云港市东海县牛山镇海陵东路8号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江苏高邮农村商业银行股份有限公司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高邮市文游中路28号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廊坊银行股份有限公司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河北省廊坊市广阳区广阳道 31 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400-620-0099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徽商银行股份有限公司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安徽省合肥市云谷路1699号徽银大厦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40088-96588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郑州银行股份有限公司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郑州市郑东新区商务外环路22号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95097</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江苏姜堰农村商业银行股份有限公司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泰州市姜堰区姜堰大道128号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山西银行股份有限公司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山西转型综合改革示范区学府产业园高新街15号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0351-96588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江苏如东农村商业银行股份有限公司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江苏省如东县掘港镇钟山路66号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北京市西城区金融大街甲17号首层</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010-66426500</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江苏赣榆农村商业银行股份有限公司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连云港市赣榆区黄海东路304号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江苏盱眙农村商业银行股份有限公司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江苏省盱眙县合欢大道2号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东营银行股份有限公司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山东省东营市东营区府前大街87-1号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0546-96588/400-6296588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江苏沛县农村商业银行股份有限公司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江苏省沛县汤沐路中段11号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潍坊银行股份有限公司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潍坊市奎文区胜利东街5139号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0536-8106161</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江苏仪征农村商业银行股份有限公司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江苏省仪征市真州镇解放东路818号金融集聚区1座801-811，901-911，1001-1011，2座101</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金华银行股份有限公司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浙江省金华市丹溪路1388号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0579-96528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吉林银行股份有限公司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吉林省长春市南关区人民大街10666号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0431-84999543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连云港东方农村商业银行股份有限公司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江苏省连云港市海州区郁洲南路10号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德州银行股份有限公司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山东省德州市三八东路1266号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0534-2291695</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北京农村商业银行股份有限公司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北京市西城区月坛南街1号院2号楼</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010-96198、4008896198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上海农村商业银行股份有限公司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上海市黄浦区中山东二路70号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021-962999</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江苏沭阳农村商业银行股份有限公司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沭阳县沭城镇苏州东路与台州南路交汇处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海南农村商业银行股份有限公司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海南省海口市美兰区国兴大道5号海南大厦</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65200533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湖州银行股份有限公司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浙江省湖州市红旗路268号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40080-96528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江苏灌云农村商业银行股份有限公司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江苏省灌云县伊山镇水利路东侧（人民路与水利路交汇处）</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广州农村商业银行股份有限公司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广州市黄埔区映日路9号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95313</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江苏泰州农村商业银行股份有限公司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泰州市海陵区西仓路36号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96008</w:t>
            </w:r>
          </w:p>
        </w:tc>
      </w:tr>
      <w:tr>
        <w:trPr>
          <w:trHeight w:val="300" w:hRule="atLeast"/>
        </w:trPr>
        <w:tc>
          <w:tcPr>
            <w:tcW w:type="dxa" w:w="2100"/>
            <w:tcMar>
              <w:left w:type="dxa" w:w="120"/>
            </w:tcMar>
            <w:vAlign w:val="center"/>
          </w:tcPr>
          <w:p>
            <w:pPr>
              <w:pStyle w:val="null10"/>
              <w:spacing w:lineRule="exact" w:line="200"/>
            </w:pPr>
            <w:r>
              <w:rPr>
                <w:rFonts w:ascii="方正黑体_GBK" w:hAnsi="方正黑体_GBK" w:cs="宋体" w:eastAsia="方正黑体_GBK"/>
                <w:sz w:val="15"/>
                <w:szCs w:val="20"/>
              </w:rPr>
              <w:t>朝阳银行股份有限公司</w:t>
            </w:r>
          </w:p>
        </w:tc>
        <w:tc>
          <w:tcPr>
            <w:tcW w:type="dxa" w:w="4050"/>
            <w:tcMar>
              <w:left w:type="dxa" w:w="120"/>
            </w:tcMar>
            <w:vAlign w:val="center"/>
          </w:tcPr>
          <w:p>
            <w:pPr>
              <w:pStyle w:val="null10"/>
              <w:spacing w:lineRule="exact" w:line="200"/>
            </w:pPr>
            <w:r>
              <w:rPr>
                <w:rFonts w:ascii="方正黑体_GBK" w:hAnsi="方正黑体_GBK" w:cs="宋体" w:eastAsia="方正黑体_GBK"/>
                <w:sz w:val="15"/>
                <w:szCs w:val="20"/>
              </w:rPr>
              <w:t>朝阳市双塔区朝阳大街三段4号</w:t>
            </w:r>
          </w:p>
        </w:tc>
        <w:tc>
          <w:tcPr>
            <w:tcW w:type="dxa" w:w="1350"/>
            <w:tcMar>
              <w:left w:type="dxa" w:w="120"/>
            </w:tcMar>
            <w:vAlign w:val="center"/>
          </w:tcPr>
          <w:p>
            <w:pPr>
              <w:pStyle w:val="null10"/>
              <w:spacing w:lineRule="exact" w:line="200"/>
            </w:pPr>
            <w:r>
              <w:rPr>
                <w:rFonts w:ascii="方正黑体_GBK" w:hAnsi="方正黑体_GBK" w:cs="宋体" w:eastAsia="方正黑体_GBK"/>
                <w:sz w:val="15"/>
                <w:szCs w:val="20"/>
              </w:rPr>
              <w:t>0421-2632275</w:t>
            </w:r>
          </w:p>
        </w:tc>
      </w:tr>
    </w:tbl>
    <w:p>
      <w:pPr>
        <w:pStyle w:val="06fa8f81"/>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（二）关联关系信息</w:t>
      </w:r>
    </w:p>
    <w:p>
      <w:pPr>
        <w:pStyle w:val="06fa8f81"/>
        <w:pBdr>
          <w:top w:val="none" w:sz="0" w:space="0" w:color="auto"/>
          <w:left w:val="none" w:sz="0" w:space="0" w:color="auto"/>
          <w:bottom w:val="none" w:sz="0" w:space="0" w:color="auto"/>
          <w:right w:val="none" w:sz="0" w:space="0" w:color="auto"/>
        </w:pBdr>
        <w:spacing w:line="200" w:lineRule="exact"/>
        <w:ind w:firstLineChars="200" w:firstLine="300"/>
        <w:rPr>
          <w:rFonts w:ascii="方正黑体_GBK" w:eastAsia="方正黑体_GBK" w:cs="宋体" w:hint="eastAsia" w:hAnsi="方正黑体_GBK"/>
          <w:vanish w:val="0"/>
          <w:sz w:val="15"/>
          <w:szCs w:val="15"/>
        </w:rPr>
      </w:pPr>
      <w:r>
        <w:rPr>
          <w:rFonts w:ascii="方正黑体_GBK" w:eastAsia="方正黑体_GBK" w:cs="宋体" w:hint="eastAsia" w:hAnsi="方正黑体_GBK"/>
          <w:vanish w:val="0"/>
          <w:sz w:val="15"/>
          <w:szCs w:val="15"/>
        </w:rPr>
        <w:t>（1）与管理人有关联关系的机构信息如下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江苏丹阳农村商业银行股份有限公司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发行机构的董事、高管及其近亲属控制的法人或非法人组织</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南京银行股份有限公司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发行机构股东控制或可施加重大影响的法人或非法人组织</w:t>
            </w:r>
          </w:p>
        </w:tc>
      </w:tr>
    </w:tbl>
    <w:p>
      <w:pPr>
        <w:pStyle w:val="06fa8f81"/>
        <w:spacing w:line="200" w:lineRule="exact"/>
        <w:ind w:firstLineChars="200" w:firstLine="300"/>
        <w:rPr>
          <w:rFonts w:ascii="方正黑体_GBK" w:eastAsia="方正黑体_GBK" w:cs="宋体" w:hAnsi="方正黑体_GBK"/>
          <w:vanish w:val="0"/>
          <w:sz w:val="15"/>
          <w:szCs w:val="15"/>
        </w:rPr>
      </w:pPr>
      <w:r>
        <w:rPr>
          <w:rFonts w:ascii="方正黑体_GBK" w:eastAsia="方正黑体_GBK" w:cs="宋体" w:hint="eastAsia" w:hAnsi="方正黑体_GBK"/>
          <w:vanish w:val="0"/>
          <w:sz w:val="15"/>
          <w:szCs w:val="15"/>
        </w:rPr>
        <w:t>（2）与托管人有关联关系的机构信息如下</w:t>
      </w:r>
    </w:p>
    <w:tbl>
      <w:tblPr>
        <w:tblInd w:w="360" w:type="dxa"/>
        <w:tblW w:w="0" w:type="auto"/>
        <w:tblBorders>
          <w:top w:val="single"/>
          <w:left w:val="single"/>
          <w:bottom w:val="single"/>
          <w:right w:val="single"/>
          <w:insideH w:val="single"/>
          <w:insideV w:val="single"/>
        </w:tblBorders>
      </w:tblPr>
      <w:tblGrid>
        <w:gridCol w:w="3000"/>
        <w:gridCol w:w="4500"/>
      </w:tblGrid>
      <w:tr>
        <w:trPr>
          <w:trHeight w:val="300" w:hRule="atLeast"/>
        </w:trPr>
        <w:tc>
          <w:tcPr>
            <w:tcW w:type="dxa" w:w="3000"/>
            <w:vAlign w:val="center"/>
          </w:tcPr>
          <w:p>
            <w:pPr>
              <w:pStyle w:val="null10"/>
              <w:spacing w:lineRule="exact" w:line="200"/>
              <w:jc w:val="center"/>
            </w:pPr>
            <w:r>
              <w:rPr>
                <w:rFonts w:ascii="方正黑体_GBK" w:hAnsi="方正黑体_GBK" w:cs="宋体" w:eastAsia="方正黑体_GBK"/>
                <w:sz w:val="15"/>
                <w:b/>
                <w:szCs w:val="20"/>
              </w:rPr>
              <w:t>机构名称</w:t>
            </w:r>
          </w:p>
        </w:tc>
        <w:tc>
          <w:tcPr>
            <w:tcW w:type="dxa" w:w="4500"/>
            <w:vAlign w:val="center"/>
          </w:tcPr>
          <w:p>
            <w:pPr>
              <w:pStyle w:val="null10"/>
              <w:spacing w:lineRule="exact" w:line="200"/>
              <w:jc w:val="center"/>
            </w:pPr>
            <w:r>
              <w:rPr>
                <w:rFonts w:ascii="方正黑体_GBK" w:hAnsi="方正黑体_GBK" w:cs="宋体" w:eastAsia="方正黑体_GBK"/>
                <w:sz w:val="15"/>
                <w:b/>
                <w:szCs w:val="20"/>
              </w:rPr>
              <w:t>关联关系</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南银理财有限责任公司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托管机构的控股机构</w:t>
            </w:r>
          </w:p>
        </w:tc>
      </w:tr>
      <w:tr>
        <w:trPr>
          <w:trHeight w:val="300" w:hRule="atLeast"/>
        </w:trPr>
        <w:tc>
          <w:tcPr>
            <w:tcW w:type="dxa" w:w="3000"/>
            <w:tcMar>
              <w:left w:type="dxa" w:w="120"/>
            </w:tcMar>
            <w:vAlign w:val="center"/>
          </w:tcPr>
          <w:p>
            <w:pPr>
              <w:pStyle w:val="null10"/>
              <w:spacing w:lineRule="exact" w:line="200"/>
            </w:pPr>
            <w:r>
              <w:rPr>
                <w:rFonts w:ascii="方正黑体_GBK" w:hAnsi="方正黑体_GBK" w:cs="宋体" w:eastAsia="方正黑体_GBK"/>
                <w:sz w:val="15"/>
                <w:szCs w:val="20"/>
              </w:rPr>
              <w:t>日照银行股份有限公司</w:t>
            </w:r>
          </w:p>
        </w:tc>
        <w:tc>
          <w:tcPr>
            <w:tcW w:type="dxa" w:w="4500"/>
            <w:tcMar>
              <w:left w:type="dxa" w:w="120"/>
            </w:tcMar>
            <w:vAlign w:val="center"/>
          </w:tcPr>
          <w:p>
            <w:pPr>
              <w:pStyle w:val="null10"/>
              <w:spacing w:lineRule="exact" w:line="200"/>
            </w:pPr>
            <w:r>
              <w:rPr>
                <w:rFonts w:ascii="方正黑体_GBK" w:hAnsi="方正黑体_GBK" w:cs="宋体" w:eastAsia="方正黑体_GBK"/>
                <w:sz w:val="15"/>
                <w:szCs w:val="20"/>
              </w:rPr>
              <w:t>与托管机构存在重大利害关系</w:t>
            </w:r>
          </w:p>
        </w:tc>
      </w:tr>
    </w:tbl>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6fa8f8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6fa8f81"/>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null10"/>
        <w:spacing w:lineRule="exact" w:line="200"/>
        <w:ind w:firstLine="300"/>
      </w:pPr>
      <w:r>
        <w:rPr>
          <w:rFonts w:ascii="方正黑体_GBK" w:hAnsi="方正黑体_GBK" w:cs="宋体" w:eastAsia="方正黑体_GBK"/>
          <w:sz w:val="15"/>
          <w:color w:val="3D3D3D"/>
          <w:szCs w:val="20"/>
        </w:rPr>
        <w:t>1.净值信息</w:t>
      </w:r>
    </w:p>
    <w:p>
      <w:pPr>
        <w:pStyle w:val="null10"/>
        <w:spacing w:lineRule="exact" w:line="200"/>
        <w:ind w:firstLine="300"/>
      </w:pPr>
      <w:r>
        <w:rPr>
          <w:rFonts w:ascii="方正黑体_GBK" w:hAnsi="方正黑体_GBK" w:cs="宋体" w:eastAsia="方正黑体_GBK"/>
          <w:sz w:val="15"/>
          <w:color w:val="3D3D3D"/>
          <w:szCs w:val="20"/>
        </w:rPr>
        <w:t>管理人在本理财产品存续期间至少</w:t>
      </w:r>
      <w:r>
        <w:rPr>
          <w:rFonts w:ascii="方正黑体_GBK" w:hAnsi="方正黑体_GBK" w:cs="宋体" w:eastAsia="方正黑体_GBK"/>
          <w:sz w:val="15"/>
          <w:color w:val="3D3D3D"/>
          <w:shd w:fill="FFFFFF" w:val="clear"/>
          <w:szCs w:val="20"/>
        </w:rPr>
        <w:t>按周</w:t>
      </w:r>
      <w:r>
        <w:rPr>
          <w:rFonts w:ascii="方正黑体_GBK" w:hAnsi="方正黑体_GBK" w:cs="宋体" w:eastAsia="方正黑体_GBK"/>
          <w:sz w:val="15"/>
          <w:color w:val="3D3D3D"/>
          <w:szCs w:val="20"/>
        </w:rPr>
        <w:t>向投资者披露净值。</w:t>
      </w:r>
    </w:p>
    <w:p>
      <w:pPr>
        <w:pStyle w:val="null10"/>
        <w:spacing w:lineRule="exact" w:line="200"/>
        <w:ind w:firstLine="300"/>
      </w:pPr>
      <w:r>
        <w:rPr>
          <w:rFonts w:ascii="方正黑体_GBK" w:hAnsi="方正黑体_GBK" w:cs="宋体" w:eastAsia="方正黑体_GBK"/>
          <w:sz w:val="15"/>
          <w:color w:val="3D3D3D"/>
          <w:szCs w:val="20"/>
        </w:rPr>
        <w:t>2.产品发行公告</w:t>
      </w:r>
    </w:p>
    <w:p>
      <w:pPr>
        <w:pStyle w:val="null10"/>
        <w:spacing w:lineRule="exact" w:line="200"/>
        <w:ind w:firstLine="300"/>
      </w:pPr>
      <w:r>
        <w:rPr>
          <w:rFonts w:ascii="方正黑体_GBK" w:hAnsi="方正黑体_GBK" w:cs="宋体" w:eastAsia="方正黑体_GBK"/>
          <w:sz w:val="15"/>
          <w:color w:val="3D3D3D"/>
          <w:szCs w:val="20"/>
        </w:rPr>
        <w:t>管理人将在本理财产品成立后5个工作日内披露产品发行公告。</w:t>
      </w:r>
    </w:p>
    <w:p>
      <w:pPr>
        <w:pStyle w:val="null10"/>
        <w:spacing w:lineRule="exact" w:line="200"/>
        <w:ind w:firstLine="300"/>
      </w:pPr>
      <w:r>
        <w:rPr>
          <w:rFonts w:ascii="方正黑体_GBK" w:hAnsi="方正黑体_GBK" w:cs="宋体" w:eastAsia="方正黑体_GBK"/>
          <w:sz w:val="15"/>
          <w:color w:val="3D3D3D"/>
          <w:szCs w:val="20"/>
        </w:rPr>
        <w:t>3.定期报告</w:t>
      </w:r>
    </w:p>
    <w:p>
      <w:pPr>
        <w:pStyle w:val="null10"/>
        <w:spacing w:lineRule="exact" w:line="200"/>
        <w:ind w:firstLine="300"/>
      </w:pPr>
      <w:r>
        <w:rPr>
          <w:rFonts w:ascii="方正黑体_GBK" w:hAnsi="方正黑体_GBK" w:cs="宋体" w:eastAsia="方正黑体_GBK"/>
          <w:sz w:val="15"/>
          <w:color w:val="3D3D3D"/>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pPr>
        <w:pStyle w:val="null10"/>
        <w:spacing w:lineRule="exact" w:line="200"/>
        <w:ind w:firstLine="300"/>
      </w:pPr>
      <w:r>
        <w:rPr>
          <w:rFonts w:ascii="方正黑体_GBK" w:hAnsi="方正黑体_GBK" w:cs="宋体" w:eastAsia="方正黑体_GBK"/>
          <w:sz w:val="15"/>
          <w:color w:val="3D3D3D"/>
          <w:szCs w:val="20"/>
        </w:rPr>
        <w:t>4.到期公告</w:t>
      </w:r>
    </w:p>
    <w:p>
      <w:pPr>
        <w:pStyle w:val="null10"/>
        <w:spacing w:lineRule="exact" w:line="200"/>
        <w:ind w:firstLine="300"/>
      </w:pPr>
      <w:r>
        <w:rPr>
          <w:rFonts w:ascii="方正黑体_GBK" w:hAnsi="方正黑体_GBK" w:cs="宋体" w:eastAsia="方正黑体_GBK"/>
          <w:sz w:val="15"/>
          <w:color w:val="3D3D3D"/>
          <w:szCs w:val="20"/>
        </w:rPr>
        <w:t>管理人将在本理财产品终止后5个工作日内披露产品到期公告。</w:t>
      </w:r>
    </w:p>
    <w:p>
      <w:pPr>
        <w:pStyle w:val="null10"/>
        <w:spacing w:lineRule="exact" w:line="200"/>
        <w:ind w:firstLine="300"/>
      </w:pPr>
      <w:r>
        <w:rPr>
          <w:rFonts w:ascii="方正黑体_GBK" w:hAnsi="方正黑体_GBK" w:cs="宋体" w:eastAsia="方正黑体_GBK"/>
          <w:sz w:val="15"/>
          <w:color w:val="3D3D3D"/>
          <w:szCs w:val="20"/>
        </w:rPr>
        <w:t>5.重大事项公告</w:t>
      </w:r>
    </w:p>
    <w:p>
      <w:pPr>
        <w:pStyle w:val="null10"/>
        <w:spacing w:lineRule="exact" w:line="200"/>
        <w:ind w:firstLine="300"/>
      </w:pPr>
      <w:r>
        <w:rPr>
          <w:rFonts w:ascii="方正黑体_GBK" w:hAnsi="方正黑体_GBK" w:cs="宋体" w:eastAsia="方正黑体_GBK"/>
          <w:sz w:val="15"/>
          <w:color w:val="3D3D3D"/>
          <w:szCs w:val="20"/>
        </w:rPr>
        <w:t>管理人将在发生可能对本理财产品投资者或者理财产品收益产生重大影响的事件后2个工作日内披露重大事项公告。</w:t>
      </w:r>
    </w:p>
    <w:p>
      <w:pPr>
        <w:pStyle w:val="null10"/>
        <w:spacing w:lineRule="exact" w:line="200"/>
        <w:ind w:firstLine="300"/>
      </w:pPr>
      <w:r>
        <w:rPr>
          <w:rFonts w:ascii="方正黑体_GBK" w:hAnsi="方正黑体_GBK" w:cs="宋体" w:eastAsia="方正黑体_GBK"/>
          <w:sz w:val="15"/>
          <w:color w:val="3D3D3D"/>
          <w:szCs w:val="20"/>
        </w:rPr>
        <w:t>6.临时公告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理财产品在运作管理过程中，发生可能对理财产品持有人权益产生影响的事项时，管理人将根据法律法规规定及时进行临时信息披露。</w:t>
      </w:r>
    </w:p>
    <w:p>
      <w:pPr>
        <w:pStyle w:val="null10"/>
        <w:spacing w:lineRule="exact" w:line="200"/>
        <w:ind w:firstLine="300"/>
      </w:pPr>
      <w:r>
        <w:rPr>
          <w:rFonts w:ascii="方正黑体_GBK" w:hAnsi="方正黑体_GBK" w:cs="宋体" w:eastAsia="方正黑体_GBK"/>
          <w:sz w:val="15"/>
          <w:color w:val="3D3D3D"/>
          <w:szCs w:val="20"/>
        </w:rPr>
        <w:t>7.关联交易信息披露</w:t>
      </w:r>
    </w:p>
    <w:p>
      <w:pPr>
        <w:pStyle w:val="null10"/>
        <w:spacing w:lineRule="exact" w:line="200"/>
        <w:ind w:firstLine="300"/>
      </w:pPr>
      <w:r>
        <w:rPr>
          <w:rFonts w:ascii="方正黑体_GBK" w:hAnsi="方正黑体_GBK" w:cs="宋体" w:eastAsia="方正黑体_GBK"/>
          <w:sz w:val="15"/>
          <w:color w:val="3D3D3D"/>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pPr>
        <w:pStyle w:val="null10"/>
        <w:spacing w:lineRule="exact" w:line="200"/>
        <w:ind w:firstLine="300"/>
      </w:pPr>
      <w:r>
        <w:rPr>
          <w:rFonts w:ascii="方正黑体_GBK" w:hAnsi="方正黑体_GBK" w:cs="宋体" w:eastAsia="方正黑体_GBK"/>
          <w:sz w:val="15"/>
          <w:color w:val="3D3D3D"/>
          <w:szCs w:val="20"/>
        </w:rPr>
        <w:t>8.账单</w:t>
      </w:r>
    </w:p>
    <w:p>
      <w:pPr>
        <w:pStyle w:val="null10"/>
        <w:spacing w:lineRule="exact" w:line="200"/>
        <w:ind w:firstLine="300"/>
      </w:pPr>
      <w:r>
        <w:rPr>
          <w:rFonts w:ascii="方正黑体_GBK" w:hAnsi="方正黑体_GBK" w:cs="宋体" w:eastAsia="方正黑体_GBK"/>
          <w:sz w:val="15"/>
          <w:color w:val="3D3D3D"/>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pPr>
        <w:pStyle w:val="null10"/>
        <w:spacing w:lineRule="exact" w:line="200"/>
        <w:ind w:firstLine="301"/>
      </w:pPr>
      <w:r>
        <w:rPr>
          <w:rFonts w:ascii="方正黑体_GBK" w:hAnsi="方正黑体_GBK" w:cs="宋体" w:eastAsia="方正黑体_GBK"/>
          <w:sz w:val="15"/>
          <w:b/>
          <w:szCs w:val="20"/>
        </w:rPr>
        <w:t>9.在本理财产品存续期内：</w:t>
      </w:r>
    </w:p>
    <w:p>
      <w:pPr>
        <w:pStyle w:val="null10"/>
        <w:spacing w:lineRule="exact" w:line="200"/>
        <w:ind w:firstLine="301"/>
      </w:pPr>
      <w:r>
        <w:rPr>
          <w:rFonts w:ascii="方正黑体_GBK" w:hAnsi="方正黑体_GBK" w:cs="宋体" w:eastAsia="方正黑体_GBK"/>
          <w:sz w:val="15"/>
          <w:b/>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null10"/>
        <w:spacing w:lineRule="exact" w:line="200"/>
        <w:ind w:firstLine="300"/>
      </w:pPr>
      <w:r>
        <w:rPr>
          <w:rFonts w:ascii="方正黑体_GBK" w:hAnsi="方正黑体_GBK" w:cs="宋体" w:eastAsia="方正黑体_GBK"/>
          <w:sz w:val="15"/>
          <w:color w:val="3D3D3D"/>
          <w:szCs w:val="20"/>
        </w:rPr>
        <w:t>10.其他公告</w:t>
      </w:r>
    </w:p>
    <w:p>
      <w:pPr>
        <w:pStyle w:val="null10"/>
        <w:spacing w:lineRule="exact" w:line="200"/>
        <w:ind w:firstLine="300"/>
      </w:pPr>
      <w:r>
        <w:rPr>
          <w:rFonts w:ascii="方正黑体_GBK" w:hAnsi="方正黑体_GBK" w:cs="宋体" w:eastAsia="方正黑体_GBK"/>
          <w:sz w:val="15"/>
          <w:color w:val="3D3D3D"/>
          <w:szCs w:val="20"/>
        </w:rPr>
        <w:t>理财产品在运作管理过程中，管理人根据实际运作情况发布的其他公告。</w:t>
      </w:r>
    </w:p>
    <w:p>
      <w:pPr>
        <w:pStyle w:val="null10"/>
        <w:spacing w:lineRule="exact" w:line="200"/>
        <w:ind w:firstLine="300"/>
      </w:pPr>
      <w:r>
        <w:rPr>
          <w:rFonts w:ascii="方正黑体_GBK" w:hAnsi="方正黑体_GBK" w:eastAsia="方正黑体_GBK"/>
        </w:rPr>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6fa8f8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6fa8f81"/>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bookmarkStart w:id="0" w:name="_GoBack"/>
      <w:bookmarkEnd w:id="0"/>
      <w:r>
        <w:rPr>
          <w:rFonts w:ascii="方正黑体_GBK" w:eastAsia="方正黑体_GBK" w:cs="Times New Roman" w:hint="eastAsia" w:hAnsi="方正黑体_GBK"/>
          <w:b/>
          <w:bCs/>
          <w:vanish w:val="0"/>
          <w:color w:val="auto"/>
          <w:kern w:val="0"/>
          <w:sz w:val="15"/>
          <w:szCs w:val="15"/>
        </w:rPr>
        <w:t>九</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6fa8f8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6fa8f81"/>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num w:numId="1">
    <w:abstractNumId w:val="1"/>
  </w:num>
  <w:num w:numId="2">
    <w:abstractNumId w:val="3"/>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e08be5f">
    <w:name w:val="Normal3e08be5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1446044">
    <w:name w:val="heading 1c1446044"/>
    <w:basedOn w:val="3e08be5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504d34f">
    <w:name w:val="heading 22504d34f"/>
    <w:basedOn w:val="3e08be5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2c09b63">
    <w:name w:val="heading 332c09b63"/>
    <w:basedOn w:val="3e08be5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312cd24">
    <w:name w:val="Default Paragraph Font3312cd24"/>
  </w:style>
  <w:style xmlns:r="http://schemas.openxmlformats.org/officeDocument/2006/relationships" w:type="paragraph" w:styleId="2203862b">
    <w:name w:val="toc 12203862b"/>
    <w:basedOn w:val="3e08be5f"/>
    <w:autoRedefine/>
    <w:next w:val="0"/>
  </w:style>
  <w:style xmlns:r="http://schemas.openxmlformats.org/officeDocument/2006/relationships" w:type="paragraph" w:styleId="1068dfad">
    <w:name w:val="toc 21068dfad"/>
    <w:basedOn w:val="3e08be5f"/>
    <w:autoRedefine/>
    <w:next w:val="0"/>
    <w:pPr>
      <w:ind w:left="420"/>
    </w:pPr>
  </w:style>
  <w:style xmlns:r="http://schemas.openxmlformats.org/officeDocument/2006/relationships" w:type="paragraph" w:styleId="0228ff7d">
    <w:name w:val="toc 30228ff7d"/>
    <w:basedOn w:val="3e08be5f"/>
    <w:autoRedefine/>
    <w:next w:val="0"/>
    <w:pPr>
      <w:ind w:left="840"/>
    </w:pPr>
  </w:style>
  <w:style xmlns:r="http://schemas.openxmlformats.org/officeDocument/2006/relationships" w:type="paragraph" w:styleId="257b482a">
    <w:name w:val="toc 4257b482a"/>
    <w:basedOn w:val="3e08be5f"/>
    <w:autoRedefine/>
    <w:next w:val="0"/>
    <w:pPr>
      <w:ind w:left="1260"/>
    </w:pPr>
  </w:style>
  <w:style xmlns:r="http://schemas.openxmlformats.org/officeDocument/2006/relationships" w:type="paragraph" w:styleId="a4608a8a">
    <w:name w:val="toc 5a4608a8a"/>
    <w:basedOn w:val="3e08be5f"/>
    <w:autoRedefine/>
    <w:next w:val="0"/>
    <w:pPr>
      <w:ind w:left="1680"/>
    </w:pPr>
  </w:style>
  <w:style xmlns:r="http://schemas.openxmlformats.org/officeDocument/2006/relationships" w:type="paragraph" w:styleId="766ab693">
    <w:name w:val="header766ab693"/>
    <w:basedOn w:val="3e08be5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9193600">
    <w:name w:val="footer99193600"/>
    <w:basedOn w:val="3e08be5f"/>
    <w:pPr>
      <w:tabs>
        <w:tab w:val="center" w:pos="4153"/>
        <w:tab w:val="right" w:pos="8307"/>
      </w:tabs>
      <w:adjustRightInd/>
      <w:snapToGrid w:val="0"/>
      <w:contextualSpacing w:val="0"/>
      <w:jc w:val="left"/>
    </w:pPr>
    <w:rPr>
      <w:sz w:val="18"/>
    </w:rPr>
  </w:style>
  <w:style xmlns:r="http://schemas.openxmlformats.org/officeDocument/2006/relationships" w:type="character" w:styleId="e875f9eb">
    <w:name w:val="Stronge875f9eb"/>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6fa8f81">
    <w:name w:val="Normal06fa8f8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bd42a557">
    <w:name w:val="heading 1bd42a557"/>
    <w:basedOn w:val="06fa8f8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39fd380">
    <w:name w:val="heading 2c39fd380"/>
    <w:basedOn w:val="06fa8f8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ca1c40f">
    <w:name w:val="heading 39ca1c40f"/>
    <w:basedOn w:val="06fa8f8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623963a">
    <w:name w:val="Default Paragraph Font0623963a"/>
  </w:style>
  <w:style xmlns:r="http://schemas.openxmlformats.org/officeDocument/2006/relationships" w:type="paragraph" w:styleId="50641c79">
    <w:name w:val="Normal Indent50641c79"/>
    <w:basedOn w:val="06fa8f81"/>
    <w:pPr>
      <w:ind w:firstLineChars="200" w:firstLine="200"/>
    </w:pPr>
  </w:style>
  <w:style xmlns:r="http://schemas.openxmlformats.org/officeDocument/2006/relationships" w:type="paragraph" w:styleId="3115d900">
    <w:name w:val="toc 53115d900"/>
    <w:basedOn w:val="06fa8f81"/>
    <w:next w:val="0"/>
    <w:pPr>
      <w:ind w:left="1680"/>
    </w:pPr>
  </w:style>
  <w:style xmlns:r="http://schemas.openxmlformats.org/officeDocument/2006/relationships" w:type="paragraph" w:styleId="927022e2">
    <w:name w:val="toc 3927022e2"/>
    <w:basedOn w:val="06fa8f81"/>
    <w:next w:val="0"/>
    <w:pPr>
      <w:ind w:left="840"/>
    </w:pPr>
  </w:style>
  <w:style xmlns:r="http://schemas.openxmlformats.org/officeDocument/2006/relationships" w:type="paragraph" w:styleId="18aa4219">
    <w:name w:val="footer18aa4219"/>
    <w:basedOn w:val="06fa8f81"/>
    <w:pPr>
      <w:tabs>
        <w:tab w:val="center" w:pos="4153"/>
        <w:tab w:val="right" w:pos="8307"/>
      </w:tabs>
      <w:adjustRightInd/>
      <w:snapToGrid w:val="0"/>
      <w:contextualSpacing w:val="0"/>
      <w:jc w:val="left"/>
    </w:pPr>
    <w:rPr>
      <w:sz w:val="18"/>
    </w:rPr>
  </w:style>
  <w:style xmlns:r="http://schemas.openxmlformats.org/officeDocument/2006/relationships" w:type="paragraph" w:styleId="18545188">
    <w:name w:val="header18545188"/>
    <w:basedOn w:val="06fa8f8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530f3c0">
    <w:name w:val="toc 1e530f3c0"/>
    <w:basedOn w:val="06fa8f81"/>
    <w:next w:val="0"/>
  </w:style>
  <w:style xmlns:r="http://schemas.openxmlformats.org/officeDocument/2006/relationships" w:type="paragraph" w:styleId="1b6456f0">
    <w:name w:val="toc 41b6456f0"/>
    <w:basedOn w:val="06fa8f81"/>
    <w:next w:val="0"/>
    <w:pPr>
      <w:ind w:left="1260"/>
    </w:pPr>
  </w:style>
  <w:style xmlns:r="http://schemas.openxmlformats.org/officeDocument/2006/relationships" w:type="paragraph" w:styleId="126bb287">
    <w:name w:val="toc 2126bb287"/>
    <w:basedOn w:val="06fa8f81"/>
    <w:next w:val="0"/>
    <w:pPr>
      <w:ind w:left="420"/>
    </w:pPr>
  </w:style>
  <w:style xmlns:r="http://schemas.openxmlformats.org/officeDocument/2006/relationships" w:type="paragraph" w:styleId="1dd74238">
    <w:name w:val="Normal (Web)1dd74238"/>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ef23cf6">
    <w:name w:val="Normaleef23cf6eef23cf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cd5a15c">
    <w:name w:val="heading 1ecd5a15cecd5a15c"/>
    <w:basedOn w:val="eef23cf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6cdb92a">
    <w:name w:val="heading 2f6cdb92af6cdb92a"/>
    <w:basedOn w:val="eef23cf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9e72871">
    <w:name w:val="heading 3a9e72871a9e72871"/>
    <w:basedOn w:val="eef23cf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9ede6ba">
    <w:name w:val="Default Paragraph Font29ede6ba29ede6ba"/>
  </w:style>
  <w:style xmlns:r="http://schemas.openxmlformats.org/officeDocument/2006/relationships" w:type="paragraph" w:customStyle="1" w:styleId="a9c89e06">
    <w:name w:val="引文目录1a9c89e06a9c89e06"/>
    <w:basedOn w:val="eef23cf6"/>
    <w:next w:val="0"/>
    <w:pPr>
      <w:ind w:leftChars="200" w:left="200"/>
    </w:pPr>
  </w:style>
  <w:style xmlns:r="http://schemas.openxmlformats.org/officeDocument/2006/relationships" w:type="paragraph" w:styleId="95815535">
    <w:name w:val="toc 59581553595815535"/>
    <w:basedOn w:val="eef23cf6"/>
    <w:next w:val="0"/>
    <w:pPr>
      <w:ind w:left="1680"/>
    </w:pPr>
  </w:style>
  <w:style xmlns:r="http://schemas.openxmlformats.org/officeDocument/2006/relationships" w:type="paragraph" w:styleId="53a1c745">
    <w:name w:val="toc 353a1c74553a1c745"/>
    <w:basedOn w:val="eef23cf6"/>
    <w:next w:val="0"/>
    <w:pPr>
      <w:ind w:left="840"/>
    </w:pPr>
  </w:style>
  <w:style xmlns:r="http://schemas.openxmlformats.org/officeDocument/2006/relationships" w:type="paragraph" w:styleId="d5f775c9">
    <w:name w:val="footerd5f775c9d5f775c9"/>
    <w:basedOn w:val="eef23cf6"/>
    <w:pPr>
      <w:tabs>
        <w:tab w:val="center" w:pos="4153"/>
        <w:tab w:val="right" w:pos="8307"/>
      </w:tabs>
      <w:adjustRightInd/>
      <w:snapToGrid w:val="0"/>
      <w:contextualSpacing w:val="0"/>
      <w:jc w:val="left"/>
    </w:pPr>
    <w:rPr>
      <w:sz w:val="18"/>
    </w:rPr>
  </w:style>
  <w:style xmlns:r="http://schemas.openxmlformats.org/officeDocument/2006/relationships" w:type="paragraph" w:styleId="8f80b4c4">
    <w:name w:val="header8f80b4c48f80b4c4"/>
    <w:basedOn w:val="eef23cf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bdb067f">
    <w:name w:val="toc 1dbdb067fdbdb067f"/>
    <w:basedOn w:val="eef23cf6"/>
    <w:next w:val="0"/>
  </w:style>
  <w:style xmlns:r="http://schemas.openxmlformats.org/officeDocument/2006/relationships" w:type="paragraph" w:styleId="d3ca6a8f">
    <w:name w:val="toc 4d3ca6a8fd3ca6a8f"/>
    <w:basedOn w:val="eef23cf6"/>
    <w:next w:val="0"/>
    <w:pPr>
      <w:ind w:left="1260"/>
    </w:pPr>
  </w:style>
  <w:style xmlns:r="http://schemas.openxmlformats.org/officeDocument/2006/relationships" w:type="paragraph" w:styleId="f8ff037d">
    <w:name w:val="toc 2f8ff037df8ff037d"/>
    <w:basedOn w:val="eef23cf6"/>
    <w:next w:val="0"/>
    <w:pPr>
      <w:ind w:left="420"/>
    </w:pPr>
  </w:style>
  <w:style xmlns:r="http://schemas.openxmlformats.org/officeDocument/2006/relationships" w:type="paragraph" w:customStyle="1" w:styleId="101682fc">
    <w:name w:val="列出段落1101682fc101682fc"/>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