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4B18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DF5337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8426A86">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92122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E9A32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1183F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南银理财珠联璧合鑫逸稳半年196期封闭式公募人民币理财产品</w:t>
            </w:r>
          </w:p>
        </w:tc>
      </w:tr>
      <w:tr w14:paraId="324BC5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02974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FDEFC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C7196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14AEE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8D57F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ED99E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C0186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59B11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ZZ700322600250</w:t>
            </w:r>
          </w:p>
        </w:tc>
      </w:tr>
      <w:tr w14:paraId="41830E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D6A4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F2848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Z7003226000237(投资者可依据该编码在中国理财网www.chinawealth.com.cn查询理财产品相关信息）</w:t>
            </w:r>
          </w:p>
        </w:tc>
      </w:tr>
      <w:tr w14:paraId="69503E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D346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7769E8A">
            <w:pPr>
              <w:spacing w:line="200" w:lineRule="exact"/>
            </w:pPr>
            <w:r>
              <w:rPr>
                <w:rFonts w:ascii="方正黑体_GBK" w:hAnsi="方正黑体_GBK" w:eastAsia="方正黑体_GBK" w:cs="宋体"/>
                <w:sz w:val="18"/>
                <w:szCs w:val="18"/>
              </w:rPr>
              <w:t>A份额：NYXY001317</w:t>
            </w:r>
          </w:p>
          <w:p w14:paraId="742F0878">
            <w:pPr>
              <w:spacing w:line="200" w:lineRule="exact"/>
            </w:pPr>
            <w:r>
              <w:rPr>
                <w:rFonts w:ascii="方正黑体_GBK" w:hAnsi="方正黑体_GBK" w:eastAsia="方正黑体_GBK" w:cs="宋体"/>
                <w:sz w:val="18"/>
                <w:szCs w:val="18"/>
              </w:rPr>
              <w:t>B份额：NYXY001318</w:t>
            </w:r>
          </w:p>
          <w:p w14:paraId="180BD9A1">
            <w:pPr>
              <w:spacing w:line="200" w:lineRule="exact"/>
            </w:pPr>
            <w:r>
              <w:rPr>
                <w:rFonts w:ascii="方正黑体_GBK" w:hAnsi="方正黑体_GBK" w:eastAsia="方正黑体_GBK" w:cs="宋体"/>
                <w:sz w:val="18"/>
                <w:szCs w:val="18"/>
              </w:rPr>
              <w:t>C份额：NYXY001319</w:t>
            </w:r>
          </w:p>
          <w:p w14:paraId="47158339">
            <w:pPr>
              <w:spacing w:line="200" w:lineRule="exact"/>
            </w:pPr>
            <w:r>
              <w:rPr>
                <w:rFonts w:ascii="方正黑体_GBK" w:hAnsi="方正黑体_GBK" w:eastAsia="方正黑体_GBK" w:cs="宋体"/>
                <w:sz w:val="18"/>
                <w:szCs w:val="18"/>
              </w:rPr>
              <w:t>F份额：NYXY001846</w:t>
            </w:r>
          </w:p>
          <w:p w14:paraId="5C08E988">
            <w:pPr>
              <w:spacing w:line="200" w:lineRule="exact"/>
            </w:pPr>
            <w:r>
              <w:rPr>
                <w:rFonts w:ascii="方正黑体_GBK" w:hAnsi="方正黑体_GBK" w:eastAsia="方正黑体_GBK" w:cs="宋体"/>
                <w:sz w:val="18"/>
                <w:szCs w:val="18"/>
              </w:rPr>
              <w:t>J份额：NYXY001320</w:t>
            </w:r>
          </w:p>
          <w:p w14:paraId="02A882C6">
            <w:pPr>
              <w:spacing w:line="200" w:lineRule="exact"/>
            </w:pPr>
            <w:r>
              <w:rPr>
                <w:rFonts w:ascii="方正黑体_GBK" w:hAnsi="方正黑体_GBK" w:eastAsia="方正黑体_GBK" w:cs="宋体"/>
                <w:sz w:val="18"/>
                <w:szCs w:val="18"/>
              </w:rPr>
              <w:t>L份额：NYXY001321</w:t>
            </w:r>
          </w:p>
          <w:p w14:paraId="7D0C3D13">
            <w:pPr>
              <w:spacing w:line="200" w:lineRule="exact"/>
            </w:pPr>
            <w:r>
              <w:rPr>
                <w:rFonts w:ascii="方正黑体_GBK" w:hAnsi="方正黑体_GBK" w:eastAsia="方正黑体_GBK" w:cs="宋体"/>
                <w:sz w:val="18"/>
                <w:szCs w:val="18"/>
              </w:rPr>
              <w:t>N份额：NYXY001847</w:t>
            </w:r>
          </w:p>
          <w:p w14:paraId="4AFAD41C">
            <w:pPr>
              <w:spacing w:line="200" w:lineRule="exact"/>
            </w:pPr>
            <w:r>
              <w:rPr>
                <w:rFonts w:ascii="方正黑体_GBK" w:hAnsi="方正黑体_GBK" w:eastAsia="方正黑体_GBK" w:cs="宋体"/>
                <w:sz w:val="18"/>
                <w:szCs w:val="18"/>
              </w:rPr>
              <w:t>O份额：NYXY001848</w:t>
            </w:r>
          </w:p>
          <w:p w14:paraId="34AD0483">
            <w:pPr>
              <w:spacing w:line="200" w:lineRule="exact"/>
            </w:pPr>
            <w:r>
              <w:rPr>
                <w:rFonts w:ascii="方正黑体_GBK" w:hAnsi="方正黑体_GBK" w:eastAsia="方正黑体_GBK" w:cs="宋体"/>
                <w:sz w:val="18"/>
                <w:szCs w:val="18"/>
              </w:rPr>
              <w:t>A2份额：NYXY001849</w:t>
            </w:r>
          </w:p>
          <w:p w14:paraId="3BB997A0">
            <w:pPr>
              <w:spacing w:line="200" w:lineRule="exact"/>
            </w:pPr>
            <w:r>
              <w:rPr>
                <w:rFonts w:ascii="方正黑体_GBK" w:hAnsi="方正黑体_GBK" w:eastAsia="方正黑体_GBK" w:cs="宋体"/>
                <w:sz w:val="18"/>
                <w:szCs w:val="18"/>
              </w:rPr>
              <w:t>D2份额：NYXY001851</w:t>
            </w:r>
          </w:p>
          <w:p w14:paraId="713B3944">
            <w:pPr>
              <w:spacing w:line="200" w:lineRule="exact"/>
            </w:pPr>
            <w:r>
              <w:rPr>
                <w:rFonts w:ascii="方正黑体_GBK" w:hAnsi="方正黑体_GBK" w:eastAsia="方正黑体_GBK" w:cs="宋体"/>
                <w:sz w:val="18"/>
                <w:szCs w:val="18"/>
              </w:rPr>
              <w:t>I2份额：NYXY001852</w:t>
            </w:r>
          </w:p>
          <w:p w14:paraId="51F2CD99">
            <w:pPr>
              <w:spacing w:line="200" w:lineRule="exact"/>
            </w:pPr>
            <w:r>
              <w:rPr>
                <w:rFonts w:ascii="方正黑体_GBK" w:hAnsi="方正黑体_GBK" w:eastAsia="方正黑体_GBK" w:cs="宋体"/>
                <w:sz w:val="18"/>
                <w:szCs w:val="18"/>
              </w:rPr>
              <w:t>Q份额：NYXY001322</w:t>
            </w:r>
          </w:p>
          <w:p w14:paraId="2164BF03">
            <w:pPr>
              <w:spacing w:line="200" w:lineRule="exact"/>
            </w:pPr>
            <w:r>
              <w:rPr>
                <w:rFonts w:ascii="方正黑体_GBK" w:hAnsi="方正黑体_GBK" w:eastAsia="方正黑体_GBK" w:cs="宋体"/>
                <w:sz w:val="18"/>
                <w:szCs w:val="18"/>
              </w:rPr>
              <w:t>Q2份额：NYXY001850</w:t>
            </w:r>
          </w:p>
          <w:p w14:paraId="343BAF6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71658A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C2DB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C90FF44">
            <w:pPr>
              <w:spacing w:line="200" w:lineRule="exact"/>
            </w:pPr>
            <w:r>
              <w:rPr>
                <w:rFonts w:ascii="方正黑体_GBK" w:hAnsi="方正黑体_GBK" w:eastAsia="方正黑体_GBK" w:cs="宋体"/>
                <w:sz w:val="18"/>
                <w:szCs w:val="18"/>
              </w:rPr>
              <w:t>全国</w:t>
            </w:r>
          </w:p>
        </w:tc>
      </w:tr>
      <w:tr w14:paraId="15B465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8E81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F59910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92505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FB63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7139DA4">
            <w:pPr>
              <w:spacing w:line="200" w:lineRule="exact"/>
            </w:pPr>
            <w:r>
              <w:rPr>
                <w:rFonts w:ascii="方正黑体_GBK" w:hAnsi="方正黑体_GBK" w:eastAsia="方正黑体_GBK" w:cs="宋体"/>
                <w:sz w:val="18"/>
                <w:szCs w:val="18"/>
              </w:rPr>
              <w:t>本理财产品规模上限为100亿元。</w:t>
            </w:r>
          </w:p>
        </w:tc>
      </w:tr>
      <w:tr w14:paraId="7D4BE6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FE32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6BC141F">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F898F1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164DB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A03B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CA3E1D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73375D4">
            <w:pPr>
              <w:spacing w:line="200" w:lineRule="exact"/>
            </w:pPr>
            <w:r>
              <w:rPr>
                <w:rFonts w:ascii="方正黑体_GBK" w:hAnsi="方正黑体_GBK" w:eastAsia="方正黑体_GBK" w:cs="宋体"/>
                <w:sz w:val="18"/>
                <w:szCs w:val="18"/>
              </w:rPr>
              <w:t>A份额：南银理财有限责任公司、南京银行股份有限公司（除新客、新资金、代发、对公客户、拥军优属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手机银行版本为尊享家园版的个人客户）、宁夏银行股份有限公司、九江银行股份有限公司、湖北银行股份有限公司、海南银行股份有限公司、廊坊银行股份有限公司、乌鲁木齐银行股份有限公司、上海农村商业银行股份有限公司（除新客新资金外的其他客户）、湖州银行股份有限公司、桂林银行股份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新客户和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灌南农村商业银行股份有限公司、江苏仪征农村商业银行股份有限公司（1元起购）、江苏沭阳农村商业银行股份有限公司、连云港东方农村商业银行股份有限公司、江苏灌云农村商业银行股份有限公司、朝阳银行股份有限公司。</w:t>
            </w:r>
          </w:p>
          <w:p w14:paraId="2A2D2E1D">
            <w:pPr>
              <w:spacing w:line="200" w:lineRule="exact"/>
            </w:pPr>
            <w:r>
              <w:rPr>
                <w:rFonts w:ascii="方正黑体_GBK" w:hAnsi="方正黑体_GBK" w:eastAsia="方正黑体_GBK"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齐商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云南红塔银行股份有限公司（时点资产较上月末提升5万元的个人客户）、兰州银行股份有限公司、甘肃银行股份有限公司、上海农村商业银行股份有限公司（新客新资金客户）、东营银行股份有限公司、桂林银行股份有限公司（财富客户）、海南农村商业银行股份有限公司、石嘴山银行股份有限公司（财富客户）、江苏高淳农村商业银行股份有限公司、江苏新沂农村商业银行股份有限公司（1元起购）、江苏阜宁农村商业银行股份有限公司、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14:paraId="16723D0E">
            <w:pPr>
              <w:spacing w:line="200" w:lineRule="exact"/>
            </w:pPr>
            <w:r>
              <w:rPr>
                <w:rFonts w:ascii="方正黑体_GBK" w:hAnsi="方正黑体_GBK" w:eastAsia="方正黑体_GBK" w:cs="宋体"/>
                <w:sz w:val="18"/>
                <w:szCs w:val="18"/>
              </w:rPr>
              <w:t>C份额：南京银行股份有限公司(对公客户)、江苏江南农村商业银行股份有限公司(代发薪客户和新资金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14:paraId="79F124E3">
            <w:pPr>
              <w:spacing w:line="200" w:lineRule="exact"/>
            </w:pPr>
            <w:r>
              <w:rPr>
                <w:rFonts w:ascii="方正黑体_GBK" w:hAnsi="方正黑体_GBK" w:eastAsia="方正黑体_GBK" w:cs="宋体"/>
                <w:sz w:val="18"/>
                <w:szCs w:val="18"/>
              </w:rPr>
              <w:t>F份额：兴业银行股份有限公司。</w:t>
            </w:r>
          </w:p>
          <w:p w14:paraId="6E721F01">
            <w:pPr>
              <w:spacing w:line="200" w:lineRule="exact"/>
            </w:pPr>
            <w:r>
              <w:rPr>
                <w:rFonts w:ascii="方正黑体_GBK" w:hAnsi="方正黑体_GBK" w:eastAsia="方正黑体_GBK" w:cs="宋体"/>
                <w:sz w:val="18"/>
                <w:szCs w:val="18"/>
              </w:rPr>
              <w:t>J份额：昆山鹿城村镇银行股份有限公司。</w:t>
            </w:r>
          </w:p>
          <w:p w14:paraId="4A8CEEFA">
            <w:pPr>
              <w:spacing w:line="200" w:lineRule="exact"/>
            </w:pPr>
            <w:r>
              <w:rPr>
                <w:rFonts w:ascii="方正黑体_GBK" w:hAnsi="方正黑体_GBK" w:eastAsia="方正黑体_GBK" w:cs="宋体"/>
                <w:sz w:val="18"/>
                <w:szCs w:val="18"/>
              </w:rPr>
              <w:t>L份额：天津农村商业银行股份有限公司(私钻客户)、江苏姜堰农村商业银行股份有限公司（代发客户）、江苏扬州农村商业银行股份有限公司（新客户）。</w:t>
            </w:r>
          </w:p>
          <w:p w14:paraId="08B43F83">
            <w:pPr>
              <w:spacing w:line="200" w:lineRule="exact"/>
            </w:pPr>
            <w:r>
              <w:rPr>
                <w:rFonts w:ascii="方正黑体_GBK" w:hAnsi="方正黑体_GBK" w:eastAsia="方正黑体_GBK" w:cs="宋体"/>
                <w:sz w:val="18"/>
                <w:szCs w:val="18"/>
              </w:rPr>
              <w:t>N份额：蒙商银行股份有限公司（除财富客户外的其他客户）。</w:t>
            </w:r>
          </w:p>
          <w:p w14:paraId="58D28AC2">
            <w:pPr>
              <w:spacing w:line="200" w:lineRule="exact"/>
            </w:pPr>
            <w:r>
              <w:rPr>
                <w:rFonts w:ascii="方正黑体_GBK" w:hAnsi="方正黑体_GBK" w:eastAsia="方正黑体_GBK" w:cs="宋体"/>
                <w:sz w:val="18"/>
                <w:szCs w:val="18"/>
              </w:rPr>
              <w:t>O份额：蒙商银行股份有限公司（财富客户）。</w:t>
            </w:r>
          </w:p>
          <w:p w14:paraId="387227BC">
            <w:pPr>
              <w:spacing w:line="200" w:lineRule="exact"/>
            </w:pPr>
            <w:r>
              <w:rPr>
                <w:rFonts w:ascii="方正黑体_GBK" w:hAnsi="方正黑体_GBK" w:eastAsia="方正黑体_GBK" w:cs="宋体"/>
                <w:sz w:val="18"/>
                <w:szCs w:val="18"/>
              </w:rPr>
              <w:t>A2份额：广东顺德农村商业银行股份有限公司。</w:t>
            </w:r>
          </w:p>
          <w:p w14:paraId="35FBEB33">
            <w:pPr>
              <w:spacing w:line="200" w:lineRule="exact"/>
            </w:pPr>
            <w:r>
              <w:rPr>
                <w:rFonts w:ascii="方正黑体_GBK" w:hAnsi="方正黑体_GBK" w:eastAsia="方正黑体_GBK" w:cs="宋体"/>
                <w:sz w:val="18"/>
                <w:szCs w:val="18"/>
              </w:rPr>
              <w:t>D2份额：成都银行股份有限公司。</w:t>
            </w:r>
          </w:p>
          <w:p w14:paraId="7B10BCD2">
            <w:pPr>
              <w:spacing w:line="200" w:lineRule="exact"/>
            </w:pPr>
            <w:r>
              <w:rPr>
                <w:rFonts w:ascii="方正黑体_GBK" w:hAnsi="方正黑体_GBK" w:eastAsia="方正黑体_GBK" w:cs="宋体"/>
                <w:sz w:val="18"/>
                <w:szCs w:val="18"/>
              </w:rPr>
              <w:t>I2份额：南京银行股份有限公司（拥军优属）。</w:t>
            </w:r>
          </w:p>
          <w:p w14:paraId="32CEA162">
            <w:pPr>
              <w:spacing w:line="200" w:lineRule="exact"/>
            </w:pPr>
            <w:r>
              <w:rPr>
                <w:rFonts w:ascii="方正黑体_GBK" w:hAnsi="方正黑体_GBK" w:eastAsia="方正黑体_GBK" w:cs="宋体"/>
                <w:sz w:val="18"/>
                <w:szCs w:val="18"/>
              </w:rPr>
              <w:t>Q份额：天津农村商业银行股份有限公司(私行客户)。</w:t>
            </w:r>
          </w:p>
          <w:p w14:paraId="64B4B4D3">
            <w:pPr>
              <w:spacing w:line="200" w:lineRule="exact"/>
            </w:pPr>
            <w:r>
              <w:rPr>
                <w:rFonts w:ascii="方正黑体_GBK" w:hAnsi="方正黑体_GBK" w:eastAsia="方正黑体_GBK" w:cs="宋体"/>
                <w:sz w:val="18"/>
                <w:szCs w:val="18"/>
              </w:rPr>
              <w:t>Q2份额：中国银行股份有限公司。</w:t>
            </w:r>
          </w:p>
          <w:p w14:paraId="3683416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6F0C190D">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51B109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0C4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560B4C7">
            <w:pPr>
              <w:spacing w:line="200" w:lineRule="exact"/>
            </w:pPr>
            <w:r>
              <w:rPr>
                <w:rFonts w:ascii="方正黑体_GBK" w:hAnsi="方正黑体_GBK" w:eastAsia="方正黑体_GBK" w:cs="宋体"/>
                <w:sz w:val="18"/>
                <w:szCs w:val="18"/>
              </w:rPr>
              <w:t>A份额/B份额/C份额/F份额/J份额/L份额/N份额/O份额/A2份额/D2份额/I2份额/Q份额/Q2份额：</w:t>
            </w:r>
          </w:p>
          <w:p w14:paraId="3E9CC163">
            <w:pPr>
              <w:spacing w:line="200" w:lineRule="exact"/>
            </w:pPr>
            <w:r>
              <w:rPr>
                <w:rFonts w:ascii="方正黑体_GBK" w:hAnsi="方正黑体_GBK" w:eastAsia="方正黑体_GBK" w:cs="宋体"/>
                <w:sz w:val="18"/>
                <w:szCs w:val="18"/>
              </w:rPr>
              <w:t>个人投资者投资起点金额1元人民币，以1元的整数倍递增；</w:t>
            </w:r>
          </w:p>
          <w:p w14:paraId="5C2E1D4E">
            <w:pPr>
              <w:spacing w:line="200" w:lineRule="exact"/>
            </w:pPr>
            <w:r>
              <w:rPr>
                <w:rFonts w:ascii="方正黑体_GBK" w:hAnsi="方正黑体_GBK" w:eastAsia="方正黑体_GBK" w:cs="宋体"/>
                <w:sz w:val="18"/>
                <w:szCs w:val="18"/>
              </w:rPr>
              <w:t>机构投资者投资起点金额1元人民币，以1元的整数倍递增；</w:t>
            </w:r>
          </w:p>
        </w:tc>
      </w:tr>
      <w:tr w14:paraId="1A4C3E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E2ACED">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BA029FD">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DA545B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5A62A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7293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600E783">
            <w:pPr>
              <w:spacing w:line="200" w:lineRule="exact"/>
              <w:jc w:val="left"/>
            </w:pPr>
            <w:r>
              <w:rPr>
                <w:rFonts w:ascii="方正黑体_GBK" w:hAnsi="方正黑体_GBK" w:eastAsia="方正黑体_GBK" w:cs="宋体"/>
                <w:color w:val="000000"/>
                <w:sz w:val="18"/>
                <w:szCs w:val="18"/>
              </w:rPr>
              <w:t>2026年08月12日 09:00—2026年08月18日 17:00</w:t>
            </w:r>
          </w:p>
        </w:tc>
      </w:tr>
      <w:tr w14:paraId="719F2E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0C820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4340095">
            <w:pPr>
              <w:spacing w:line="200" w:lineRule="exact"/>
            </w:pPr>
            <w:r>
              <w:rPr>
                <w:rFonts w:ascii="方正黑体_GBK" w:hAnsi="方正黑体_GBK" w:eastAsia="方正黑体_GBK" w:cs="宋体"/>
                <w:sz w:val="18"/>
                <w:szCs w:val="18"/>
              </w:rPr>
              <w:t>认购份额=确认认购金额/1。（认购份额以去尾法保留两位小数）</w:t>
            </w:r>
          </w:p>
        </w:tc>
      </w:tr>
      <w:tr w14:paraId="01F414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61514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F761C3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E9E2F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C88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7C2CA1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2026年08月19日</w:t>
            </w:r>
          </w:p>
        </w:tc>
      </w:tr>
      <w:tr w14:paraId="2FF991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092E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70F44A5">
            <w:pPr>
              <w:spacing w:line="200" w:lineRule="exact"/>
            </w:pPr>
            <w:r>
              <w:rPr>
                <w:rFonts w:ascii="方正黑体_GBK" w:hAnsi="方正黑体_GBK" w:eastAsia="方正黑体_GBK" w:cs="宋体"/>
                <w:sz w:val="18"/>
                <w:szCs w:val="18"/>
              </w:rPr>
              <w:t>2026年08月19日—实际到期日（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4410B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DB87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1E322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2027年03月03日</w:t>
            </w:r>
          </w:p>
        </w:tc>
      </w:tr>
      <w:tr w14:paraId="689C48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E83DE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19AAD3">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BC3F6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99CF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75FB42C">
            <w:pPr>
              <w:spacing w:line="200" w:lineRule="exact"/>
            </w:pPr>
            <w:r>
              <w:rPr>
                <w:rFonts w:ascii="方正黑体_GBK" w:hAnsi="方正黑体_GBK" w:eastAsia="方正黑体_GBK" w:cs="宋体"/>
                <w:sz w:val="18"/>
                <w:szCs w:val="18"/>
              </w:rPr>
              <w:t>本理财产品存续期间不进行分红。</w:t>
            </w:r>
          </w:p>
          <w:p w14:paraId="2E46B1C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AA9FC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5258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4A7E52C5">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4B3347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7757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FB5B88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65DC66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C84DF6F">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6A068E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A51152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7EACE7E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4D1C18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3362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7B7E91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2A03835">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w:t>
            </w:r>
          </w:p>
        </w:tc>
      </w:tr>
      <w:tr w14:paraId="5A3206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7C15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0708EA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F7125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F2B7A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4235477">
            <w:pPr>
              <w:spacing w:line="200" w:lineRule="exact"/>
            </w:pPr>
            <w:r>
              <w:rPr>
                <w:rFonts w:ascii="方正黑体_GBK" w:hAnsi="方正黑体_GBK" w:eastAsia="方正黑体_GBK" w:cs="宋体"/>
                <w:b/>
                <w:sz w:val="18"/>
                <w:szCs w:val="18"/>
              </w:rPr>
              <w:t>本理财产品拟投资以下备选非标准化债权类资产：</w:t>
            </w:r>
          </w:p>
          <w:p w14:paraId="261F97EF">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6BD7CF36">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1DDB0F56">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752F566C">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57AAED7A">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6BBE61DD">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1B9D31A0">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71116CFB">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2376E775">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26699215">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35F28C44">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5E5DF2B6">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2584A244">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51C0DE8C">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6A9B93BB">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0E4F7AB8">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13D9AAB5">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0D0194B5">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2CB0369B">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471F53F6">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22229FF8">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5D220A21">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4BFF2CE7">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3612D786">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2A5B1184">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2E025DCC">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44AFE8DC">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7C6FC774">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5F290CD6">
            <w:pPr>
              <w:spacing w:line="200" w:lineRule="exact"/>
            </w:pPr>
            <w:r>
              <w:rPr>
                <w:rFonts w:ascii="方正黑体_GBK" w:hAnsi="方正黑体_GBK" w:eastAsia="方正黑体_GBK" w:cs="宋体"/>
                <w:b/>
                <w:sz w:val="18"/>
                <w:szCs w:val="18"/>
              </w:rPr>
              <w:t>以上资产剩余期限均不超过产品期限。</w:t>
            </w:r>
          </w:p>
          <w:p w14:paraId="0F0DCE50">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682EC4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8592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95B47BB">
            <w:pPr>
              <w:spacing w:line="200" w:lineRule="exact"/>
            </w:pPr>
            <w:r>
              <w:rPr>
                <w:rFonts w:ascii="方正黑体_GBK" w:hAnsi="方正黑体_GBK" w:eastAsia="方正黑体_GBK" w:cs="宋体"/>
                <w:sz w:val="18"/>
                <w:szCs w:val="18"/>
              </w:rPr>
              <w:t>A份额：业绩比较基准为2.09%(年化)。</w:t>
            </w:r>
          </w:p>
          <w:p w14:paraId="092E84F5">
            <w:pPr>
              <w:spacing w:line="200" w:lineRule="exact"/>
            </w:pPr>
            <w:r>
              <w:rPr>
                <w:rFonts w:ascii="方正黑体_GBK" w:hAnsi="方正黑体_GBK" w:eastAsia="方正黑体_GBK" w:cs="宋体"/>
                <w:sz w:val="18"/>
                <w:szCs w:val="18"/>
              </w:rPr>
              <w:t>B份额：业绩比较基准为2.19%(年化)。</w:t>
            </w:r>
          </w:p>
          <w:p w14:paraId="101A5A57">
            <w:pPr>
              <w:spacing w:line="200" w:lineRule="exact"/>
            </w:pPr>
            <w:r>
              <w:rPr>
                <w:rFonts w:ascii="方正黑体_GBK" w:hAnsi="方正黑体_GBK" w:eastAsia="方正黑体_GBK" w:cs="宋体"/>
                <w:sz w:val="18"/>
                <w:szCs w:val="18"/>
              </w:rPr>
              <w:t>C份额：业绩比较基准为2.29%(年化)。</w:t>
            </w:r>
          </w:p>
          <w:p w14:paraId="20B2D8B5">
            <w:pPr>
              <w:spacing w:line="200" w:lineRule="exact"/>
            </w:pPr>
            <w:r>
              <w:rPr>
                <w:rFonts w:ascii="方正黑体_GBK" w:hAnsi="方正黑体_GBK" w:eastAsia="方正黑体_GBK" w:cs="宋体"/>
                <w:sz w:val="18"/>
                <w:szCs w:val="18"/>
              </w:rPr>
              <w:t>F份额：业绩比较基准为2.19%(年化)。</w:t>
            </w:r>
          </w:p>
          <w:p w14:paraId="5799024A">
            <w:pPr>
              <w:spacing w:line="200" w:lineRule="exact"/>
            </w:pPr>
            <w:r>
              <w:rPr>
                <w:rFonts w:ascii="方正黑体_GBK" w:hAnsi="方正黑体_GBK" w:eastAsia="方正黑体_GBK" w:cs="宋体"/>
                <w:sz w:val="18"/>
                <w:szCs w:val="18"/>
              </w:rPr>
              <w:t>J份额：业绩比较基准为2.09%(年化)。</w:t>
            </w:r>
          </w:p>
          <w:p w14:paraId="535D43E3">
            <w:pPr>
              <w:spacing w:line="200" w:lineRule="exact"/>
            </w:pPr>
            <w:r>
              <w:rPr>
                <w:rFonts w:ascii="方正黑体_GBK" w:hAnsi="方正黑体_GBK" w:eastAsia="方正黑体_GBK" w:cs="宋体"/>
                <w:sz w:val="18"/>
                <w:szCs w:val="18"/>
              </w:rPr>
              <w:t>L份额：业绩比较基准为2.34%(年化)。</w:t>
            </w:r>
          </w:p>
          <w:p w14:paraId="558FC2B7">
            <w:pPr>
              <w:spacing w:line="200" w:lineRule="exact"/>
            </w:pPr>
            <w:r>
              <w:rPr>
                <w:rFonts w:ascii="方正黑体_GBK" w:hAnsi="方正黑体_GBK" w:eastAsia="方正黑体_GBK" w:cs="宋体"/>
                <w:sz w:val="18"/>
                <w:szCs w:val="18"/>
              </w:rPr>
              <w:t>N份额：业绩比较基准为2.09%(年化)。</w:t>
            </w:r>
          </w:p>
          <w:p w14:paraId="544C573E">
            <w:pPr>
              <w:spacing w:line="200" w:lineRule="exact"/>
            </w:pPr>
            <w:r>
              <w:rPr>
                <w:rFonts w:ascii="方正黑体_GBK" w:hAnsi="方正黑体_GBK" w:eastAsia="方正黑体_GBK" w:cs="宋体"/>
                <w:sz w:val="18"/>
                <w:szCs w:val="18"/>
              </w:rPr>
              <w:t>O份额：业绩比较基准为2.29%(年化)。</w:t>
            </w:r>
          </w:p>
          <w:p w14:paraId="5F12E595">
            <w:pPr>
              <w:spacing w:line="200" w:lineRule="exact"/>
            </w:pPr>
            <w:r>
              <w:rPr>
                <w:rFonts w:ascii="方正黑体_GBK" w:hAnsi="方正黑体_GBK" w:eastAsia="方正黑体_GBK" w:cs="宋体"/>
                <w:sz w:val="18"/>
                <w:szCs w:val="18"/>
              </w:rPr>
              <w:t>A2份额：业绩比较基准为2.09%(年化)。</w:t>
            </w:r>
          </w:p>
          <w:p w14:paraId="2F912783">
            <w:pPr>
              <w:spacing w:line="200" w:lineRule="exact"/>
            </w:pPr>
            <w:r>
              <w:rPr>
                <w:rFonts w:ascii="方正黑体_GBK" w:hAnsi="方正黑体_GBK" w:eastAsia="方正黑体_GBK" w:cs="宋体"/>
                <w:sz w:val="18"/>
                <w:szCs w:val="18"/>
              </w:rPr>
              <w:t>D2份额：业绩比较基准为2.24%(年化)。</w:t>
            </w:r>
          </w:p>
          <w:p w14:paraId="75FD0B9B">
            <w:pPr>
              <w:spacing w:line="200" w:lineRule="exact"/>
            </w:pPr>
            <w:r>
              <w:rPr>
                <w:rFonts w:ascii="方正黑体_GBK" w:hAnsi="方正黑体_GBK" w:eastAsia="方正黑体_GBK" w:cs="宋体"/>
                <w:sz w:val="18"/>
                <w:szCs w:val="18"/>
              </w:rPr>
              <w:t>I2份额：业绩比较基准为2.19%(年化)。</w:t>
            </w:r>
          </w:p>
          <w:p w14:paraId="01F7F268">
            <w:pPr>
              <w:spacing w:line="200" w:lineRule="exact"/>
            </w:pPr>
            <w:r>
              <w:rPr>
                <w:rFonts w:ascii="方正黑体_GBK" w:hAnsi="方正黑体_GBK" w:eastAsia="方正黑体_GBK" w:cs="宋体"/>
                <w:sz w:val="18"/>
                <w:szCs w:val="18"/>
              </w:rPr>
              <w:t>Q份额：业绩比较基准为2.24%(年化)。</w:t>
            </w:r>
          </w:p>
          <w:p w14:paraId="5596630A">
            <w:pPr>
              <w:spacing w:line="200" w:lineRule="exact"/>
            </w:pPr>
            <w:r>
              <w:rPr>
                <w:rFonts w:ascii="方正黑体_GBK" w:hAnsi="方正黑体_GBK" w:eastAsia="方正黑体_GBK" w:cs="宋体"/>
                <w:sz w:val="18"/>
                <w:szCs w:val="18"/>
              </w:rPr>
              <w:t>Q2份额：业绩比较基准为2.3%(年化)。</w:t>
            </w:r>
          </w:p>
          <w:p w14:paraId="27D09FCA">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A6E1F6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D31410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5E5A3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CB4F17">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0C373AC">
            <w:pPr>
              <w:spacing w:line="200" w:lineRule="exact"/>
            </w:pPr>
            <w:r>
              <w:rPr>
                <w:rFonts w:ascii="方正黑体_GBK" w:hAnsi="方正黑体_GBK" w:eastAsia="方正黑体_GBK" w:cs="宋体"/>
                <w:b/>
                <w:sz w:val="18"/>
                <w:szCs w:val="18"/>
              </w:rPr>
              <w:t>认/申购费：本理财产品暂不收取认/申购费。</w:t>
            </w:r>
          </w:p>
          <w:p w14:paraId="13FC7F76">
            <w:pPr>
              <w:spacing w:line="200" w:lineRule="exact"/>
            </w:pPr>
            <w:r>
              <w:rPr>
                <w:rFonts w:ascii="方正黑体_GBK" w:hAnsi="方正黑体_GBK" w:eastAsia="方正黑体_GBK" w:cs="宋体"/>
                <w:b/>
                <w:sz w:val="18"/>
                <w:szCs w:val="18"/>
              </w:rPr>
              <w:t>赎回费：本理财产品暂不收取赎回费。</w:t>
            </w:r>
          </w:p>
          <w:p w14:paraId="47BC356F">
            <w:pPr>
              <w:spacing w:line="200" w:lineRule="exact"/>
            </w:pPr>
            <w:r>
              <w:rPr>
                <w:rFonts w:ascii="方正黑体_GBK" w:hAnsi="方正黑体_GBK" w:eastAsia="方正黑体_GBK" w:cs="宋体"/>
                <w:b/>
                <w:sz w:val="18"/>
                <w:szCs w:val="18"/>
              </w:rPr>
              <w:t>销售费：</w:t>
            </w:r>
          </w:p>
          <w:p w14:paraId="2119C759">
            <w:pPr>
              <w:spacing w:line="200" w:lineRule="exact"/>
            </w:pPr>
            <w:r>
              <w:rPr>
                <w:rFonts w:ascii="方正黑体_GBK" w:hAnsi="方正黑体_GBK" w:eastAsia="方正黑体_GBK" w:cs="宋体"/>
                <w:b/>
                <w:sz w:val="18"/>
                <w:szCs w:val="18"/>
              </w:rPr>
              <w:t>A份额，F份额，J份额：</w:t>
            </w:r>
          </w:p>
          <w:p w14:paraId="33E41B4F">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4FB7F5A4">
            <w:pPr>
              <w:spacing w:line="200" w:lineRule="exact"/>
            </w:pPr>
            <w:r>
              <w:rPr>
                <w:rFonts w:ascii="方正黑体_GBK" w:hAnsi="方正黑体_GBK" w:eastAsia="方正黑体_GBK" w:cs="宋体"/>
                <w:b/>
                <w:sz w:val="18"/>
                <w:szCs w:val="18"/>
              </w:rPr>
              <w:t>每日计提的销售费=前一日理财产品资产净值×年化销售费率÷365</w:t>
            </w:r>
          </w:p>
          <w:p w14:paraId="1910231F">
            <w:pPr>
              <w:spacing w:line="200" w:lineRule="exact"/>
            </w:pPr>
            <w:r>
              <w:rPr>
                <w:rFonts w:ascii="方正黑体_GBK" w:hAnsi="方正黑体_GBK" w:eastAsia="方正黑体_GBK" w:cs="宋体"/>
                <w:b/>
                <w:sz w:val="18"/>
                <w:szCs w:val="18"/>
              </w:rPr>
              <w:t>B份额，I2份额：</w:t>
            </w:r>
          </w:p>
          <w:p w14:paraId="6DDDCAA1">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164419BF">
            <w:pPr>
              <w:spacing w:line="200" w:lineRule="exact"/>
            </w:pPr>
            <w:r>
              <w:rPr>
                <w:rFonts w:ascii="方正黑体_GBK" w:hAnsi="方正黑体_GBK" w:eastAsia="方正黑体_GBK" w:cs="宋体"/>
                <w:b/>
                <w:sz w:val="18"/>
                <w:szCs w:val="18"/>
              </w:rPr>
              <w:t>每日计提的销售费=前一日理财产品资产净值×年化销售费率÷365</w:t>
            </w:r>
          </w:p>
          <w:p w14:paraId="03E94BEF">
            <w:pPr>
              <w:spacing w:line="200" w:lineRule="exact"/>
            </w:pPr>
            <w:r>
              <w:rPr>
                <w:rFonts w:ascii="方正黑体_GBK" w:hAnsi="方正黑体_GBK" w:eastAsia="方正黑体_GBK" w:cs="宋体"/>
                <w:b/>
                <w:sz w:val="18"/>
                <w:szCs w:val="18"/>
              </w:rPr>
              <w:t>C份额，L份额，Q2份额：</w:t>
            </w:r>
          </w:p>
          <w:p w14:paraId="694D7724">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0E8483AC">
            <w:pPr>
              <w:spacing w:line="200" w:lineRule="exact"/>
            </w:pPr>
            <w:r>
              <w:rPr>
                <w:rFonts w:ascii="方正黑体_GBK" w:hAnsi="方正黑体_GBK" w:eastAsia="方正黑体_GBK" w:cs="宋体"/>
                <w:b/>
                <w:sz w:val="18"/>
                <w:szCs w:val="18"/>
              </w:rPr>
              <w:t>每日计提的销售费=前一日理财产品资产净值×年化销售费率÷365</w:t>
            </w:r>
          </w:p>
          <w:p w14:paraId="0AD7A89E">
            <w:pPr>
              <w:spacing w:line="200" w:lineRule="exact"/>
            </w:pPr>
            <w:r>
              <w:rPr>
                <w:rFonts w:ascii="方正黑体_GBK" w:hAnsi="方正黑体_GBK" w:eastAsia="方正黑体_GBK" w:cs="宋体"/>
                <w:b/>
                <w:sz w:val="18"/>
                <w:szCs w:val="18"/>
              </w:rPr>
              <w:t>N份额：</w:t>
            </w:r>
          </w:p>
          <w:p w14:paraId="60D5D156">
            <w:pPr>
              <w:spacing w:line="200" w:lineRule="exact"/>
            </w:pPr>
            <w:r>
              <w:rPr>
                <w:rFonts w:ascii="方正黑体_GBK" w:hAnsi="方正黑体_GBK" w:eastAsia="方正黑体_GBK" w:cs="宋体"/>
                <w:b/>
                <w:sz w:val="18"/>
                <w:szCs w:val="18"/>
              </w:rPr>
              <w:t>本理财产品一次性收取年化0.3%的销售费，按日摊销。</w:t>
            </w:r>
          </w:p>
          <w:p w14:paraId="43536CB8">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28782BC1">
            <w:pPr>
              <w:spacing w:line="200" w:lineRule="exact"/>
            </w:pPr>
            <w:r>
              <w:rPr>
                <w:rFonts w:ascii="方正黑体_GBK" w:hAnsi="方正黑体_GBK" w:eastAsia="方正黑体_GBK" w:cs="宋体"/>
                <w:b/>
                <w:sz w:val="18"/>
                <w:szCs w:val="18"/>
              </w:rPr>
              <w:t>O份额：</w:t>
            </w:r>
          </w:p>
          <w:p w14:paraId="72114EE2">
            <w:pPr>
              <w:spacing w:line="200" w:lineRule="exact"/>
            </w:pPr>
            <w:r>
              <w:rPr>
                <w:rFonts w:ascii="方正黑体_GBK" w:hAnsi="方正黑体_GBK" w:eastAsia="方正黑体_GBK" w:cs="宋体"/>
                <w:b/>
                <w:sz w:val="18"/>
                <w:szCs w:val="18"/>
              </w:rPr>
              <w:t>本理财产品一次性收取年化0.1%的销售费，按日摊销。</w:t>
            </w:r>
          </w:p>
          <w:p w14:paraId="3F3C09C4">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7D4CFFAB">
            <w:pPr>
              <w:spacing w:line="200" w:lineRule="exact"/>
            </w:pPr>
            <w:r>
              <w:rPr>
                <w:rFonts w:ascii="方正黑体_GBK" w:hAnsi="方正黑体_GBK" w:eastAsia="方正黑体_GBK" w:cs="宋体"/>
                <w:b/>
                <w:sz w:val="18"/>
                <w:szCs w:val="18"/>
              </w:rPr>
              <w:t>A2份额：</w:t>
            </w:r>
          </w:p>
          <w:p w14:paraId="403129F6">
            <w:pPr>
              <w:spacing w:line="200" w:lineRule="exact"/>
            </w:pPr>
            <w:r>
              <w:rPr>
                <w:rFonts w:ascii="方正黑体_GBK" w:hAnsi="方正黑体_GBK" w:eastAsia="方正黑体_GBK" w:cs="宋体"/>
                <w:b/>
                <w:sz w:val="18"/>
                <w:szCs w:val="18"/>
              </w:rPr>
              <w:t>本理财产品按前一日理财产品资产净值收取年化0.3%的销售费，按日计提。</w:t>
            </w:r>
          </w:p>
          <w:p w14:paraId="3256C4ED">
            <w:pPr>
              <w:spacing w:line="200" w:lineRule="exact"/>
            </w:pPr>
            <w:r>
              <w:rPr>
                <w:rFonts w:ascii="方正黑体_GBK" w:hAnsi="方正黑体_GBK" w:eastAsia="方正黑体_GBK" w:cs="宋体"/>
                <w:b/>
                <w:sz w:val="18"/>
                <w:szCs w:val="18"/>
              </w:rPr>
              <w:t>每日计提的销售费=前一日理财产品资产净值×年化销售费率÷365</w:t>
            </w:r>
          </w:p>
          <w:p w14:paraId="64D1E29A">
            <w:pPr>
              <w:spacing w:line="200" w:lineRule="exact"/>
            </w:pPr>
            <w:r>
              <w:rPr>
                <w:rFonts w:ascii="方正黑体_GBK" w:hAnsi="方正黑体_GBK" w:eastAsia="方正黑体_GBK" w:cs="宋体"/>
                <w:b/>
                <w:sz w:val="18"/>
                <w:szCs w:val="18"/>
              </w:rPr>
              <w:t>D2份额，Q份额：</w:t>
            </w:r>
          </w:p>
          <w:p w14:paraId="0709BC5E">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10D8FB91">
            <w:pPr>
              <w:spacing w:line="200" w:lineRule="exact"/>
            </w:pPr>
            <w:r>
              <w:rPr>
                <w:rFonts w:ascii="方正黑体_GBK" w:hAnsi="方正黑体_GBK" w:eastAsia="方正黑体_GBK" w:cs="宋体"/>
                <w:b/>
                <w:sz w:val="18"/>
                <w:szCs w:val="18"/>
              </w:rPr>
              <w:t>每日计提的销售费=前一日理财产品资产净值×年化销售费率÷365</w:t>
            </w:r>
          </w:p>
          <w:p w14:paraId="2D100794">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270DFEE">
            <w:pPr>
              <w:spacing w:line="200" w:lineRule="exact"/>
            </w:pPr>
            <w:r>
              <w:rPr>
                <w:rFonts w:ascii="方正黑体_GBK" w:hAnsi="方正黑体_GBK" w:eastAsia="方正黑体_GBK" w:cs="宋体"/>
                <w:b/>
                <w:sz w:val="18"/>
                <w:szCs w:val="18"/>
              </w:rPr>
              <w:t>A份额：固定管理费年化0.11%</w:t>
            </w:r>
          </w:p>
          <w:p w14:paraId="155C660F">
            <w:pPr>
              <w:spacing w:line="200" w:lineRule="exact"/>
            </w:pPr>
            <w:r>
              <w:rPr>
                <w:rFonts w:ascii="方正黑体_GBK" w:hAnsi="方正黑体_GBK" w:eastAsia="方正黑体_GBK" w:cs="宋体"/>
                <w:b/>
                <w:sz w:val="18"/>
                <w:szCs w:val="18"/>
              </w:rPr>
              <w:t>B份额：固定管理费年化0.06%</w:t>
            </w:r>
          </w:p>
          <w:p w14:paraId="3681CE88">
            <w:pPr>
              <w:spacing w:line="200" w:lineRule="exact"/>
            </w:pPr>
            <w:r>
              <w:rPr>
                <w:rFonts w:ascii="方正黑体_GBK" w:hAnsi="方正黑体_GBK" w:eastAsia="方正黑体_GBK" w:cs="宋体"/>
                <w:b/>
                <w:sz w:val="18"/>
                <w:szCs w:val="18"/>
              </w:rPr>
              <w:t>C份额：固定管理费年化0.06%</w:t>
            </w:r>
          </w:p>
          <w:p w14:paraId="1B4899B6">
            <w:pPr>
              <w:spacing w:line="200" w:lineRule="exact"/>
            </w:pPr>
            <w:r>
              <w:rPr>
                <w:rFonts w:ascii="方正黑体_GBK" w:hAnsi="方正黑体_GBK" w:eastAsia="方正黑体_GBK" w:cs="宋体"/>
                <w:b/>
                <w:sz w:val="18"/>
                <w:szCs w:val="18"/>
              </w:rPr>
              <w:t>F份额：固定管理费年化0.01%</w:t>
            </w:r>
          </w:p>
          <w:p w14:paraId="1077CCFE">
            <w:pPr>
              <w:spacing w:line="200" w:lineRule="exact"/>
            </w:pPr>
            <w:r>
              <w:rPr>
                <w:rFonts w:ascii="方正黑体_GBK" w:hAnsi="方正黑体_GBK" w:eastAsia="方正黑体_GBK" w:cs="宋体"/>
                <w:b/>
                <w:sz w:val="18"/>
                <w:szCs w:val="18"/>
              </w:rPr>
              <w:t>J份额：固定管理费年化0.11%</w:t>
            </w:r>
          </w:p>
          <w:p w14:paraId="0884C077">
            <w:pPr>
              <w:spacing w:line="200" w:lineRule="exact"/>
            </w:pPr>
            <w:r>
              <w:rPr>
                <w:rFonts w:ascii="方正黑体_GBK" w:hAnsi="方正黑体_GBK" w:eastAsia="方正黑体_GBK" w:cs="宋体"/>
                <w:b/>
                <w:sz w:val="18"/>
                <w:szCs w:val="18"/>
              </w:rPr>
              <w:t>L份额：固定管理费年化0.01%</w:t>
            </w:r>
          </w:p>
          <w:p w14:paraId="03385E19">
            <w:pPr>
              <w:spacing w:line="200" w:lineRule="exact"/>
            </w:pPr>
            <w:r>
              <w:rPr>
                <w:rFonts w:ascii="方正黑体_GBK" w:hAnsi="方正黑体_GBK" w:eastAsia="方正黑体_GBK" w:cs="宋体"/>
                <w:b/>
                <w:sz w:val="18"/>
                <w:szCs w:val="18"/>
              </w:rPr>
              <w:t>N份额：固定管理费年化0.01%</w:t>
            </w:r>
          </w:p>
          <w:p w14:paraId="0784F5DB">
            <w:pPr>
              <w:spacing w:line="200" w:lineRule="exact"/>
            </w:pPr>
            <w:r>
              <w:rPr>
                <w:rFonts w:ascii="方正黑体_GBK" w:hAnsi="方正黑体_GBK" w:eastAsia="方正黑体_GBK" w:cs="宋体"/>
                <w:b/>
                <w:sz w:val="18"/>
                <w:szCs w:val="18"/>
              </w:rPr>
              <w:t>O份额：固定管理费年化0.01%</w:t>
            </w:r>
          </w:p>
          <w:p w14:paraId="60F76C53">
            <w:pPr>
              <w:spacing w:line="200" w:lineRule="exact"/>
            </w:pPr>
            <w:r>
              <w:rPr>
                <w:rFonts w:ascii="方正黑体_GBK" w:hAnsi="方正黑体_GBK" w:eastAsia="方正黑体_GBK" w:cs="宋体"/>
                <w:b/>
                <w:sz w:val="18"/>
                <w:szCs w:val="18"/>
              </w:rPr>
              <w:t>A2份额：固定管理费年化0.01%</w:t>
            </w:r>
          </w:p>
          <w:p w14:paraId="251F660F">
            <w:pPr>
              <w:spacing w:line="200" w:lineRule="exact"/>
            </w:pPr>
            <w:r>
              <w:rPr>
                <w:rFonts w:ascii="方正黑体_GBK" w:hAnsi="方正黑体_GBK" w:eastAsia="方正黑体_GBK" w:cs="宋体"/>
                <w:b/>
                <w:sz w:val="18"/>
                <w:szCs w:val="18"/>
              </w:rPr>
              <w:t>D2份额：固定管理费年化0.06%</w:t>
            </w:r>
          </w:p>
          <w:p w14:paraId="358C098F">
            <w:pPr>
              <w:spacing w:line="200" w:lineRule="exact"/>
            </w:pPr>
            <w:r>
              <w:rPr>
                <w:rFonts w:ascii="方正黑体_GBK" w:hAnsi="方正黑体_GBK" w:eastAsia="方正黑体_GBK" w:cs="宋体"/>
                <w:b/>
                <w:sz w:val="18"/>
                <w:szCs w:val="18"/>
              </w:rPr>
              <w:t>I2份额：固定管理费年化0.06%</w:t>
            </w:r>
          </w:p>
          <w:p w14:paraId="559F80BB">
            <w:pPr>
              <w:spacing w:line="200" w:lineRule="exact"/>
            </w:pPr>
            <w:r>
              <w:rPr>
                <w:rFonts w:ascii="方正黑体_GBK" w:hAnsi="方正黑体_GBK" w:eastAsia="方正黑体_GBK" w:cs="宋体"/>
                <w:b/>
                <w:sz w:val="18"/>
                <w:szCs w:val="18"/>
              </w:rPr>
              <w:t>Q份额：固定管理费年化0.06%</w:t>
            </w:r>
          </w:p>
          <w:p w14:paraId="6E616C0C">
            <w:pPr>
              <w:spacing w:line="200" w:lineRule="exact"/>
            </w:pPr>
            <w:r>
              <w:rPr>
                <w:rFonts w:ascii="方正黑体_GBK" w:hAnsi="方正黑体_GBK" w:eastAsia="方正黑体_GBK" w:cs="宋体"/>
                <w:b/>
                <w:sz w:val="18"/>
                <w:szCs w:val="18"/>
              </w:rPr>
              <w:t>Q2份额：固定管理费年化0.05%</w:t>
            </w:r>
          </w:p>
          <w:p w14:paraId="15919B7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3F29AF5">
            <w:pPr>
              <w:spacing w:line="200" w:lineRule="exact"/>
            </w:pPr>
            <w:r>
              <w:rPr>
                <w:rFonts w:ascii="方正黑体_GBK" w:hAnsi="方正黑体_GBK" w:eastAsia="方正黑体_GBK" w:cs="宋体"/>
                <w:b/>
                <w:sz w:val="18"/>
                <w:szCs w:val="18"/>
              </w:rPr>
              <w:t>托管费：</w:t>
            </w:r>
          </w:p>
          <w:p w14:paraId="0FCE280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C390E16">
            <w:pPr>
              <w:spacing w:line="200" w:lineRule="exact"/>
            </w:pPr>
            <w:r>
              <w:rPr>
                <w:rFonts w:ascii="方正黑体_GBK" w:hAnsi="方正黑体_GBK" w:eastAsia="方正黑体_GBK" w:cs="宋体"/>
                <w:b/>
                <w:sz w:val="18"/>
                <w:szCs w:val="18"/>
              </w:rPr>
              <w:t>每日计提的托管费=前一日理财产品资产净值×年化托管费率÷365</w:t>
            </w:r>
          </w:p>
          <w:p w14:paraId="7D40C878">
            <w:pPr>
              <w:spacing w:line="200" w:lineRule="exact"/>
            </w:pPr>
            <w:r>
              <w:rPr>
                <w:rFonts w:ascii="方正黑体_GBK" w:hAnsi="方正黑体_GBK" w:eastAsia="方正黑体_GBK" w:cs="宋体"/>
                <w:b/>
                <w:sz w:val="18"/>
                <w:szCs w:val="18"/>
              </w:rPr>
              <w:t>业绩报酬：</w:t>
            </w:r>
          </w:p>
          <w:p w14:paraId="57D7FF0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A份额：到期兑付时，当期产品投资的实际资产组合收益（扣除销售费、固定管理费、托管费等相关费用）超过2.09%（年化，即产品该份额对应的业绩报酬计提基准）时，超过部分管理人将按60%收取业绩报酬。</w:t>
            </w:r>
          </w:p>
          <w:p w14:paraId="120A6BE7">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B份额：到期兑付时，当期产品投资的实际资产组合收益（扣除销售费、固定管理费、托管费等相关费用）超过2.19%（年化，即产品该份额对应的业绩报酬计提基准）时，超过部分管理人将按60%收取业绩报酬。</w:t>
            </w:r>
          </w:p>
          <w:p w14:paraId="59225A3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C份额：到期兑付时，当期产品投资的实际资产组合收益（扣除销售费、固定管理费、托管费等相关费用）超过2.29%（年化，即产品该份额对应的业绩报酬计提基准）时，超过部分管理人将按60%收取业绩报酬。</w:t>
            </w:r>
          </w:p>
          <w:p w14:paraId="5A0C670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F份额：到期兑付时，当期产品投资的实际资产组合收益（扣除销售费、固定管理费、托管费等相关费用）超过2.19%（年化，即产品该份额对应的业绩报酬计提基准）时，超过部分管理人将按60%收取业绩报酬。</w:t>
            </w:r>
          </w:p>
          <w:p w14:paraId="3D77A0B8">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J份额：到期兑付时，当期产品投资的实际资产组合收益（扣除销售费、固定管理费、托管费等相关费用）超过2.09%（年化，即产品该份额对应的业绩报酬计提基准）时，超过部分管理人将按60%收取业绩报酬。</w:t>
            </w:r>
          </w:p>
          <w:p w14:paraId="6D81F849">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L份额：到期兑付时，当期产品投资的实际资产组合收益（扣除销售费、固定管理费、托管费等相关费用）超过2.34%（年化，即产品该份额对应的业绩报酬计提基准）时，超过部分管理人将按60%收取业绩报酬。</w:t>
            </w:r>
          </w:p>
          <w:p w14:paraId="25C352B4">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N份额：到期兑付时，当期产品投资的实际资产组合收益（扣除销售费、固定管理费、托管费等相关费用）超过2.09%（年化，即产品该份额对应的业绩报酬计提基准）时，超过部分管理人将按60%收取业绩报酬。</w:t>
            </w:r>
          </w:p>
          <w:p w14:paraId="0F62507D">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O份额：到期兑付时，当期产品投资的实际资产组合收益（扣除销售费、固定管理费、托管费等相关费用）超过2.29%（年化，即产品该份额对应的业绩报酬计提基准）时，超过部分管理人将按60%收取业绩报酬。</w:t>
            </w:r>
          </w:p>
          <w:p w14:paraId="62EDFF72">
            <w:pPr>
              <w:spacing w:line="200" w:lineRule="exact"/>
            </w:pPr>
            <w:r>
              <w:rPr>
                <w:rFonts w:ascii="方正黑体_GBK" w:hAnsi="方正黑体_GBK" w:eastAsia="方正黑体_GBK" w:cs="宋体"/>
                <w:b/>
                <w:sz w:val="18"/>
                <w:szCs w:val="18"/>
              </w:rPr>
              <w:t>A2份额：到期兑付时，当期产品投资的实际资产组合收益（扣除销售费、固定管理费、托管费等相关费用）超过2.09%（年化，即产品该份额对应的业绩报酬计提基准）时，超过部分管理人将按60%收取业绩报酬。</w:t>
            </w:r>
          </w:p>
          <w:p w14:paraId="792CD668">
            <w:pPr>
              <w:spacing w:line="200" w:lineRule="exact"/>
            </w:pPr>
            <w:r>
              <w:rPr>
                <w:rFonts w:ascii="方正黑体_GBK" w:hAnsi="方正黑体_GBK" w:eastAsia="方正黑体_GBK" w:cs="宋体"/>
                <w:b/>
                <w:sz w:val="18"/>
                <w:szCs w:val="18"/>
              </w:rPr>
              <w:t>D2份额：到期兑付时，当期产品投资的实际资产组合收益（扣除销售费、固定管理费、托管费等相关费用）超过2.24%（年化，即产品该份额对应的业绩报酬计提基准）时，超过部分管理人将按60%收取业绩报酬。</w:t>
            </w:r>
          </w:p>
          <w:p w14:paraId="5DBB69C3">
            <w:pPr>
              <w:spacing w:line="200" w:lineRule="exact"/>
            </w:pPr>
            <w:r>
              <w:rPr>
                <w:rFonts w:ascii="方正黑体_GBK" w:hAnsi="方正黑体_GBK" w:eastAsia="方正黑体_GBK" w:cs="宋体"/>
                <w:b/>
                <w:sz w:val="18"/>
                <w:szCs w:val="18"/>
              </w:rPr>
              <w:t>I2份额：到期兑付时，当期产品投资的实际资产组合收益（扣除销售费、固定管理费、托管费等相关费用）超过2.19%（年化，即产品该份额对应的业绩报酬计提基准）时，超过部分管理人将按60%收取业绩报酬。</w:t>
            </w:r>
          </w:p>
          <w:p w14:paraId="08C50C74">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Q份额：到期兑付时，当期产品投资的实际资产组合收益（扣除销售费、固定管理费、托管费等相关费用）超过2.24%（年化，即产品该份额对应的业绩报酬计提基准）时，超过部分管理人将按60%收取业绩报酬。</w:t>
            </w:r>
          </w:p>
          <w:p w14:paraId="11EC3BD0">
            <w:pPr>
              <w:spacing w:line="200" w:lineRule="exact"/>
            </w:pPr>
            <w:r>
              <w:rPr>
                <w:rFonts w:ascii="方正黑体_GBK" w:hAnsi="方正黑体_GBK" w:eastAsia="方正黑体_GBK" w:cs="宋体"/>
                <w:b/>
                <w:sz w:val="18"/>
                <w:szCs w:val="18"/>
              </w:rPr>
              <w:t>Q2份额：到期兑付时，当期产品投资的实际资产组合收益（扣除销售费、固定管理费、托管费等相关费用）超过2.3%（年化，即产品该份额对应的业绩报酬计提基准）时，超过部分管理人将按60%收取业绩报酬。</w:t>
            </w:r>
          </w:p>
          <w:p w14:paraId="667A54B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0035BD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06698BE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C14190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7BA3879">
            <w:pPr>
              <w:spacing w:line="200" w:lineRule="exact"/>
            </w:pPr>
            <w:r>
              <w:rPr>
                <w:rFonts w:ascii="方正黑体_GBK" w:hAnsi="方正黑体_GBK" w:eastAsia="方正黑体_GBK" w:cs="宋体"/>
                <w:b/>
                <w:sz w:val="18"/>
                <w:szCs w:val="18"/>
              </w:rPr>
              <w:t>计算本区间业绩报酬的公式如下：</w:t>
            </w:r>
          </w:p>
          <w:p w14:paraId="29CFA9DB">
            <w:pPr>
              <w:spacing w:line="200" w:lineRule="exact"/>
            </w:pPr>
            <w:r>
              <w:rPr>
                <w:rFonts w:ascii="方正黑体_GBK" w:hAnsi="方正黑体_GBK" w:eastAsia="方正黑体_GBK" w:cs="宋体"/>
                <w:b/>
                <w:sz w:val="18"/>
                <w:szCs w:val="18"/>
              </w:rPr>
              <w:t>A={B-C*D*(1+E*F/365)}*G。</w:t>
            </w:r>
          </w:p>
          <w:p w14:paraId="2B53E87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4499D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6E33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E18CFD4">
            <w:pPr>
              <w:spacing w:line="200" w:lineRule="exact"/>
            </w:pPr>
            <w:r>
              <w:rPr>
                <w:rFonts w:ascii="方正黑体_GBK" w:hAnsi="方正黑体_GBK" w:eastAsia="方正黑体_GBK" w:cs="宋体"/>
                <w:sz w:val="18"/>
                <w:szCs w:val="18"/>
              </w:rPr>
              <w:t>具体详见本理财产品风险揭示书。</w:t>
            </w:r>
          </w:p>
        </w:tc>
      </w:tr>
      <w:tr w14:paraId="489CAE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1C1A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577C4DE">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14:paraId="502804F5">
            <w:pPr>
              <w:spacing w:line="200" w:lineRule="exact"/>
              <w:jc w:val="left"/>
            </w:pPr>
            <w:r>
              <w:rPr>
                <w:rFonts w:ascii="方正黑体_GBK" w:hAnsi="方正黑体_GBK" w:eastAsia="方正黑体_GBK" w:cs="宋体"/>
                <w:sz w:val="18"/>
                <w:szCs w:val="18"/>
              </w:rPr>
              <w:t xml:space="preserve">管理人主要职责如下：  </w:t>
            </w:r>
          </w:p>
          <w:p w14:paraId="339CCC6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AC18D1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1551E37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9545B7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A4C3C6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97A3A5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DA8345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7B34D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3980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67737E1">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齐商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阜宁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江苏灌南农村商业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成都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销售机构基本信息详见第五条。</w:t>
            </w:r>
          </w:p>
          <w:p w14:paraId="533927A9">
            <w:pPr>
              <w:spacing w:line="200" w:lineRule="exact"/>
              <w:jc w:val="left"/>
            </w:pPr>
            <w:r>
              <w:rPr>
                <w:rFonts w:ascii="方正黑体_GBK" w:hAnsi="方正黑体_GBK" w:eastAsia="方正黑体_GBK" w:cs="宋体"/>
                <w:sz w:val="18"/>
                <w:szCs w:val="18"/>
              </w:rPr>
              <w:t>销售机构主要职责如下：</w:t>
            </w:r>
          </w:p>
          <w:p w14:paraId="0D5BE2C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DDE37C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1F820A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00EE5B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38EA716">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F19A54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726F1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9F06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4C44E4E">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1182B882">
            <w:pPr>
              <w:spacing w:line="200" w:lineRule="exact"/>
            </w:pPr>
            <w:r>
              <w:rPr>
                <w:rFonts w:ascii="方正黑体_GBK" w:hAnsi="方正黑体_GBK" w:eastAsia="方正黑体_GBK" w:cs="宋体"/>
                <w:sz w:val="18"/>
                <w:szCs w:val="18"/>
              </w:rPr>
              <w:t>主要职责如下：</w:t>
            </w:r>
          </w:p>
          <w:p w14:paraId="5707FB34">
            <w:pPr>
              <w:spacing w:line="200" w:lineRule="exact"/>
            </w:pPr>
            <w:r>
              <w:rPr>
                <w:rFonts w:ascii="方正黑体_GBK" w:hAnsi="方正黑体_GBK" w:eastAsia="方正黑体_GBK" w:cs="宋体"/>
                <w:sz w:val="18"/>
                <w:szCs w:val="18"/>
              </w:rPr>
              <w:t>1.安全保管理财产品财产；</w:t>
            </w:r>
          </w:p>
          <w:p w14:paraId="7183D2D1">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D8091EF">
            <w:pPr>
              <w:spacing w:line="200" w:lineRule="exact"/>
            </w:pPr>
            <w:r>
              <w:rPr>
                <w:rFonts w:ascii="方正黑体_GBK" w:hAnsi="方正黑体_GBK" w:eastAsia="方正黑体_GBK" w:cs="宋体"/>
                <w:sz w:val="18"/>
                <w:szCs w:val="18"/>
              </w:rPr>
              <w:t>3.按照托管协议约定和管理人的投资指令，及时办理清算、交割事宜；</w:t>
            </w:r>
          </w:p>
          <w:p w14:paraId="522A0E98">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36210BF">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FF52A6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DC40A88">
            <w:pPr>
              <w:spacing w:line="200" w:lineRule="exact"/>
            </w:pPr>
            <w:r>
              <w:rPr>
                <w:rFonts w:ascii="方正黑体_GBK" w:hAnsi="方正黑体_GBK" w:eastAsia="方正黑体_GBK" w:cs="宋体"/>
                <w:sz w:val="18"/>
                <w:szCs w:val="18"/>
              </w:rPr>
              <w:t>7.理财托管业务活动的记录、账册、报表和其他相关资料保存20年以上；</w:t>
            </w:r>
          </w:p>
          <w:p w14:paraId="382A367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07B1B9D">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A2E8D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8A39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D5A1C0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14:paraId="0309E21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F78A290">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14:paraId="29BF3BB7">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0D66349">
            <w:pPr>
              <w:spacing w:line="200" w:lineRule="exact"/>
            </w:pPr>
            <w:r>
              <w:rPr>
                <w:rFonts w:ascii="方正黑体_GBK" w:hAnsi="方正黑体_GBK" w:eastAsia="方正黑体_GBK" w:cs="宋体"/>
                <w:sz w:val="18"/>
                <w:szCs w:val="18"/>
              </w:rPr>
              <w:t>上述投资合作机构简介：</w:t>
            </w:r>
          </w:p>
          <w:p w14:paraId="6F50E0A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0DD6CA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87AF164">
            <w:pPr>
              <w:spacing w:line="200" w:lineRule="exact"/>
            </w:pPr>
            <w:r>
              <w:rPr>
                <w:rFonts w:ascii="方正黑体_GBK" w:hAnsi="方正黑体_GBK" w:eastAsia="方正黑体_GBK" w:cs="宋体"/>
                <w:sz w:val="18"/>
                <w:szCs w:val="18"/>
              </w:rPr>
              <w:t>国联基金管理有限公司成立于2013年05月31日，注册资本金11.5亿元。</w:t>
            </w:r>
          </w:p>
          <w:p w14:paraId="529019C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1C5A7D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274BB6A">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B22739F">
            <w:pPr>
              <w:spacing w:line="200" w:lineRule="exact"/>
            </w:pPr>
            <w:r>
              <w:rPr>
                <w:rFonts w:ascii="方正黑体_GBK" w:hAnsi="方正黑体_GBK" w:eastAsia="方正黑体_GBK" w:cs="宋体"/>
                <w:sz w:val="18"/>
                <w:szCs w:val="18"/>
              </w:rPr>
              <w:t>华鑫国际信托有限公司成立于1984年06月01日，注册资本金73.95亿元。</w:t>
            </w:r>
          </w:p>
          <w:p w14:paraId="29BE5EA6">
            <w:pPr>
              <w:spacing w:line="200" w:lineRule="exact"/>
            </w:pPr>
            <w:r>
              <w:rPr>
                <w:rFonts w:ascii="方正黑体_GBK" w:hAnsi="方正黑体_GBK" w:eastAsia="方正黑体_GBK" w:cs="宋体"/>
                <w:sz w:val="18"/>
                <w:szCs w:val="18"/>
              </w:rPr>
              <w:t>建信保险资产管理有限公司成立于2016年04月27日，注册资本金3亿元。</w:t>
            </w:r>
          </w:p>
          <w:p w14:paraId="12572F06">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DBFCF7C">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B9115E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1BBAFB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162A1754">
            <w:pPr>
              <w:spacing w:line="200" w:lineRule="exact"/>
            </w:pPr>
            <w:r>
              <w:rPr>
                <w:rFonts w:ascii="方正黑体_GBK" w:hAnsi="方正黑体_GBK" w:eastAsia="方正黑体_GBK" w:cs="宋体"/>
                <w:sz w:val="18"/>
                <w:szCs w:val="18"/>
              </w:rPr>
              <w:t>太平资产管理有限公司成立于2006年09月01日，注册资本金10亿元。</w:t>
            </w:r>
          </w:p>
          <w:p w14:paraId="07901484">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1EDD217">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67871CC">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90D8237">
            <w:pPr>
              <w:spacing w:line="200" w:lineRule="exact"/>
            </w:pPr>
            <w:r>
              <w:rPr>
                <w:rFonts w:ascii="方正黑体_GBK" w:hAnsi="方正黑体_GBK" w:eastAsia="方正黑体_GBK" w:cs="宋体"/>
                <w:sz w:val="18"/>
                <w:szCs w:val="18"/>
              </w:rPr>
              <w:t>中粮信托有限责任公司成立于2009年07月27日，注册资本金28.3亿元。</w:t>
            </w:r>
          </w:p>
          <w:p w14:paraId="5AB51EF4">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58E5CC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5E21D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48EE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046B0DD">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2D8050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0A0CEE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B1EFFA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00E36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86FF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803289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6C6129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5FB7D0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BA05D5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6A6CE1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3FD18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376880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6FF59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0B87C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15F6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B9036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C2638D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E70B3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C43C8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BB512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CCFFB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F5531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EF8E9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A016F9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7F7BD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D6C4D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F3C39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9083F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F3C5F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FEC5F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AFD30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CA6D6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43D7E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7D94D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467EE1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5F4D6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DDB9F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040A7D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E48775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南银理财珠联璧合鑫逸稳半年196期封闭式公募人民币理财产品</w:t>
      </w:r>
      <w:r>
        <w:rPr>
          <w:rFonts w:hint="eastAsia" w:ascii="方正黑体_GBK" w:hAnsi="方正黑体_GBK" w:eastAsia="方正黑体_GBK"/>
          <w:vanish w:val="0"/>
          <w:color w:val="3D3D3D"/>
          <w:kern w:val="0"/>
          <w:sz w:val="15"/>
          <w:szCs w:val="15"/>
        </w:rPr>
        <w:t>。</w:t>
      </w:r>
    </w:p>
    <w:p w14:paraId="4341AB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512B7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CC754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68CB7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46ABE5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4F089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034C5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AC14C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60296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C06BB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22C71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840D1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488B2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82241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EE8FB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DBE58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649CC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DC7389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6B9A238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119BC7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085853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624BBE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A76181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397D6E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473F50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50418C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592F38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D74180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DE61E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D6B86A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66C67C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7F811CA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3850D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409772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76940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A36F3B1">
      <w:pPr>
        <w:spacing w:line="200" w:lineRule="exact"/>
        <w:ind w:firstLine="300"/>
        <w:jc w:val="both"/>
      </w:pPr>
      <w:r>
        <w:rPr>
          <w:rFonts w:ascii="方正黑体_GBK" w:hAnsi="方正黑体_GBK" w:eastAsia="方正黑体_GBK" w:cs="宋体"/>
          <w:sz w:val="15"/>
          <w:szCs w:val="20"/>
        </w:rPr>
        <w:t>（一）估值日</w:t>
      </w:r>
    </w:p>
    <w:p w14:paraId="0C024C13">
      <w:pPr>
        <w:spacing w:line="200" w:lineRule="exact"/>
        <w:ind w:firstLine="300"/>
        <w:jc w:val="both"/>
      </w:pPr>
      <w:r>
        <w:rPr>
          <w:rFonts w:ascii="方正黑体_GBK" w:hAnsi="方正黑体_GBK" w:eastAsia="方正黑体_GBK" w:cs="宋体"/>
          <w:sz w:val="15"/>
          <w:szCs w:val="20"/>
        </w:rPr>
        <w:t>本理财产品每个工作日进行估值。</w:t>
      </w:r>
    </w:p>
    <w:p w14:paraId="58A25601">
      <w:pPr>
        <w:spacing w:line="200" w:lineRule="exact"/>
        <w:ind w:firstLine="300"/>
        <w:jc w:val="both"/>
      </w:pPr>
      <w:r>
        <w:rPr>
          <w:rFonts w:ascii="方正黑体_GBK" w:hAnsi="方正黑体_GBK" w:eastAsia="方正黑体_GBK" w:cs="宋体"/>
          <w:sz w:val="15"/>
          <w:szCs w:val="20"/>
        </w:rPr>
        <w:t>（二）估值对象</w:t>
      </w:r>
    </w:p>
    <w:p w14:paraId="70D79B5F">
      <w:pPr>
        <w:spacing w:line="200" w:lineRule="exact"/>
        <w:ind w:firstLine="300"/>
        <w:jc w:val="both"/>
      </w:pPr>
      <w:r>
        <w:rPr>
          <w:rFonts w:ascii="方正黑体_GBK" w:hAnsi="方正黑体_GBK" w:eastAsia="方正黑体_GBK" w:cs="宋体"/>
          <w:sz w:val="15"/>
          <w:szCs w:val="20"/>
        </w:rPr>
        <w:t>本理财产品所拥有的所有资产及负债。</w:t>
      </w:r>
    </w:p>
    <w:p w14:paraId="247AB7DA">
      <w:pPr>
        <w:spacing w:line="200" w:lineRule="exact"/>
        <w:ind w:firstLine="300"/>
        <w:jc w:val="both"/>
      </w:pPr>
      <w:r>
        <w:rPr>
          <w:rFonts w:ascii="方正黑体_GBK" w:hAnsi="方正黑体_GBK" w:eastAsia="方正黑体_GBK" w:cs="宋体"/>
          <w:sz w:val="15"/>
          <w:szCs w:val="20"/>
        </w:rPr>
        <w:t>（三）估值目的</w:t>
      </w:r>
    </w:p>
    <w:p w14:paraId="45D3F7B9">
      <w:pPr>
        <w:spacing w:line="200" w:lineRule="exact"/>
        <w:ind w:firstLine="300"/>
        <w:jc w:val="both"/>
      </w:pPr>
      <w:r>
        <w:rPr>
          <w:rFonts w:ascii="方正黑体_GBK" w:hAnsi="方正黑体_GBK" w:eastAsia="方正黑体_GBK" w:cs="宋体"/>
          <w:sz w:val="15"/>
          <w:szCs w:val="20"/>
        </w:rPr>
        <w:t>客观、准确反映理财产品的价值。</w:t>
      </w:r>
    </w:p>
    <w:p w14:paraId="50F76032">
      <w:pPr>
        <w:spacing w:line="200" w:lineRule="exact"/>
        <w:ind w:firstLine="300"/>
        <w:jc w:val="both"/>
      </w:pPr>
      <w:r>
        <w:rPr>
          <w:rFonts w:ascii="方正黑体_GBK" w:hAnsi="方正黑体_GBK" w:eastAsia="方正黑体_GBK" w:cs="宋体"/>
          <w:sz w:val="15"/>
          <w:szCs w:val="20"/>
        </w:rPr>
        <w:t>（四）估值原则</w:t>
      </w:r>
    </w:p>
    <w:p w14:paraId="00AFC54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491E404B">
      <w:pPr>
        <w:spacing w:line="200" w:lineRule="exact"/>
        <w:ind w:firstLine="300"/>
        <w:jc w:val="both"/>
      </w:pPr>
      <w:r>
        <w:rPr>
          <w:rFonts w:ascii="方正黑体_GBK" w:hAnsi="方正黑体_GBK" w:eastAsia="方正黑体_GBK" w:cs="宋体"/>
          <w:sz w:val="15"/>
          <w:szCs w:val="20"/>
        </w:rPr>
        <w:t>（五）估值方法</w:t>
      </w:r>
    </w:p>
    <w:p w14:paraId="7A56A185">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0498B69">
      <w:pPr>
        <w:spacing w:line="200" w:lineRule="exact"/>
        <w:ind w:firstLine="440"/>
      </w:pPr>
      <w:r>
        <w:rPr>
          <w:rFonts w:ascii="方正黑体_GBK" w:hAnsi="方正黑体_GBK" w:eastAsia="方正黑体_GBK" w:cs="宋体"/>
          <w:sz w:val="18"/>
          <w:szCs w:val="20"/>
        </w:rPr>
        <w:t>1.银行存款、回购等货币市场工具</w:t>
      </w:r>
    </w:p>
    <w:p w14:paraId="5DAF45E2">
      <w:pPr>
        <w:spacing w:line="200" w:lineRule="exact"/>
        <w:ind w:firstLine="440"/>
      </w:pPr>
      <w:r>
        <w:rPr>
          <w:rFonts w:ascii="方正黑体_GBK" w:hAnsi="方正黑体_GBK" w:eastAsia="方正黑体_GBK" w:cs="宋体"/>
          <w:sz w:val="18"/>
          <w:szCs w:val="20"/>
        </w:rPr>
        <w:t>以本金列示，逐日计提利息。</w:t>
      </w:r>
    </w:p>
    <w:p w14:paraId="02C38539">
      <w:pPr>
        <w:spacing w:line="200" w:lineRule="exact"/>
        <w:ind w:firstLine="440"/>
      </w:pPr>
      <w:r>
        <w:rPr>
          <w:rFonts w:ascii="方正黑体_GBK" w:hAnsi="方正黑体_GBK" w:eastAsia="方正黑体_GBK" w:cs="宋体"/>
          <w:sz w:val="18"/>
          <w:szCs w:val="20"/>
        </w:rPr>
        <w:t>2.债券类资产</w:t>
      </w:r>
    </w:p>
    <w:p w14:paraId="18E382E9">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6A53BB5">
      <w:pPr>
        <w:spacing w:line="200" w:lineRule="exact"/>
        <w:ind w:firstLine="440"/>
      </w:pPr>
      <w:r>
        <w:rPr>
          <w:rFonts w:ascii="方正黑体_GBK" w:hAnsi="方正黑体_GBK" w:eastAsia="方正黑体_GBK" w:cs="宋体"/>
          <w:sz w:val="18"/>
          <w:szCs w:val="20"/>
        </w:rPr>
        <w:t>3.非标准化债权类资产</w:t>
      </w:r>
    </w:p>
    <w:p w14:paraId="22D8981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0CA5634">
      <w:pPr>
        <w:spacing w:line="200" w:lineRule="exact"/>
        <w:ind w:firstLine="440"/>
      </w:pPr>
      <w:r>
        <w:rPr>
          <w:rFonts w:ascii="方正黑体_GBK" w:hAnsi="方正黑体_GBK" w:eastAsia="方正黑体_GBK" w:cs="宋体"/>
          <w:sz w:val="18"/>
          <w:szCs w:val="20"/>
        </w:rPr>
        <w:t>4.证券投资基金、资管计划、信托计划等资产</w:t>
      </w:r>
    </w:p>
    <w:p w14:paraId="00AC86F5">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F68E284">
      <w:pPr>
        <w:spacing w:line="200" w:lineRule="exact"/>
        <w:ind w:firstLine="440"/>
      </w:pPr>
      <w:r>
        <w:rPr>
          <w:rFonts w:ascii="方正黑体_GBK" w:hAnsi="方正黑体_GBK" w:eastAsia="方正黑体_GBK" w:cs="宋体"/>
          <w:sz w:val="18"/>
          <w:szCs w:val="20"/>
        </w:rPr>
        <w:t>5.股权类及其他资产</w:t>
      </w:r>
    </w:p>
    <w:p w14:paraId="3C3898CA">
      <w:pPr>
        <w:spacing w:line="200" w:lineRule="exact"/>
        <w:ind w:firstLine="440"/>
      </w:pPr>
      <w:r>
        <w:rPr>
          <w:rFonts w:ascii="方正黑体_GBK" w:hAnsi="方正黑体_GBK" w:eastAsia="方正黑体_GBK" w:cs="宋体"/>
          <w:sz w:val="18"/>
          <w:szCs w:val="20"/>
        </w:rPr>
        <w:t>按照公允价值估值，优先采用市值法估值。</w:t>
      </w:r>
    </w:p>
    <w:p w14:paraId="20CBCFB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CE0743B">
      <w:pPr>
        <w:spacing w:line="200" w:lineRule="exact"/>
        <w:ind w:firstLine="300"/>
        <w:jc w:val="both"/>
      </w:pPr>
      <w:r>
        <w:rPr>
          <w:rFonts w:ascii="方正黑体_GBK" w:hAnsi="方正黑体_GBK" w:eastAsia="方正黑体_GBK" w:cs="宋体"/>
          <w:sz w:val="15"/>
          <w:szCs w:val="20"/>
        </w:rPr>
        <w:t>（六）估值错误及暂停估值</w:t>
      </w:r>
    </w:p>
    <w:p w14:paraId="61D85E1C">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7558515">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1D670A32">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20C3A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DACC2B">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443746B9">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66BEB9D9">
            <w:pPr>
              <w:spacing w:line="200" w:lineRule="exact"/>
            </w:pPr>
            <w:r>
              <w:rPr>
                <w:rFonts w:ascii="方正黑体_GBK" w:hAnsi="方正黑体_GBK" w:eastAsia="方正黑体_GBK" w:cs="宋体"/>
                <w:b/>
                <w:sz w:val="15"/>
                <w:szCs w:val="20"/>
              </w:rPr>
              <w:t>联系方式</w:t>
            </w:r>
          </w:p>
        </w:tc>
      </w:tr>
      <w:tr w14:paraId="30FA3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F11D56">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20694B00">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3A27047B">
            <w:pPr>
              <w:spacing w:line="200" w:lineRule="exact"/>
            </w:pPr>
            <w:r>
              <w:rPr>
                <w:rFonts w:ascii="方正黑体_GBK" w:hAnsi="方正黑体_GBK" w:eastAsia="方正黑体_GBK" w:cs="宋体"/>
                <w:sz w:val="15"/>
                <w:szCs w:val="20"/>
              </w:rPr>
              <w:t>025-83642111</w:t>
            </w:r>
          </w:p>
        </w:tc>
      </w:tr>
      <w:tr w14:paraId="687A5A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6B4B336">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1D62BB36">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283F0FDA">
            <w:pPr>
              <w:spacing w:line="200" w:lineRule="exact"/>
            </w:pPr>
            <w:r>
              <w:rPr>
                <w:rFonts w:ascii="方正黑体_GBK" w:hAnsi="方正黑体_GBK" w:eastAsia="方正黑体_GBK" w:cs="宋体"/>
                <w:sz w:val="15"/>
                <w:szCs w:val="20"/>
              </w:rPr>
              <w:t>95302</w:t>
            </w:r>
          </w:p>
        </w:tc>
      </w:tr>
      <w:tr w14:paraId="3E68A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0F1156">
            <w:pPr>
              <w:spacing w:line="200" w:lineRule="exact"/>
            </w:pPr>
            <w:r>
              <w:rPr>
                <w:rFonts w:ascii="方正黑体_GBK" w:hAnsi="方正黑体_GBK" w:eastAsia="方正黑体_GBK" w:cs="宋体"/>
                <w:sz w:val="15"/>
                <w:szCs w:val="20"/>
              </w:rPr>
              <w:t>兴业银行股份有限公司</w:t>
            </w:r>
          </w:p>
        </w:tc>
        <w:tc>
          <w:tcPr>
            <w:tcW w:w="4050" w:type="dxa"/>
            <w:tcMar>
              <w:left w:w="120" w:type="dxa"/>
            </w:tcMar>
            <w:vAlign w:val="center"/>
          </w:tcPr>
          <w:p w14:paraId="48C0C391">
            <w:pPr>
              <w:spacing w:line="200" w:lineRule="exact"/>
            </w:pPr>
            <w:r>
              <w:rPr>
                <w:rFonts w:ascii="方正黑体_GBK" w:hAnsi="方正黑体_GBK" w:eastAsia="方正黑体_GBK" w:cs="宋体"/>
                <w:sz w:val="15"/>
                <w:szCs w:val="20"/>
              </w:rPr>
              <w:t>福建省福州市台江区江滨中大道398号兴业银行大厦</w:t>
            </w:r>
          </w:p>
        </w:tc>
        <w:tc>
          <w:tcPr>
            <w:tcW w:w="1350" w:type="dxa"/>
            <w:tcMar>
              <w:left w:w="120" w:type="dxa"/>
            </w:tcMar>
            <w:vAlign w:val="center"/>
          </w:tcPr>
          <w:p w14:paraId="69367103">
            <w:pPr>
              <w:spacing w:line="200" w:lineRule="exact"/>
            </w:pPr>
            <w:r>
              <w:rPr>
                <w:rFonts w:ascii="方正黑体_GBK" w:hAnsi="方正黑体_GBK" w:eastAsia="方正黑体_GBK" w:cs="宋体"/>
                <w:sz w:val="15"/>
                <w:szCs w:val="20"/>
              </w:rPr>
              <w:t>95561</w:t>
            </w:r>
          </w:p>
        </w:tc>
      </w:tr>
      <w:tr w14:paraId="2EE0A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D41250">
            <w:pPr>
              <w:spacing w:line="200" w:lineRule="exact"/>
            </w:pPr>
            <w:r>
              <w:rPr>
                <w:rFonts w:ascii="方正黑体_GBK" w:hAnsi="方正黑体_GBK" w:eastAsia="方正黑体_GBK" w:cs="宋体"/>
                <w:sz w:val="15"/>
                <w:szCs w:val="20"/>
              </w:rPr>
              <w:t>江苏太仓农村商业银行股份有限公司</w:t>
            </w:r>
          </w:p>
        </w:tc>
        <w:tc>
          <w:tcPr>
            <w:tcW w:w="4050" w:type="dxa"/>
            <w:tcMar>
              <w:left w:w="120" w:type="dxa"/>
            </w:tcMar>
            <w:vAlign w:val="center"/>
          </w:tcPr>
          <w:p w14:paraId="550A63D2">
            <w:pPr>
              <w:spacing w:line="200" w:lineRule="exact"/>
            </w:pPr>
            <w:r>
              <w:rPr>
                <w:rFonts w:ascii="方正黑体_GBK" w:hAnsi="方正黑体_GBK" w:eastAsia="方正黑体_GBK" w:cs="宋体"/>
                <w:sz w:val="15"/>
                <w:szCs w:val="20"/>
              </w:rPr>
              <w:t>太仓市娄东街道上海东路198号</w:t>
            </w:r>
          </w:p>
        </w:tc>
        <w:tc>
          <w:tcPr>
            <w:tcW w:w="1350" w:type="dxa"/>
            <w:tcMar>
              <w:left w:w="120" w:type="dxa"/>
            </w:tcMar>
            <w:vAlign w:val="center"/>
          </w:tcPr>
          <w:p w14:paraId="53436813">
            <w:pPr>
              <w:spacing w:line="200" w:lineRule="exact"/>
            </w:pPr>
            <w:r>
              <w:rPr>
                <w:rFonts w:ascii="方正黑体_GBK" w:hAnsi="方正黑体_GBK" w:eastAsia="方正黑体_GBK" w:cs="宋体"/>
                <w:sz w:val="15"/>
                <w:szCs w:val="20"/>
              </w:rPr>
              <w:t>4001840060</w:t>
            </w:r>
          </w:p>
        </w:tc>
      </w:tr>
      <w:tr w14:paraId="2CA9A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D8206A5">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12EEDDE0">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69404709">
            <w:pPr>
              <w:spacing w:line="200" w:lineRule="exact"/>
            </w:pPr>
            <w:r>
              <w:rPr>
                <w:rFonts w:ascii="方正黑体_GBK" w:hAnsi="方正黑体_GBK" w:eastAsia="方正黑体_GBK" w:cs="宋体"/>
                <w:sz w:val="15"/>
                <w:szCs w:val="20"/>
              </w:rPr>
              <w:t>4006696588</w:t>
            </w:r>
          </w:p>
        </w:tc>
      </w:tr>
      <w:tr w14:paraId="7D469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22E74D6">
            <w:pPr>
              <w:spacing w:line="200" w:lineRule="exact"/>
            </w:pPr>
            <w:r>
              <w:rPr>
                <w:rFonts w:ascii="方正黑体_GBK" w:hAnsi="方正黑体_GBK" w:eastAsia="方正黑体_GBK" w:cs="宋体"/>
                <w:sz w:val="15"/>
                <w:szCs w:val="20"/>
              </w:rPr>
              <w:t>齐商银行股份有限公司</w:t>
            </w:r>
          </w:p>
        </w:tc>
        <w:tc>
          <w:tcPr>
            <w:tcW w:w="4050" w:type="dxa"/>
            <w:tcMar>
              <w:left w:w="120" w:type="dxa"/>
            </w:tcMar>
            <w:vAlign w:val="center"/>
          </w:tcPr>
          <w:p w14:paraId="3061C1A6">
            <w:pPr>
              <w:spacing w:line="200" w:lineRule="exact"/>
            </w:pPr>
            <w:r>
              <w:rPr>
                <w:rFonts w:ascii="方正黑体_GBK" w:hAnsi="方正黑体_GBK" w:eastAsia="方正黑体_GBK" w:cs="宋体"/>
                <w:sz w:val="15"/>
                <w:szCs w:val="20"/>
              </w:rPr>
              <w:t>山东省淄博市张店区人民西路212号</w:t>
            </w:r>
          </w:p>
        </w:tc>
        <w:tc>
          <w:tcPr>
            <w:tcW w:w="1350" w:type="dxa"/>
            <w:tcMar>
              <w:left w:w="120" w:type="dxa"/>
            </w:tcMar>
            <w:vAlign w:val="center"/>
          </w:tcPr>
          <w:p w14:paraId="2B09F7F3">
            <w:pPr>
              <w:spacing w:line="200" w:lineRule="exact"/>
            </w:pPr>
            <w:r>
              <w:rPr>
                <w:rFonts w:ascii="方正黑体_GBK" w:hAnsi="方正黑体_GBK" w:eastAsia="方正黑体_GBK" w:cs="宋体"/>
                <w:sz w:val="15"/>
                <w:szCs w:val="20"/>
              </w:rPr>
              <w:t>0533-2163939</w:t>
            </w:r>
          </w:p>
        </w:tc>
      </w:tr>
      <w:tr w14:paraId="3774C0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825904">
            <w:pPr>
              <w:spacing w:line="200" w:lineRule="exact"/>
            </w:pPr>
            <w:r>
              <w:rPr>
                <w:rFonts w:ascii="方正黑体_GBK" w:hAnsi="方正黑体_GBK" w:eastAsia="方正黑体_GBK" w:cs="宋体"/>
                <w:sz w:val="15"/>
                <w:szCs w:val="20"/>
              </w:rPr>
              <w:t>江苏常熟农村商业银行股份有限公司</w:t>
            </w:r>
          </w:p>
        </w:tc>
        <w:tc>
          <w:tcPr>
            <w:tcW w:w="4050" w:type="dxa"/>
            <w:tcMar>
              <w:left w:w="120" w:type="dxa"/>
            </w:tcMar>
            <w:vAlign w:val="center"/>
          </w:tcPr>
          <w:p w14:paraId="14424AC5">
            <w:pPr>
              <w:spacing w:line="200" w:lineRule="exact"/>
            </w:pPr>
            <w:r>
              <w:rPr>
                <w:rFonts w:ascii="方正黑体_GBK" w:hAnsi="方正黑体_GBK" w:eastAsia="方正黑体_GBK" w:cs="宋体"/>
                <w:sz w:val="15"/>
                <w:szCs w:val="20"/>
              </w:rPr>
              <w:t>江苏省常熟市新世纪大道58号</w:t>
            </w:r>
          </w:p>
        </w:tc>
        <w:tc>
          <w:tcPr>
            <w:tcW w:w="1350" w:type="dxa"/>
            <w:tcMar>
              <w:left w:w="120" w:type="dxa"/>
            </w:tcMar>
            <w:vAlign w:val="center"/>
          </w:tcPr>
          <w:p w14:paraId="38FFBC59">
            <w:pPr>
              <w:spacing w:line="200" w:lineRule="exact"/>
            </w:pPr>
            <w:r>
              <w:rPr>
                <w:rFonts w:ascii="方正黑体_GBK" w:hAnsi="方正黑体_GBK" w:eastAsia="方正黑体_GBK" w:cs="宋体"/>
                <w:sz w:val="15"/>
                <w:szCs w:val="20"/>
              </w:rPr>
              <w:t>956020</w:t>
            </w:r>
          </w:p>
        </w:tc>
      </w:tr>
      <w:tr w14:paraId="33B94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B67E746">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45712116">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3447AA71">
            <w:pPr>
              <w:spacing w:line="200" w:lineRule="exact"/>
            </w:pPr>
            <w:r>
              <w:rPr>
                <w:rFonts w:ascii="方正黑体_GBK" w:hAnsi="方正黑体_GBK" w:eastAsia="方正黑体_GBK" w:cs="宋体"/>
                <w:sz w:val="15"/>
                <w:szCs w:val="20"/>
              </w:rPr>
              <w:t>956111</w:t>
            </w:r>
          </w:p>
        </w:tc>
      </w:tr>
      <w:tr w14:paraId="322368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78A250">
            <w:pPr>
              <w:spacing w:line="200" w:lineRule="exact"/>
            </w:pPr>
            <w:r>
              <w:rPr>
                <w:rFonts w:ascii="方正黑体_GBK" w:hAnsi="方正黑体_GBK" w:eastAsia="方正黑体_GBK" w:cs="宋体"/>
                <w:sz w:val="15"/>
                <w:szCs w:val="20"/>
              </w:rPr>
              <w:t>长沙银行股份有限公司</w:t>
            </w:r>
          </w:p>
        </w:tc>
        <w:tc>
          <w:tcPr>
            <w:tcW w:w="4050" w:type="dxa"/>
            <w:tcMar>
              <w:left w:w="120" w:type="dxa"/>
            </w:tcMar>
            <w:vAlign w:val="center"/>
          </w:tcPr>
          <w:p w14:paraId="7F0E078D">
            <w:pPr>
              <w:spacing w:line="200" w:lineRule="exact"/>
            </w:pPr>
            <w:r>
              <w:rPr>
                <w:rFonts w:ascii="方正黑体_GBK" w:hAnsi="方正黑体_GBK" w:eastAsia="方正黑体_GBK" w:cs="宋体"/>
                <w:sz w:val="15"/>
                <w:szCs w:val="20"/>
              </w:rPr>
              <w:t>湖南省长沙市岳麓区滨江路53号楷林商务中心B座</w:t>
            </w:r>
          </w:p>
        </w:tc>
        <w:tc>
          <w:tcPr>
            <w:tcW w:w="1350" w:type="dxa"/>
            <w:tcMar>
              <w:left w:w="120" w:type="dxa"/>
            </w:tcMar>
            <w:vAlign w:val="center"/>
          </w:tcPr>
          <w:p w14:paraId="34C97FC9">
            <w:pPr>
              <w:spacing w:line="200" w:lineRule="exact"/>
            </w:pPr>
            <w:r>
              <w:rPr>
                <w:rFonts w:ascii="方正黑体_GBK" w:hAnsi="方正黑体_GBK" w:eastAsia="方正黑体_GBK" w:cs="宋体"/>
                <w:sz w:val="15"/>
                <w:szCs w:val="20"/>
              </w:rPr>
              <w:t>0731-89934772</w:t>
            </w:r>
          </w:p>
        </w:tc>
      </w:tr>
      <w:tr w14:paraId="3C195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40E931">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5DBE51A2">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670ECF8B">
            <w:pPr>
              <w:spacing w:line="200" w:lineRule="exact"/>
            </w:pPr>
            <w:r>
              <w:rPr>
                <w:rFonts w:ascii="方正黑体_GBK" w:hAnsi="方正黑体_GBK" w:eastAsia="方正黑体_GBK" w:cs="宋体"/>
                <w:sz w:val="15"/>
                <w:szCs w:val="20"/>
              </w:rPr>
              <w:t>0591-4008939999</w:t>
            </w:r>
          </w:p>
        </w:tc>
      </w:tr>
      <w:tr w14:paraId="501AD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1F139F">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37D14BF7">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28B43A95">
            <w:pPr>
              <w:spacing w:line="200" w:lineRule="exact"/>
            </w:pPr>
            <w:r>
              <w:rPr>
                <w:rFonts w:ascii="方正黑体_GBK" w:hAnsi="方正黑体_GBK" w:eastAsia="方正黑体_GBK" w:cs="宋体"/>
                <w:sz w:val="15"/>
                <w:szCs w:val="20"/>
              </w:rPr>
              <w:t>0335-96336</w:t>
            </w:r>
          </w:p>
        </w:tc>
      </w:tr>
      <w:tr w14:paraId="1F35F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195EF16">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128A9531">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19112E73">
            <w:pPr>
              <w:spacing w:line="200" w:lineRule="exact"/>
            </w:pPr>
            <w:r>
              <w:rPr>
                <w:rFonts w:ascii="方正黑体_GBK" w:hAnsi="方正黑体_GBK" w:eastAsia="方正黑体_GBK" w:cs="宋体"/>
                <w:sz w:val="15"/>
                <w:szCs w:val="20"/>
              </w:rPr>
              <w:t>0538-96588</w:t>
            </w:r>
          </w:p>
        </w:tc>
      </w:tr>
      <w:tr w14:paraId="6F7B2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9DD372F">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20FE6946">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43423D66">
            <w:pPr>
              <w:spacing w:line="200" w:lineRule="exact"/>
            </w:pPr>
            <w:r>
              <w:rPr>
                <w:rFonts w:ascii="方正黑体_GBK" w:hAnsi="方正黑体_GBK" w:eastAsia="方正黑体_GBK" w:cs="宋体"/>
                <w:sz w:val="15"/>
                <w:szCs w:val="20"/>
              </w:rPr>
              <w:t>4006096588</w:t>
            </w:r>
          </w:p>
        </w:tc>
      </w:tr>
      <w:tr w14:paraId="6A36F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FF8E44A">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3811AD3D">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086F566D">
            <w:pPr>
              <w:spacing w:line="200" w:lineRule="exact"/>
            </w:pPr>
            <w:r>
              <w:rPr>
                <w:rFonts w:ascii="方正黑体_GBK" w:hAnsi="方正黑体_GBK" w:eastAsia="方正黑体_GBK" w:cs="宋体"/>
                <w:sz w:val="15"/>
                <w:szCs w:val="20"/>
              </w:rPr>
              <w:t>0851-86859053</w:t>
            </w:r>
          </w:p>
        </w:tc>
      </w:tr>
      <w:tr w14:paraId="38BBDC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90506D">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656ED2C5">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3400AA0A">
            <w:pPr>
              <w:spacing w:line="200" w:lineRule="exact"/>
            </w:pPr>
            <w:r>
              <w:rPr>
                <w:rFonts w:ascii="方正黑体_GBK" w:hAnsi="方正黑体_GBK" w:eastAsia="方正黑体_GBK" w:cs="宋体"/>
                <w:sz w:val="15"/>
                <w:szCs w:val="20"/>
              </w:rPr>
              <w:t>96522</w:t>
            </w:r>
          </w:p>
        </w:tc>
      </w:tr>
      <w:tr w14:paraId="0FE77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F1BA81E">
            <w:pPr>
              <w:spacing w:line="200" w:lineRule="exact"/>
            </w:pPr>
            <w:r>
              <w:rPr>
                <w:rFonts w:ascii="方正黑体_GBK" w:hAnsi="方正黑体_GBK" w:eastAsia="方正黑体_GBK" w:cs="宋体"/>
                <w:sz w:val="15"/>
                <w:szCs w:val="20"/>
              </w:rPr>
              <w:t>九江银行股份有限公司</w:t>
            </w:r>
          </w:p>
        </w:tc>
        <w:tc>
          <w:tcPr>
            <w:tcW w:w="4050" w:type="dxa"/>
            <w:tcMar>
              <w:left w:w="120" w:type="dxa"/>
            </w:tcMar>
            <w:vAlign w:val="center"/>
          </w:tcPr>
          <w:p w14:paraId="41376AA2">
            <w:pPr>
              <w:spacing w:line="200" w:lineRule="exact"/>
            </w:pPr>
            <w:r>
              <w:rPr>
                <w:rFonts w:ascii="方正黑体_GBK" w:hAnsi="方正黑体_GBK" w:eastAsia="方正黑体_GBK" w:cs="宋体"/>
                <w:sz w:val="15"/>
                <w:szCs w:val="20"/>
              </w:rPr>
              <w:t>江西省九江市濂溪区长虹大道619号</w:t>
            </w:r>
          </w:p>
        </w:tc>
        <w:tc>
          <w:tcPr>
            <w:tcW w:w="1350" w:type="dxa"/>
            <w:tcMar>
              <w:left w:w="120" w:type="dxa"/>
            </w:tcMar>
            <w:vAlign w:val="center"/>
          </w:tcPr>
          <w:p w14:paraId="5CD90794">
            <w:pPr>
              <w:spacing w:line="200" w:lineRule="exact"/>
            </w:pPr>
            <w:r>
              <w:rPr>
                <w:rFonts w:ascii="方正黑体_GBK" w:hAnsi="方正黑体_GBK" w:eastAsia="方正黑体_GBK" w:cs="宋体"/>
                <w:sz w:val="15"/>
                <w:szCs w:val="20"/>
              </w:rPr>
              <w:t>95316</w:t>
            </w:r>
          </w:p>
        </w:tc>
      </w:tr>
      <w:tr w14:paraId="1C1D4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05D872">
            <w:pPr>
              <w:spacing w:line="200" w:lineRule="exact"/>
            </w:pPr>
            <w:r>
              <w:rPr>
                <w:rFonts w:ascii="方正黑体_GBK" w:hAnsi="方正黑体_GBK" w:eastAsia="方正黑体_GBK" w:cs="宋体"/>
                <w:sz w:val="15"/>
                <w:szCs w:val="20"/>
              </w:rPr>
              <w:t>宁夏银行股份有限公司</w:t>
            </w:r>
          </w:p>
        </w:tc>
        <w:tc>
          <w:tcPr>
            <w:tcW w:w="4050" w:type="dxa"/>
            <w:tcMar>
              <w:left w:w="120" w:type="dxa"/>
            </w:tcMar>
            <w:vAlign w:val="center"/>
          </w:tcPr>
          <w:p w14:paraId="787BCD7D">
            <w:pPr>
              <w:spacing w:line="200" w:lineRule="exact"/>
            </w:pPr>
            <w:r>
              <w:rPr>
                <w:rFonts w:ascii="方正黑体_GBK" w:hAnsi="方正黑体_GBK" w:eastAsia="方正黑体_GBK" w:cs="宋体"/>
                <w:sz w:val="15"/>
                <w:szCs w:val="20"/>
              </w:rPr>
              <w:t>宁夏回族自治区银川市北京中路 157 号</w:t>
            </w:r>
          </w:p>
        </w:tc>
        <w:tc>
          <w:tcPr>
            <w:tcW w:w="1350" w:type="dxa"/>
            <w:tcMar>
              <w:left w:w="120" w:type="dxa"/>
            </w:tcMar>
            <w:vAlign w:val="center"/>
          </w:tcPr>
          <w:p w14:paraId="00D14973">
            <w:pPr>
              <w:spacing w:line="200" w:lineRule="exact"/>
            </w:pPr>
            <w:r>
              <w:rPr>
                <w:rFonts w:ascii="方正黑体_GBK" w:hAnsi="方正黑体_GBK" w:eastAsia="方正黑体_GBK" w:cs="宋体"/>
                <w:sz w:val="15"/>
                <w:szCs w:val="20"/>
              </w:rPr>
              <w:t>400-809-6558</w:t>
            </w:r>
          </w:p>
        </w:tc>
      </w:tr>
      <w:tr w14:paraId="05961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95A79C1">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0251D8EA">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619D81C5">
            <w:pPr>
              <w:spacing w:line="200" w:lineRule="exact"/>
            </w:pPr>
            <w:r>
              <w:rPr>
                <w:rFonts w:ascii="方正黑体_GBK" w:hAnsi="方正黑体_GBK" w:eastAsia="方正黑体_GBK" w:cs="宋体"/>
                <w:sz w:val="15"/>
                <w:szCs w:val="20"/>
              </w:rPr>
              <w:t>022-96155、400-80-96155</w:t>
            </w:r>
          </w:p>
        </w:tc>
      </w:tr>
      <w:tr w14:paraId="5B9B9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B600733">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6018A166">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6C761F24">
            <w:pPr>
              <w:spacing w:line="200" w:lineRule="exact"/>
            </w:pPr>
            <w:r>
              <w:rPr>
                <w:rFonts w:ascii="方正黑体_GBK" w:hAnsi="方正黑体_GBK" w:eastAsia="方正黑体_GBK" w:cs="宋体"/>
                <w:sz w:val="15"/>
                <w:szCs w:val="20"/>
              </w:rPr>
              <w:t>96008</w:t>
            </w:r>
          </w:p>
        </w:tc>
      </w:tr>
      <w:tr w14:paraId="503E8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F991AA5">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284097E1">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135DE47C">
            <w:pPr>
              <w:spacing w:line="200" w:lineRule="exact"/>
            </w:pPr>
            <w:r>
              <w:rPr>
                <w:rFonts w:ascii="方正黑体_GBK" w:hAnsi="方正黑体_GBK" w:eastAsia="方正黑体_GBK" w:cs="宋体"/>
                <w:sz w:val="15"/>
                <w:szCs w:val="20"/>
              </w:rPr>
              <w:t>96699</w:t>
            </w:r>
          </w:p>
        </w:tc>
      </w:tr>
      <w:tr w14:paraId="7882C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307FB6">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12F3D4E5">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68ABD54C">
            <w:pPr>
              <w:spacing w:line="200" w:lineRule="exact"/>
            </w:pPr>
            <w:r>
              <w:rPr>
                <w:rFonts w:ascii="方正黑体_GBK" w:hAnsi="方正黑体_GBK" w:eastAsia="方正黑体_GBK" w:cs="宋体"/>
                <w:sz w:val="15"/>
                <w:szCs w:val="20"/>
              </w:rPr>
              <w:t>96008</w:t>
            </w:r>
          </w:p>
        </w:tc>
      </w:tr>
      <w:tr w14:paraId="4408B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7C21ED">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566FB9AC">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6FBA1DEA">
            <w:pPr>
              <w:spacing w:line="200" w:lineRule="exact"/>
            </w:pPr>
            <w:r>
              <w:rPr>
                <w:rFonts w:ascii="方正黑体_GBK" w:hAnsi="方正黑体_GBK" w:eastAsia="方正黑体_GBK" w:cs="宋体"/>
                <w:sz w:val="15"/>
                <w:szCs w:val="20"/>
              </w:rPr>
              <w:t>96008</w:t>
            </w:r>
          </w:p>
        </w:tc>
      </w:tr>
      <w:tr w14:paraId="22BB3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F0A0D80">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2FBA904E">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1B02F15D">
            <w:pPr>
              <w:spacing w:line="200" w:lineRule="exact"/>
            </w:pPr>
            <w:r>
              <w:rPr>
                <w:rFonts w:ascii="方正黑体_GBK" w:hAnsi="方正黑体_GBK" w:eastAsia="方正黑体_GBK" w:cs="宋体"/>
                <w:sz w:val="15"/>
                <w:szCs w:val="20"/>
              </w:rPr>
              <w:t>0512-96067</w:t>
            </w:r>
          </w:p>
        </w:tc>
      </w:tr>
      <w:tr w14:paraId="6E7664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D7BB362">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0EDAF658">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1899A6F5">
            <w:pPr>
              <w:spacing w:line="200" w:lineRule="exact"/>
            </w:pPr>
            <w:r>
              <w:rPr>
                <w:rFonts w:ascii="方正黑体_GBK" w:hAnsi="方正黑体_GBK" w:eastAsia="方正黑体_GBK" w:cs="宋体"/>
                <w:sz w:val="15"/>
                <w:szCs w:val="20"/>
              </w:rPr>
              <w:t>0472-2658888</w:t>
            </w:r>
          </w:p>
        </w:tc>
      </w:tr>
      <w:tr w14:paraId="5F4AB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8343DA">
            <w:pPr>
              <w:spacing w:line="200" w:lineRule="exact"/>
            </w:pPr>
            <w:r>
              <w:rPr>
                <w:rFonts w:ascii="方正黑体_GBK" w:hAnsi="方正黑体_GBK" w:eastAsia="方正黑体_GBK" w:cs="宋体"/>
                <w:sz w:val="15"/>
                <w:szCs w:val="20"/>
              </w:rPr>
              <w:t>江苏江南农村商业银行股份有限公司</w:t>
            </w:r>
          </w:p>
        </w:tc>
        <w:tc>
          <w:tcPr>
            <w:tcW w:w="4050" w:type="dxa"/>
            <w:tcMar>
              <w:left w:w="120" w:type="dxa"/>
            </w:tcMar>
            <w:vAlign w:val="center"/>
          </w:tcPr>
          <w:p w14:paraId="594C25EC">
            <w:pPr>
              <w:spacing w:line="200" w:lineRule="exact"/>
            </w:pPr>
            <w:r>
              <w:rPr>
                <w:rFonts w:ascii="方正黑体_GBK" w:hAnsi="方正黑体_GBK" w:eastAsia="方正黑体_GBK" w:cs="宋体"/>
                <w:sz w:val="15"/>
                <w:szCs w:val="20"/>
              </w:rPr>
              <w:t>常州市武进区延政中路9号</w:t>
            </w:r>
          </w:p>
        </w:tc>
        <w:tc>
          <w:tcPr>
            <w:tcW w:w="1350" w:type="dxa"/>
            <w:tcMar>
              <w:left w:w="120" w:type="dxa"/>
            </w:tcMar>
            <w:vAlign w:val="center"/>
          </w:tcPr>
          <w:p w14:paraId="0443FEBC">
            <w:pPr>
              <w:spacing w:line="200" w:lineRule="exact"/>
            </w:pPr>
            <w:r>
              <w:rPr>
                <w:rFonts w:ascii="方正黑体_GBK" w:hAnsi="方正黑体_GBK" w:eastAsia="方正黑体_GBK" w:cs="宋体"/>
                <w:sz w:val="15"/>
                <w:szCs w:val="20"/>
              </w:rPr>
              <w:t>0519-96005</w:t>
            </w:r>
          </w:p>
        </w:tc>
      </w:tr>
      <w:tr w14:paraId="391C6B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A10C0A">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708E6A6E">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65F0F5E3">
            <w:pPr>
              <w:spacing w:line="200" w:lineRule="exact"/>
            </w:pPr>
            <w:r>
              <w:rPr>
                <w:rFonts w:ascii="方正黑体_GBK" w:hAnsi="方正黑体_GBK" w:eastAsia="方正黑体_GBK" w:cs="宋体"/>
                <w:sz w:val="15"/>
                <w:szCs w:val="20"/>
              </w:rPr>
              <w:t>400-86-96299</w:t>
            </w:r>
          </w:p>
        </w:tc>
      </w:tr>
      <w:tr w14:paraId="7AA33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D95699">
            <w:pPr>
              <w:spacing w:line="200" w:lineRule="exact"/>
            </w:pPr>
            <w:r>
              <w:rPr>
                <w:rFonts w:ascii="方正黑体_GBK" w:hAnsi="方正黑体_GBK" w:eastAsia="方正黑体_GBK" w:cs="宋体"/>
                <w:sz w:val="15"/>
                <w:szCs w:val="20"/>
              </w:rPr>
              <w:t>宁波通商银行股份有限公司</w:t>
            </w:r>
          </w:p>
        </w:tc>
        <w:tc>
          <w:tcPr>
            <w:tcW w:w="4050" w:type="dxa"/>
            <w:tcMar>
              <w:left w:w="120" w:type="dxa"/>
            </w:tcMar>
            <w:vAlign w:val="center"/>
          </w:tcPr>
          <w:p w14:paraId="53A3C30D">
            <w:pPr>
              <w:spacing w:line="200" w:lineRule="exact"/>
            </w:pPr>
            <w:r>
              <w:rPr>
                <w:rFonts w:ascii="方正黑体_GBK" w:hAnsi="方正黑体_GBK" w:eastAsia="方正黑体_GBK" w:cs="宋体"/>
                <w:sz w:val="15"/>
                <w:szCs w:val="20"/>
              </w:rPr>
              <w:t>浙江省宁波市鄞州区民安东路337号</w:t>
            </w:r>
          </w:p>
        </w:tc>
        <w:tc>
          <w:tcPr>
            <w:tcW w:w="1350" w:type="dxa"/>
            <w:tcMar>
              <w:left w:w="120" w:type="dxa"/>
            </w:tcMar>
            <w:vAlign w:val="center"/>
          </w:tcPr>
          <w:p w14:paraId="4BD916EC">
            <w:pPr>
              <w:spacing w:line="200" w:lineRule="exact"/>
            </w:pPr>
            <w:r>
              <w:rPr>
                <w:rFonts w:ascii="方正黑体_GBK" w:hAnsi="方正黑体_GBK" w:eastAsia="方正黑体_GBK" w:cs="宋体"/>
                <w:sz w:val="15"/>
                <w:szCs w:val="20"/>
              </w:rPr>
              <w:t>400-916-6666</w:t>
            </w:r>
          </w:p>
        </w:tc>
      </w:tr>
      <w:tr w14:paraId="7A622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E281050">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659641A6">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1EEC9CED">
            <w:pPr>
              <w:spacing w:line="200" w:lineRule="exact"/>
            </w:pPr>
            <w:r>
              <w:rPr>
                <w:rFonts w:ascii="方正黑体_GBK" w:hAnsi="方正黑体_GBK" w:eastAsia="方正黑体_GBK" w:cs="宋体"/>
                <w:sz w:val="15"/>
                <w:szCs w:val="20"/>
              </w:rPr>
              <w:t>400-83-96699</w:t>
            </w:r>
          </w:p>
        </w:tc>
      </w:tr>
      <w:tr w14:paraId="11DF53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5D2DA6">
            <w:pPr>
              <w:spacing w:line="200" w:lineRule="exact"/>
            </w:pPr>
            <w:r>
              <w:rPr>
                <w:rFonts w:ascii="方正黑体_GBK" w:hAnsi="方正黑体_GBK" w:eastAsia="方正黑体_GBK" w:cs="宋体"/>
                <w:sz w:val="15"/>
                <w:szCs w:val="20"/>
              </w:rPr>
              <w:t>无锡农村商业银行股份有限公司</w:t>
            </w:r>
          </w:p>
        </w:tc>
        <w:tc>
          <w:tcPr>
            <w:tcW w:w="4050" w:type="dxa"/>
            <w:tcMar>
              <w:left w:w="120" w:type="dxa"/>
            </w:tcMar>
            <w:vAlign w:val="center"/>
          </w:tcPr>
          <w:p w14:paraId="0038BA85">
            <w:pPr>
              <w:spacing w:line="200" w:lineRule="exact"/>
            </w:pPr>
            <w:r>
              <w:rPr>
                <w:rFonts w:ascii="方正黑体_GBK" w:hAnsi="方正黑体_GBK" w:eastAsia="方正黑体_GBK" w:cs="宋体"/>
                <w:sz w:val="15"/>
                <w:szCs w:val="20"/>
              </w:rPr>
              <w:t>江苏省无锡市锡山区延庆街11号、丹山路66-3、 66-1301、 66-1401号</w:t>
            </w:r>
          </w:p>
        </w:tc>
        <w:tc>
          <w:tcPr>
            <w:tcW w:w="1350" w:type="dxa"/>
            <w:tcMar>
              <w:left w:w="120" w:type="dxa"/>
            </w:tcMar>
            <w:vAlign w:val="center"/>
          </w:tcPr>
          <w:p w14:paraId="47EA70F1">
            <w:pPr>
              <w:spacing w:line="200" w:lineRule="exact"/>
            </w:pPr>
            <w:r>
              <w:rPr>
                <w:rFonts w:ascii="方正黑体_GBK" w:hAnsi="方正黑体_GBK" w:eastAsia="方正黑体_GBK" w:cs="宋体"/>
                <w:sz w:val="15"/>
                <w:szCs w:val="20"/>
              </w:rPr>
              <w:t>0510-96058</w:t>
            </w:r>
          </w:p>
        </w:tc>
      </w:tr>
      <w:tr w14:paraId="07209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2BBB5D">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2ACC030E">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6ED88218">
            <w:pPr>
              <w:spacing w:line="200" w:lineRule="exact"/>
            </w:pPr>
            <w:r>
              <w:rPr>
                <w:rFonts w:ascii="方正黑体_GBK" w:hAnsi="方正黑体_GBK" w:eastAsia="方正黑体_GBK" w:cs="宋体"/>
                <w:sz w:val="15"/>
                <w:szCs w:val="20"/>
              </w:rPr>
              <w:t>0951-96789</w:t>
            </w:r>
          </w:p>
        </w:tc>
      </w:tr>
      <w:tr w14:paraId="0E521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86F5B7D">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10C47EFD">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0292F9F1">
            <w:pPr>
              <w:spacing w:line="200" w:lineRule="exact"/>
            </w:pPr>
            <w:r>
              <w:rPr>
                <w:rFonts w:ascii="方正黑体_GBK" w:hAnsi="方正黑体_GBK" w:eastAsia="方正黑体_GBK" w:cs="宋体"/>
                <w:sz w:val="15"/>
                <w:szCs w:val="20"/>
              </w:rPr>
              <w:t>400-888-0555</w:t>
            </w:r>
          </w:p>
        </w:tc>
      </w:tr>
      <w:tr w14:paraId="14E89A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9A67AB7">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13D66407">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09354180">
            <w:pPr>
              <w:spacing w:line="200" w:lineRule="exact"/>
            </w:pPr>
            <w:r>
              <w:rPr>
                <w:rFonts w:ascii="方正黑体_GBK" w:hAnsi="方正黑体_GBK" w:eastAsia="方正黑体_GBK" w:cs="宋体"/>
                <w:sz w:val="15"/>
                <w:szCs w:val="20"/>
              </w:rPr>
              <w:t>96008</w:t>
            </w:r>
          </w:p>
        </w:tc>
      </w:tr>
      <w:tr w14:paraId="187BBB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F080148">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333EFB20">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7F06AA62">
            <w:pPr>
              <w:spacing w:line="200" w:lineRule="exact"/>
            </w:pPr>
            <w:r>
              <w:rPr>
                <w:rFonts w:ascii="方正黑体_GBK" w:hAnsi="方正黑体_GBK" w:eastAsia="方正黑体_GBK" w:cs="宋体"/>
                <w:sz w:val="15"/>
                <w:szCs w:val="20"/>
              </w:rPr>
              <w:t>96008</w:t>
            </w:r>
          </w:p>
        </w:tc>
      </w:tr>
      <w:tr w14:paraId="6ABE1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F39712">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3B2F95E9">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370B12F2">
            <w:pPr>
              <w:spacing w:line="200" w:lineRule="exact"/>
            </w:pPr>
            <w:r>
              <w:rPr>
                <w:rFonts w:ascii="方正黑体_GBK" w:hAnsi="方正黑体_GBK" w:eastAsia="方正黑体_GBK" w:cs="宋体"/>
                <w:sz w:val="15"/>
                <w:szCs w:val="20"/>
              </w:rPr>
              <w:t>96008</w:t>
            </w:r>
          </w:p>
        </w:tc>
      </w:tr>
      <w:tr w14:paraId="1234A9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AF2D92A">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1CB4F9F7">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73598D63">
            <w:pPr>
              <w:spacing w:line="200" w:lineRule="exact"/>
            </w:pPr>
            <w:r>
              <w:rPr>
                <w:rFonts w:ascii="方正黑体_GBK" w:hAnsi="方正黑体_GBK" w:eastAsia="方正黑体_GBK" w:cs="宋体"/>
                <w:sz w:val="15"/>
                <w:szCs w:val="20"/>
              </w:rPr>
              <w:t>96008</w:t>
            </w:r>
          </w:p>
        </w:tc>
      </w:tr>
      <w:tr w14:paraId="63C6F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0A9DE9">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3C71E0DB">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1FB5EFA5">
            <w:pPr>
              <w:spacing w:line="200" w:lineRule="exact"/>
            </w:pPr>
            <w:r>
              <w:rPr>
                <w:rFonts w:ascii="方正黑体_GBK" w:hAnsi="方正黑体_GBK" w:eastAsia="方正黑体_GBK" w:cs="宋体"/>
                <w:sz w:val="15"/>
                <w:szCs w:val="20"/>
              </w:rPr>
              <w:t>96008</w:t>
            </w:r>
          </w:p>
        </w:tc>
      </w:tr>
      <w:tr w14:paraId="503C1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0AE5953">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32087F92">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66DD0632">
            <w:pPr>
              <w:spacing w:line="200" w:lineRule="exact"/>
            </w:pPr>
            <w:r>
              <w:rPr>
                <w:rFonts w:ascii="方正黑体_GBK" w:hAnsi="方正黑体_GBK" w:eastAsia="方正黑体_GBK" w:cs="宋体"/>
                <w:sz w:val="15"/>
                <w:szCs w:val="20"/>
              </w:rPr>
              <w:t>96008</w:t>
            </w:r>
          </w:p>
        </w:tc>
      </w:tr>
      <w:tr w14:paraId="6F10D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1D153AF">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34823F7D">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65050555">
            <w:pPr>
              <w:spacing w:line="200" w:lineRule="exact"/>
            </w:pPr>
            <w:r>
              <w:rPr>
                <w:rFonts w:ascii="方正黑体_GBK" w:hAnsi="方正黑体_GBK" w:eastAsia="方正黑体_GBK" w:cs="宋体"/>
                <w:sz w:val="15"/>
                <w:szCs w:val="20"/>
              </w:rPr>
              <w:t>96008</w:t>
            </w:r>
          </w:p>
        </w:tc>
      </w:tr>
      <w:tr w14:paraId="439710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AFC8078">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4B0EE362">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5030FCCB">
            <w:pPr>
              <w:spacing w:line="200" w:lineRule="exact"/>
            </w:pPr>
            <w:r>
              <w:rPr>
                <w:rFonts w:ascii="方正黑体_GBK" w:hAnsi="方正黑体_GBK" w:eastAsia="方正黑体_GBK" w:cs="宋体"/>
                <w:sz w:val="15"/>
                <w:szCs w:val="20"/>
              </w:rPr>
              <w:t>96008</w:t>
            </w:r>
          </w:p>
        </w:tc>
      </w:tr>
      <w:tr w14:paraId="48390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3A55C04">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509ACC50">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2F4311FC">
            <w:pPr>
              <w:spacing w:line="200" w:lineRule="exact"/>
            </w:pPr>
            <w:r>
              <w:rPr>
                <w:rFonts w:ascii="方正黑体_GBK" w:hAnsi="方正黑体_GBK" w:eastAsia="方正黑体_GBK" w:cs="宋体"/>
                <w:sz w:val="15"/>
                <w:szCs w:val="20"/>
              </w:rPr>
              <w:t>96008</w:t>
            </w:r>
          </w:p>
        </w:tc>
      </w:tr>
      <w:tr w14:paraId="69DD9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0634E1F">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468A1A62">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3B9B5AAD">
            <w:pPr>
              <w:spacing w:line="200" w:lineRule="exact"/>
            </w:pPr>
            <w:r>
              <w:rPr>
                <w:rFonts w:ascii="方正黑体_GBK" w:hAnsi="方正黑体_GBK" w:eastAsia="方正黑体_GBK" w:cs="宋体"/>
                <w:sz w:val="15"/>
                <w:szCs w:val="20"/>
              </w:rPr>
              <w:t>96008</w:t>
            </w:r>
          </w:p>
        </w:tc>
      </w:tr>
      <w:tr w14:paraId="1AAD3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5E8489">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5B9C8F3C">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2D44A691">
            <w:pPr>
              <w:spacing w:line="200" w:lineRule="exact"/>
            </w:pPr>
            <w:r>
              <w:rPr>
                <w:rFonts w:ascii="方正黑体_GBK" w:hAnsi="方正黑体_GBK" w:eastAsia="方正黑体_GBK" w:cs="宋体"/>
                <w:sz w:val="15"/>
                <w:szCs w:val="20"/>
              </w:rPr>
              <w:t>96008</w:t>
            </w:r>
          </w:p>
        </w:tc>
      </w:tr>
      <w:tr w14:paraId="39C07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3676AD7">
            <w:pPr>
              <w:spacing w:line="200" w:lineRule="exact"/>
            </w:pPr>
            <w:r>
              <w:rPr>
                <w:rFonts w:ascii="方正黑体_GBK" w:hAnsi="方正黑体_GBK" w:eastAsia="方正黑体_GBK" w:cs="宋体"/>
                <w:sz w:val="15"/>
                <w:szCs w:val="20"/>
              </w:rPr>
              <w:t>江苏阜宁农村商业银行股份有限公司</w:t>
            </w:r>
          </w:p>
        </w:tc>
        <w:tc>
          <w:tcPr>
            <w:tcW w:w="4050" w:type="dxa"/>
            <w:tcMar>
              <w:left w:w="120" w:type="dxa"/>
            </w:tcMar>
            <w:vAlign w:val="center"/>
          </w:tcPr>
          <w:p w14:paraId="4EAE4EF7">
            <w:pPr>
              <w:spacing w:line="200" w:lineRule="exact"/>
            </w:pPr>
            <w:r>
              <w:rPr>
                <w:rFonts w:ascii="方正黑体_GBK" w:hAnsi="方正黑体_GBK" w:eastAsia="方正黑体_GBK" w:cs="宋体"/>
                <w:sz w:val="15"/>
                <w:szCs w:val="20"/>
              </w:rPr>
              <w:t>江苏省阜宁县城南新区上海路459号</w:t>
            </w:r>
          </w:p>
        </w:tc>
        <w:tc>
          <w:tcPr>
            <w:tcW w:w="1350" w:type="dxa"/>
            <w:tcMar>
              <w:left w:w="120" w:type="dxa"/>
            </w:tcMar>
            <w:vAlign w:val="center"/>
          </w:tcPr>
          <w:p w14:paraId="0CC07ED0">
            <w:pPr>
              <w:spacing w:line="200" w:lineRule="exact"/>
            </w:pPr>
            <w:r>
              <w:rPr>
                <w:rFonts w:ascii="方正黑体_GBK" w:hAnsi="方正黑体_GBK" w:eastAsia="方正黑体_GBK" w:cs="宋体"/>
                <w:sz w:val="15"/>
                <w:szCs w:val="20"/>
              </w:rPr>
              <w:t>96008</w:t>
            </w:r>
          </w:p>
        </w:tc>
      </w:tr>
      <w:tr w14:paraId="14172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B3DE6DE">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68F90DF2">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1063A9AB">
            <w:pPr>
              <w:spacing w:line="200" w:lineRule="exact"/>
            </w:pPr>
            <w:r>
              <w:rPr>
                <w:rFonts w:ascii="方正黑体_GBK" w:hAnsi="方正黑体_GBK" w:eastAsia="方正黑体_GBK" w:cs="宋体"/>
                <w:sz w:val="15"/>
                <w:szCs w:val="20"/>
              </w:rPr>
              <w:t>96008</w:t>
            </w:r>
          </w:p>
        </w:tc>
      </w:tr>
      <w:tr w14:paraId="18C85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C0BD8C">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06F7E1D3">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4E0BAF6D">
            <w:pPr>
              <w:spacing w:line="200" w:lineRule="exact"/>
            </w:pPr>
            <w:r>
              <w:rPr>
                <w:rFonts w:ascii="方正黑体_GBK" w:hAnsi="方正黑体_GBK" w:eastAsia="方正黑体_GBK" w:cs="宋体"/>
                <w:sz w:val="15"/>
                <w:szCs w:val="20"/>
              </w:rPr>
              <w:t>96008</w:t>
            </w:r>
          </w:p>
        </w:tc>
      </w:tr>
      <w:tr w14:paraId="4377EF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700ADDD">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18CE9E43">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31612B66">
            <w:pPr>
              <w:spacing w:line="200" w:lineRule="exact"/>
            </w:pPr>
            <w:r>
              <w:rPr>
                <w:rFonts w:ascii="方正黑体_GBK" w:hAnsi="方正黑体_GBK" w:eastAsia="方正黑体_GBK" w:cs="宋体"/>
                <w:sz w:val="15"/>
                <w:szCs w:val="20"/>
              </w:rPr>
              <w:t>96008</w:t>
            </w:r>
          </w:p>
        </w:tc>
      </w:tr>
      <w:tr w14:paraId="711C5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15C9CD8">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2253CB5E">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384FBCA5">
            <w:pPr>
              <w:spacing w:line="200" w:lineRule="exact"/>
            </w:pPr>
            <w:r>
              <w:rPr>
                <w:rFonts w:ascii="方正黑体_GBK" w:hAnsi="方正黑体_GBK" w:eastAsia="方正黑体_GBK" w:cs="宋体"/>
                <w:sz w:val="15"/>
                <w:szCs w:val="20"/>
              </w:rPr>
              <w:t>96008</w:t>
            </w:r>
          </w:p>
        </w:tc>
      </w:tr>
      <w:tr w14:paraId="253F07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3646196">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60A69831">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452B8266">
            <w:pPr>
              <w:spacing w:line="200" w:lineRule="exact"/>
            </w:pPr>
            <w:r>
              <w:rPr>
                <w:rFonts w:ascii="方正黑体_GBK" w:hAnsi="方正黑体_GBK" w:eastAsia="方正黑体_GBK" w:cs="宋体"/>
                <w:sz w:val="15"/>
                <w:szCs w:val="20"/>
              </w:rPr>
              <w:t>96008</w:t>
            </w:r>
          </w:p>
        </w:tc>
      </w:tr>
      <w:tr w14:paraId="6B6B3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9B19F35">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0B1D53B0">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40810826">
            <w:pPr>
              <w:spacing w:line="200" w:lineRule="exact"/>
            </w:pPr>
            <w:r>
              <w:rPr>
                <w:rFonts w:ascii="方正黑体_GBK" w:hAnsi="方正黑体_GBK" w:eastAsia="方正黑体_GBK" w:cs="宋体"/>
                <w:sz w:val="15"/>
                <w:szCs w:val="20"/>
              </w:rPr>
              <w:t>96008</w:t>
            </w:r>
          </w:p>
        </w:tc>
      </w:tr>
      <w:tr w14:paraId="635E70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24B6AA">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051D676A">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360D8ADE">
            <w:pPr>
              <w:spacing w:line="200" w:lineRule="exact"/>
            </w:pPr>
            <w:r>
              <w:rPr>
                <w:rFonts w:ascii="方正黑体_GBK" w:hAnsi="方正黑体_GBK" w:eastAsia="方正黑体_GBK" w:cs="宋体"/>
                <w:sz w:val="15"/>
                <w:szCs w:val="20"/>
              </w:rPr>
              <w:t>96008</w:t>
            </w:r>
          </w:p>
        </w:tc>
      </w:tr>
      <w:tr w14:paraId="0CCDC0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1A0E26B">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3988F4E3">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0E929649">
            <w:pPr>
              <w:spacing w:line="200" w:lineRule="exact"/>
            </w:pPr>
            <w:r>
              <w:rPr>
                <w:rFonts w:ascii="方正黑体_GBK" w:hAnsi="方正黑体_GBK" w:eastAsia="方正黑体_GBK" w:cs="宋体"/>
                <w:sz w:val="15"/>
                <w:szCs w:val="20"/>
              </w:rPr>
              <w:t>96008</w:t>
            </w:r>
          </w:p>
        </w:tc>
      </w:tr>
      <w:tr w14:paraId="11719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5C5EDFB">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4A570A2D">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144744EA">
            <w:pPr>
              <w:spacing w:line="200" w:lineRule="exact"/>
            </w:pPr>
            <w:r>
              <w:rPr>
                <w:rFonts w:ascii="方正黑体_GBK" w:hAnsi="方正黑体_GBK" w:eastAsia="方正黑体_GBK" w:cs="宋体"/>
                <w:sz w:val="15"/>
                <w:szCs w:val="20"/>
              </w:rPr>
              <w:t>96008</w:t>
            </w:r>
          </w:p>
        </w:tc>
      </w:tr>
      <w:tr w14:paraId="08A45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AB79C6">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609777CD">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00FCAB1A">
            <w:pPr>
              <w:spacing w:line="200" w:lineRule="exact"/>
            </w:pPr>
            <w:r>
              <w:rPr>
                <w:rFonts w:ascii="方正黑体_GBK" w:hAnsi="方正黑体_GBK" w:eastAsia="方正黑体_GBK" w:cs="宋体"/>
                <w:sz w:val="15"/>
                <w:szCs w:val="20"/>
              </w:rPr>
              <w:t>96008</w:t>
            </w:r>
          </w:p>
        </w:tc>
      </w:tr>
      <w:tr w14:paraId="5BBD34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8266CB">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6A9C4A08">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020B1260">
            <w:pPr>
              <w:spacing w:line="200" w:lineRule="exact"/>
            </w:pPr>
            <w:r>
              <w:rPr>
                <w:rFonts w:ascii="方正黑体_GBK" w:hAnsi="方正黑体_GBK" w:eastAsia="方正黑体_GBK" w:cs="宋体"/>
                <w:sz w:val="15"/>
                <w:szCs w:val="20"/>
              </w:rPr>
              <w:t>96008</w:t>
            </w:r>
          </w:p>
        </w:tc>
      </w:tr>
      <w:tr w14:paraId="64D177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5F194AF">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6401BED7">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2899CA59">
            <w:pPr>
              <w:spacing w:line="200" w:lineRule="exact"/>
            </w:pPr>
            <w:r>
              <w:rPr>
                <w:rFonts w:ascii="方正黑体_GBK" w:hAnsi="方正黑体_GBK" w:eastAsia="方正黑体_GBK" w:cs="宋体"/>
                <w:sz w:val="15"/>
                <w:szCs w:val="20"/>
              </w:rPr>
              <w:t>96008</w:t>
            </w:r>
          </w:p>
        </w:tc>
      </w:tr>
      <w:tr w14:paraId="22608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69FABCB">
            <w:pPr>
              <w:spacing w:line="200" w:lineRule="exact"/>
            </w:pPr>
            <w:r>
              <w:rPr>
                <w:rFonts w:ascii="方正黑体_GBK" w:hAnsi="方正黑体_GBK" w:eastAsia="方正黑体_GBK" w:cs="宋体"/>
                <w:sz w:val="15"/>
                <w:szCs w:val="20"/>
              </w:rPr>
              <w:t>广东顺德农村商业银行股份有限公司</w:t>
            </w:r>
          </w:p>
        </w:tc>
        <w:tc>
          <w:tcPr>
            <w:tcW w:w="4050" w:type="dxa"/>
            <w:tcMar>
              <w:left w:w="120" w:type="dxa"/>
            </w:tcMar>
            <w:vAlign w:val="center"/>
          </w:tcPr>
          <w:p w14:paraId="574375AC">
            <w:pPr>
              <w:spacing w:line="200" w:lineRule="exact"/>
            </w:pPr>
            <w:r>
              <w:rPr>
                <w:rFonts w:ascii="方正黑体_GBK" w:hAnsi="方正黑体_GBK" w:eastAsia="方正黑体_GBK" w:cs="宋体"/>
                <w:sz w:val="15"/>
                <w:szCs w:val="20"/>
              </w:rPr>
              <w:t>广东省佛山市顺德区大良街道德和社区兴业路8号</w:t>
            </w:r>
          </w:p>
        </w:tc>
        <w:tc>
          <w:tcPr>
            <w:tcW w:w="1350" w:type="dxa"/>
            <w:tcMar>
              <w:left w:w="120" w:type="dxa"/>
            </w:tcMar>
            <w:vAlign w:val="center"/>
          </w:tcPr>
          <w:p w14:paraId="5669D577">
            <w:pPr>
              <w:spacing w:line="200" w:lineRule="exact"/>
            </w:pPr>
            <w:r>
              <w:rPr>
                <w:rFonts w:ascii="方正黑体_GBK" w:hAnsi="方正黑体_GBK" w:eastAsia="方正黑体_GBK" w:cs="宋体"/>
                <w:sz w:val="15"/>
                <w:szCs w:val="20"/>
              </w:rPr>
              <w:t>0757-22223388</w:t>
            </w:r>
          </w:p>
        </w:tc>
      </w:tr>
      <w:tr w14:paraId="14455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65FE82B">
            <w:pPr>
              <w:spacing w:line="200" w:lineRule="exact"/>
            </w:pPr>
            <w:r>
              <w:rPr>
                <w:rFonts w:ascii="方正黑体_GBK" w:hAnsi="方正黑体_GBK" w:eastAsia="方正黑体_GBK" w:cs="宋体"/>
                <w:sz w:val="15"/>
                <w:szCs w:val="20"/>
              </w:rPr>
              <w:t>枣庄银行股份有限公司</w:t>
            </w:r>
          </w:p>
        </w:tc>
        <w:tc>
          <w:tcPr>
            <w:tcW w:w="4050" w:type="dxa"/>
            <w:tcMar>
              <w:left w:w="120" w:type="dxa"/>
            </w:tcMar>
            <w:vAlign w:val="center"/>
          </w:tcPr>
          <w:p w14:paraId="0918C6B2">
            <w:pPr>
              <w:spacing w:line="200" w:lineRule="exact"/>
            </w:pPr>
            <w:r>
              <w:rPr>
                <w:rFonts w:ascii="方正黑体_GBK" w:hAnsi="方正黑体_GBK" w:eastAsia="方正黑体_GBK" w:cs="宋体"/>
                <w:sz w:val="15"/>
                <w:szCs w:val="20"/>
              </w:rPr>
              <w:t>山东省枣庄市薛城区光明大道1666号</w:t>
            </w:r>
          </w:p>
        </w:tc>
        <w:tc>
          <w:tcPr>
            <w:tcW w:w="1350" w:type="dxa"/>
            <w:tcMar>
              <w:left w:w="120" w:type="dxa"/>
            </w:tcMar>
            <w:vAlign w:val="center"/>
          </w:tcPr>
          <w:p w14:paraId="1C6A978E">
            <w:pPr>
              <w:spacing w:line="200" w:lineRule="exact"/>
            </w:pPr>
            <w:r>
              <w:rPr>
                <w:rFonts w:ascii="方正黑体_GBK" w:hAnsi="方正黑体_GBK" w:eastAsia="方正黑体_GBK" w:cs="宋体"/>
                <w:sz w:val="15"/>
                <w:szCs w:val="20"/>
              </w:rPr>
              <w:t>4008196588</w:t>
            </w:r>
          </w:p>
        </w:tc>
      </w:tr>
      <w:tr w14:paraId="21D54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0B8E878">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6E6599DE">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39552D24">
            <w:pPr>
              <w:spacing w:line="200" w:lineRule="exact"/>
            </w:pPr>
            <w:r>
              <w:rPr>
                <w:rFonts w:ascii="方正黑体_GBK" w:hAnsi="方正黑体_GBK" w:eastAsia="方正黑体_GBK" w:cs="宋体"/>
                <w:sz w:val="15"/>
                <w:szCs w:val="20"/>
              </w:rPr>
              <w:t>0898-66505978</w:t>
            </w:r>
          </w:p>
        </w:tc>
      </w:tr>
      <w:tr w14:paraId="5DCF65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4617F5">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36432294">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65BC9EE7">
            <w:pPr>
              <w:spacing w:line="200" w:lineRule="exact"/>
            </w:pPr>
            <w:r>
              <w:rPr>
                <w:rFonts w:ascii="方正黑体_GBK" w:hAnsi="方正黑体_GBK" w:eastAsia="方正黑体_GBK" w:cs="宋体"/>
                <w:sz w:val="15"/>
                <w:szCs w:val="20"/>
              </w:rPr>
              <w:t>96008</w:t>
            </w:r>
          </w:p>
        </w:tc>
      </w:tr>
      <w:tr w14:paraId="63FDD2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D545790">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3E6FD9FF">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28048BBF">
            <w:pPr>
              <w:spacing w:line="200" w:lineRule="exact"/>
            </w:pPr>
            <w:r>
              <w:rPr>
                <w:rFonts w:ascii="方正黑体_GBK" w:hAnsi="方正黑体_GBK" w:eastAsia="方正黑体_GBK" w:cs="宋体"/>
                <w:sz w:val="15"/>
                <w:szCs w:val="20"/>
              </w:rPr>
              <w:t>96008</w:t>
            </w:r>
          </w:p>
        </w:tc>
      </w:tr>
      <w:tr w14:paraId="6AF5A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3F45C4B">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24C51339">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204AB148">
            <w:pPr>
              <w:spacing w:line="200" w:lineRule="exact"/>
            </w:pPr>
            <w:r>
              <w:rPr>
                <w:rFonts w:ascii="方正黑体_GBK" w:hAnsi="方正黑体_GBK" w:eastAsia="方正黑体_GBK" w:cs="宋体"/>
                <w:sz w:val="15"/>
                <w:szCs w:val="20"/>
              </w:rPr>
              <w:t>96008</w:t>
            </w:r>
          </w:p>
        </w:tc>
      </w:tr>
      <w:tr w14:paraId="608C4B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E740873">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31639F72">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01611F05">
            <w:pPr>
              <w:spacing w:line="200" w:lineRule="exact"/>
            </w:pPr>
            <w:r>
              <w:rPr>
                <w:rFonts w:ascii="方正黑体_GBK" w:hAnsi="方正黑体_GBK" w:eastAsia="方正黑体_GBK" w:cs="宋体"/>
                <w:sz w:val="15"/>
                <w:szCs w:val="20"/>
              </w:rPr>
              <w:t>96008</w:t>
            </w:r>
          </w:p>
        </w:tc>
      </w:tr>
      <w:tr w14:paraId="62CD4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B29989">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17F400C4">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074B70BB">
            <w:pPr>
              <w:spacing w:line="200" w:lineRule="exact"/>
            </w:pPr>
            <w:r>
              <w:rPr>
                <w:rFonts w:ascii="方正黑体_GBK" w:hAnsi="方正黑体_GBK" w:eastAsia="方正黑体_GBK" w:cs="宋体"/>
                <w:sz w:val="15"/>
                <w:szCs w:val="20"/>
              </w:rPr>
              <w:t>96008</w:t>
            </w:r>
          </w:p>
        </w:tc>
      </w:tr>
      <w:tr w14:paraId="56558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37EDEB">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3549EF38">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10D4A4ED">
            <w:pPr>
              <w:spacing w:line="200" w:lineRule="exact"/>
            </w:pPr>
            <w:r>
              <w:rPr>
                <w:rFonts w:ascii="方正黑体_GBK" w:hAnsi="方正黑体_GBK" w:eastAsia="方正黑体_GBK" w:cs="宋体"/>
                <w:sz w:val="15"/>
                <w:szCs w:val="20"/>
              </w:rPr>
              <w:t>96065</w:t>
            </w:r>
          </w:p>
        </w:tc>
      </w:tr>
      <w:tr w14:paraId="39653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D1A9457">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5C37D495">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7942CC98">
            <w:pPr>
              <w:spacing w:line="200" w:lineRule="exact"/>
            </w:pPr>
            <w:r>
              <w:rPr>
                <w:rFonts w:ascii="方正黑体_GBK" w:hAnsi="方正黑体_GBK" w:eastAsia="方正黑体_GBK" w:cs="宋体"/>
                <w:sz w:val="15"/>
                <w:szCs w:val="20"/>
              </w:rPr>
              <w:t>96078</w:t>
            </w:r>
          </w:p>
        </w:tc>
      </w:tr>
      <w:tr w14:paraId="22C8AC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BA71AD5">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67911AD2">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5E08AAFD">
            <w:pPr>
              <w:spacing w:line="200" w:lineRule="exact"/>
            </w:pPr>
            <w:r>
              <w:rPr>
                <w:rFonts w:ascii="方正黑体_GBK" w:hAnsi="方正黑体_GBK" w:eastAsia="方正黑体_GBK" w:cs="宋体"/>
                <w:sz w:val="15"/>
                <w:szCs w:val="20"/>
              </w:rPr>
              <w:t>96008</w:t>
            </w:r>
          </w:p>
        </w:tc>
      </w:tr>
      <w:tr w14:paraId="1130F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0BD3440">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000AF45F">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6A6B1DA7">
            <w:pPr>
              <w:spacing w:line="200" w:lineRule="exact"/>
            </w:pPr>
            <w:r>
              <w:rPr>
                <w:rFonts w:ascii="方正黑体_GBK" w:hAnsi="方正黑体_GBK" w:eastAsia="方正黑体_GBK" w:cs="宋体"/>
                <w:sz w:val="15"/>
                <w:szCs w:val="20"/>
              </w:rPr>
              <w:t>96008</w:t>
            </w:r>
          </w:p>
        </w:tc>
      </w:tr>
      <w:tr w14:paraId="78CECA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B7FE83">
            <w:pPr>
              <w:spacing w:line="200" w:lineRule="exact"/>
            </w:pPr>
            <w:r>
              <w:rPr>
                <w:rFonts w:ascii="方正黑体_GBK" w:hAnsi="方正黑体_GBK" w:eastAsia="方正黑体_GBK" w:cs="宋体"/>
                <w:sz w:val="15"/>
                <w:szCs w:val="20"/>
              </w:rPr>
              <w:t>廊坊银行股份有限公司</w:t>
            </w:r>
          </w:p>
        </w:tc>
        <w:tc>
          <w:tcPr>
            <w:tcW w:w="4050" w:type="dxa"/>
            <w:tcMar>
              <w:left w:w="120" w:type="dxa"/>
            </w:tcMar>
            <w:vAlign w:val="center"/>
          </w:tcPr>
          <w:p w14:paraId="5C52977D">
            <w:pPr>
              <w:spacing w:line="200" w:lineRule="exact"/>
            </w:pPr>
            <w:r>
              <w:rPr>
                <w:rFonts w:ascii="方正黑体_GBK" w:hAnsi="方正黑体_GBK" w:eastAsia="方正黑体_GBK" w:cs="宋体"/>
                <w:sz w:val="15"/>
                <w:szCs w:val="20"/>
              </w:rPr>
              <w:t>河北省廊坊市广阳区广阳道 31 号</w:t>
            </w:r>
          </w:p>
        </w:tc>
        <w:tc>
          <w:tcPr>
            <w:tcW w:w="1350" w:type="dxa"/>
            <w:tcMar>
              <w:left w:w="120" w:type="dxa"/>
            </w:tcMar>
            <w:vAlign w:val="center"/>
          </w:tcPr>
          <w:p w14:paraId="29C0D0C1">
            <w:pPr>
              <w:spacing w:line="200" w:lineRule="exact"/>
            </w:pPr>
            <w:r>
              <w:rPr>
                <w:rFonts w:ascii="方正黑体_GBK" w:hAnsi="方正黑体_GBK" w:eastAsia="方正黑体_GBK" w:cs="宋体"/>
                <w:sz w:val="15"/>
                <w:szCs w:val="20"/>
              </w:rPr>
              <w:t>400-620-0099</w:t>
            </w:r>
          </w:p>
        </w:tc>
      </w:tr>
      <w:tr w14:paraId="613ED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BD9C03E">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03CB69E0">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7634B1F0">
            <w:pPr>
              <w:spacing w:line="200" w:lineRule="exact"/>
            </w:pPr>
            <w:r>
              <w:rPr>
                <w:rFonts w:ascii="方正黑体_GBK" w:hAnsi="方正黑体_GBK" w:eastAsia="方正黑体_GBK" w:cs="宋体"/>
                <w:sz w:val="15"/>
                <w:szCs w:val="20"/>
              </w:rPr>
              <w:t>0991-96518</w:t>
            </w:r>
          </w:p>
        </w:tc>
      </w:tr>
      <w:tr w14:paraId="334BF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15A47D7">
            <w:pPr>
              <w:spacing w:line="200" w:lineRule="exact"/>
            </w:pPr>
            <w:r>
              <w:rPr>
                <w:rFonts w:ascii="方正黑体_GBK" w:hAnsi="方正黑体_GBK" w:eastAsia="方正黑体_GBK" w:cs="宋体"/>
                <w:sz w:val="15"/>
                <w:szCs w:val="20"/>
              </w:rPr>
              <w:t>徽商银行股份有限公司</w:t>
            </w:r>
          </w:p>
        </w:tc>
        <w:tc>
          <w:tcPr>
            <w:tcW w:w="4050" w:type="dxa"/>
            <w:tcMar>
              <w:left w:w="120" w:type="dxa"/>
            </w:tcMar>
            <w:vAlign w:val="center"/>
          </w:tcPr>
          <w:p w14:paraId="609C495B">
            <w:pPr>
              <w:spacing w:line="200" w:lineRule="exact"/>
            </w:pPr>
            <w:r>
              <w:rPr>
                <w:rFonts w:ascii="方正黑体_GBK" w:hAnsi="方正黑体_GBK" w:eastAsia="方正黑体_GBK" w:cs="宋体"/>
                <w:sz w:val="15"/>
                <w:szCs w:val="20"/>
              </w:rPr>
              <w:t>安徽省合肥市云谷路1699号徽银大厦</w:t>
            </w:r>
          </w:p>
        </w:tc>
        <w:tc>
          <w:tcPr>
            <w:tcW w:w="1350" w:type="dxa"/>
            <w:tcMar>
              <w:left w:w="120" w:type="dxa"/>
            </w:tcMar>
            <w:vAlign w:val="center"/>
          </w:tcPr>
          <w:p w14:paraId="6F183818">
            <w:pPr>
              <w:spacing w:line="200" w:lineRule="exact"/>
            </w:pPr>
            <w:r>
              <w:rPr>
                <w:rFonts w:ascii="方正黑体_GBK" w:hAnsi="方正黑体_GBK" w:eastAsia="方正黑体_GBK" w:cs="宋体"/>
                <w:sz w:val="15"/>
                <w:szCs w:val="20"/>
              </w:rPr>
              <w:t>40088-96588</w:t>
            </w:r>
          </w:p>
        </w:tc>
      </w:tr>
      <w:tr w14:paraId="346904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EAE747D">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53372544">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5B8B7FE9">
            <w:pPr>
              <w:spacing w:line="200" w:lineRule="exact"/>
            </w:pPr>
            <w:r>
              <w:rPr>
                <w:rFonts w:ascii="方正黑体_GBK" w:hAnsi="方正黑体_GBK" w:eastAsia="方正黑体_GBK" w:cs="宋体"/>
                <w:sz w:val="15"/>
                <w:szCs w:val="20"/>
              </w:rPr>
              <w:t>95097</w:t>
            </w:r>
          </w:p>
        </w:tc>
      </w:tr>
      <w:tr w14:paraId="2EC97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FADABBC">
            <w:pPr>
              <w:spacing w:line="200" w:lineRule="exact"/>
            </w:pPr>
            <w:r>
              <w:rPr>
                <w:rFonts w:ascii="方正黑体_GBK" w:hAnsi="方正黑体_GBK" w:eastAsia="方正黑体_GBK" w:cs="宋体"/>
                <w:sz w:val="15"/>
                <w:szCs w:val="20"/>
              </w:rPr>
              <w:t>江苏姜堰农村商业银行股份有限公司</w:t>
            </w:r>
          </w:p>
        </w:tc>
        <w:tc>
          <w:tcPr>
            <w:tcW w:w="4050" w:type="dxa"/>
            <w:tcMar>
              <w:left w:w="120" w:type="dxa"/>
            </w:tcMar>
            <w:vAlign w:val="center"/>
          </w:tcPr>
          <w:p w14:paraId="5206BB91">
            <w:pPr>
              <w:spacing w:line="200" w:lineRule="exact"/>
            </w:pPr>
            <w:r>
              <w:rPr>
                <w:rFonts w:ascii="方正黑体_GBK" w:hAnsi="方正黑体_GBK" w:eastAsia="方正黑体_GBK" w:cs="宋体"/>
                <w:sz w:val="15"/>
                <w:szCs w:val="20"/>
              </w:rPr>
              <w:t>泰州市姜堰区姜堰大道128号</w:t>
            </w:r>
          </w:p>
        </w:tc>
        <w:tc>
          <w:tcPr>
            <w:tcW w:w="1350" w:type="dxa"/>
            <w:tcMar>
              <w:left w:w="120" w:type="dxa"/>
            </w:tcMar>
            <w:vAlign w:val="center"/>
          </w:tcPr>
          <w:p w14:paraId="2AF653ED">
            <w:pPr>
              <w:spacing w:line="200" w:lineRule="exact"/>
            </w:pPr>
            <w:r>
              <w:rPr>
                <w:rFonts w:ascii="方正黑体_GBK" w:hAnsi="方正黑体_GBK" w:eastAsia="方正黑体_GBK" w:cs="宋体"/>
                <w:sz w:val="15"/>
                <w:szCs w:val="20"/>
              </w:rPr>
              <w:t>96008</w:t>
            </w:r>
          </w:p>
        </w:tc>
      </w:tr>
      <w:tr w14:paraId="3A7B5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DF7CEA">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4B048774">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54E2AC9D">
            <w:pPr>
              <w:spacing w:line="200" w:lineRule="exact"/>
            </w:pPr>
            <w:r>
              <w:rPr>
                <w:rFonts w:ascii="方正黑体_GBK" w:hAnsi="方正黑体_GBK" w:eastAsia="方正黑体_GBK" w:cs="宋体"/>
                <w:sz w:val="15"/>
                <w:szCs w:val="20"/>
              </w:rPr>
              <w:t>0351-96588</w:t>
            </w:r>
          </w:p>
        </w:tc>
      </w:tr>
      <w:tr w14:paraId="1A38E3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8484BAD">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3CA8EE19">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130A144B">
            <w:pPr>
              <w:spacing w:line="200" w:lineRule="exact"/>
            </w:pPr>
            <w:r>
              <w:rPr>
                <w:rFonts w:ascii="方正黑体_GBK" w:hAnsi="方正黑体_GBK" w:eastAsia="方正黑体_GBK" w:cs="宋体"/>
                <w:sz w:val="15"/>
                <w:szCs w:val="20"/>
              </w:rPr>
              <w:t>96008</w:t>
            </w:r>
          </w:p>
        </w:tc>
      </w:tr>
      <w:tr w14:paraId="7C5BCE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B89277">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5620A4F3">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2E6946A6">
            <w:pPr>
              <w:spacing w:line="200" w:lineRule="exact"/>
            </w:pPr>
            <w:r>
              <w:rPr>
                <w:rFonts w:ascii="方正黑体_GBK" w:hAnsi="方正黑体_GBK" w:eastAsia="方正黑体_GBK" w:cs="宋体"/>
                <w:sz w:val="15"/>
                <w:szCs w:val="20"/>
              </w:rPr>
              <w:t>010-66426500</w:t>
            </w:r>
          </w:p>
        </w:tc>
      </w:tr>
      <w:tr w14:paraId="1C2D6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C5FED9A">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47AE8558">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7EC17EDE">
            <w:pPr>
              <w:spacing w:line="200" w:lineRule="exact"/>
            </w:pPr>
            <w:r>
              <w:rPr>
                <w:rFonts w:ascii="方正黑体_GBK" w:hAnsi="方正黑体_GBK" w:eastAsia="方正黑体_GBK" w:cs="宋体"/>
                <w:sz w:val="15"/>
                <w:szCs w:val="20"/>
              </w:rPr>
              <w:t>96008</w:t>
            </w:r>
          </w:p>
        </w:tc>
      </w:tr>
      <w:tr w14:paraId="17437A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BDC7C87">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425E30C5">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0DA82455">
            <w:pPr>
              <w:spacing w:line="200" w:lineRule="exact"/>
            </w:pPr>
            <w:r>
              <w:rPr>
                <w:rFonts w:ascii="方正黑体_GBK" w:hAnsi="方正黑体_GBK" w:eastAsia="方正黑体_GBK" w:cs="宋体"/>
                <w:sz w:val="15"/>
                <w:szCs w:val="20"/>
              </w:rPr>
              <w:t>96008</w:t>
            </w:r>
          </w:p>
        </w:tc>
      </w:tr>
      <w:tr w14:paraId="1D764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5B83A7B">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24DFEF9B">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4448790D">
            <w:pPr>
              <w:spacing w:line="200" w:lineRule="exact"/>
            </w:pPr>
            <w:r>
              <w:rPr>
                <w:rFonts w:ascii="方正黑体_GBK" w:hAnsi="方正黑体_GBK" w:eastAsia="方正黑体_GBK" w:cs="宋体"/>
                <w:sz w:val="15"/>
                <w:szCs w:val="20"/>
              </w:rPr>
              <w:t>96799</w:t>
            </w:r>
          </w:p>
        </w:tc>
      </w:tr>
      <w:tr w14:paraId="02D1B9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44E99A3">
            <w:pPr>
              <w:spacing w:line="200" w:lineRule="exact"/>
            </w:pPr>
            <w:r>
              <w:rPr>
                <w:rFonts w:ascii="方正黑体_GBK" w:hAnsi="方正黑体_GBK" w:eastAsia="方正黑体_GBK" w:cs="宋体"/>
                <w:sz w:val="15"/>
                <w:szCs w:val="20"/>
              </w:rPr>
              <w:t>江苏灌南农村商业银行股份有限公司</w:t>
            </w:r>
          </w:p>
        </w:tc>
        <w:tc>
          <w:tcPr>
            <w:tcW w:w="4050" w:type="dxa"/>
            <w:tcMar>
              <w:left w:w="120" w:type="dxa"/>
            </w:tcMar>
            <w:vAlign w:val="center"/>
          </w:tcPr>
          <w:p w14:paraId="0ACA203C">
            <w:pPr>
              <w:spacing w:line="200" w:lineRule="exact"/>
            </w:pPr>
            <w:r>
              <w:rPr>
                <w:rFonts w:ascii="方正黑体_GBK" w:hAnsi="方正黑体_GBK" w:eastAsia="方正黑体_GBK" w:cs="宋体"/>
                <w:sz w:val="15"/>
                <w:szCs w:val="20"/>
              </w:rPr>
              <w:t>江苏省连云港市灌南县人民路29号</w:t>
            </w:r>
          </w:p>
        </w:tc>
        <w:tc>
          <w:tcPr>
            <w:tcW w:w="1350" w:type="dxa"/>
            <w:tcMar>
              <w:left w:w="120" w:type="dxa"/>
            </w:tcMar>
            <w:vAlign w:val="center"/>
          </w:tcPr>
          <w:p w14:paraId="6BA01610">
            <w:pPr>
              <w:spacing w:line="200" w:lineRule="exact"/>
            </w:pPr>
            <w:r>
              <w:rPr>
                <w:rFonts w:ascii="方正黑体_GBK" w:hAnsi="方正黑体_GBK" w:eastAsia="方正黑体_GBK" w:cs="宋体"/>
                <w:sz w:val="15"/>
                <w:szCs w:val="20"/>
              </w:rPr>
              <w:t>96008</w:t>
            </w:r>
          </w:p>
        </w:tc>
      </w:tr>
      <w:tr w14:paraId="440AD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2C20E9">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4AB3CE12">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0E32977D">
            <w:pPr>
              <w:spacing w:line="200" w:lineRule="exact"/>
            </w:pPr>
            <w:r>
              <w:rPr>
                <w:rFonts w:ascii="方正黑体_GBK" w:hAnsi="方正黑体_GBK" w:eastAsia="方正黑体_GBK" w:cs="宋体"/>
                <w:sz w:val="15"/>
                <w:szCs w:val="20"/>
              </w:rPr>
              <w:t>0546-96588/400-6296588</w:t>
            </w:r>
          </w:p>
        </w:tc>
      </w:tr>
      <w:tr w14:paraId="5A350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5167434">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7D1FFAEC">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30E1CA22">
            <w:pPr>
              <w:spacing w:line="200" w:lineRule="exact"/>
            </w:pPr>
            <w:r>
              <w:rPr>
                <w:rFonts w:ascii="方正黑体_GBK" w:hAnsi="方正黑体_GBK" w:eastAsia="方正黑体_GBK" w:cs="宋体"/>
                <w:sz w:val="15"/>
                <w:szCs w:val="20"/>
              </w:rPr>
              <w:t>96008</w:t>
            </w:r>
          </w:p>
        </w:tc>
      </w:tr>
      <w:tr w14:paraId="0ED89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341247D">
            <w:pPr>
              <w:spacing w:line="200" w:lineRule="exact"/>
            </w:pPr>
            <w:r>
              <w:rPr>
                <w:rFonts w:ascii="方正黑体_GBK" w:hAnsi="方正黑体_GBK" w:eastAsia="方正黑体_GBK" w:cs="宋体"/>
                <w:sz w:val="15"/>
                <w:szCs w:val="20"/>
              </w:rPr>
              <w:t>交通银行股份有限公司</w:t>
            </w:r>
          </w:p>
        </w:tc>
        <w:tc>
          <w:tcPr>
            <w:tcW w:w="4050" w:type="dxa"/>
            <w:tcMar>
              <w:left w:w="120" w:type="dxa"/>
            </w:tcMar>
            <w:vAlign w:val="center"/>
          </w:tcPr>
          <w:p w14:paraId="7BEE329A">
            <w:pPr>
              <w:spacing w:line="200" w:lineRule="exact"/>
            </w:pPr>
            <w:r>
              <w:rPr>
                <w:rFonts w:ascii="方正黑体_GBK" w:hAnsi="方正黑体_GBK" w:eastAsia="方正黑体_GBK" w:cs="宋体"/>
                <w:sz w:val="15"/>
                <w:szCs w:val="20"/>
              </w:rPr>
              <w:t>上海市浦东新区银城中路188号</w:t>
            </w:r>
          </w:p>
        </w:tc>
        <w:tc>
          <w:tcPr>
            <w:tcW w:w="1350" w:type="dxa"/>
            <w:tcMar>
              <w:left w:w="120" w:type="dxa"/>
            </w:tcMar>
            <w:vAlign w:val="center"/>
          </w:tcPr>
          <w:p w14:paraId="00C2C31E">
            <w:pPr>
              <w:spacing w:line="200" w:lineRule="exact"/>
            </w:pPr>
            <w:r>
              <w:rPr>
                <w:rFonts w:ascii="方正黑体_GBK" w:hAnsi="方正黑体_GBK" w:eastAsia="方正黑体_GBK" w:cs="宋体"/>
                <w:sz w:val="15"/>
                <w:szCs w:val="20"/>
              </w:rPr>
              <w:t>95559</w:t>
            </w:r>
          </w:p>
        </w:tc>
      </w:tr>
      <w:tr w14:paraId="3E1E35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5D8D16">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57653EB5">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67D1FFFF">
            <w:pPr>
              <w:spacing w:line="200" w:lineRule="exact"/>
            </w:pPr>
            <w:r>
              <w:rPr>
                <w:rFonts w:ascii="方正黑体_GBK" w:hAnsi="方正黑体_GBK" w:eastAsia="方正黑体_GBK" w:cs="宋体"/>
                <w:sz w:val="15"/>
                <w:szCs w:val="20"/>
              </w:rPr>
              <w:t>96666</w:t>
            </w:r>
          </w:p>
        </w:tc>
      </w:tr>
      <w:tr w14:paraId="2FD9E4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5AC07D3">
            <w:pPr>
              <w:spacing w:line="200" w:lineRule="exact"/>
            </w:pPr>
            <w:r>
              <w:rPr>
                <w:rFonts w:ascii="方正黑体_GBK" w:hAnsi="方正黑体_GBK" w:eastAsia="方正黑体_GBK" w:cs="宋体"/>
                <w:sz w:val="15"/>
                <w:szCs w:val="20"/>
              </w:rPr>
              <w:t>中国银行股份有限公司</w:t>
            </w:r>
          </w:p>
        </w:tc>
        <w:tc>
          <w:tcPr>
            <w:tcW w:w="4050" w:type="dxa"/>
            <w:tcMar>
              <w:left w:w="120" w:type="dxa"/>
            </w:tcMar>
            <w:vAlign w:val="center"/>
          </w:tcPr>
          <w:p w14:paraId="090AD5AD">
            <w:pPr>
              <w:spacing w:line="200" w:lineRule="exact"/>
            </w:pPr>
            <w:r>
              <w:rPr>
                <w:rFonts w:ascii="方正黑体_GBK" w:hAnsi="方正黑体_GBK" w:eastAsia="方正黑体_GBK" w:cs="宋体"/>
                <w:sz w:val="15"/>
                <w:szCs w:val="20"/>
              </w:rPr>
              <w:t>北京市西城区复兴门内大街 1 号</w:t>
            </w:r>
          </w:p>
        </w:tc>
        <w:tc>
          <w:tcPr>
            <w:tcW w:w="1350" w:type="dxa"/>
            <w:tcMar>
              <w:left w:w="120" w:type="dxa"/>
            </w:tcMar>
            <w:vAlign w:val="center"/>
          </w:tcPr>
          <w:p w14:paraId="5274205C">
            <w:pPr>
              <w:spacing w:line="200" w:lineRule="exact"/>
            </w:pPr>
            <w:r>
              <w:rPr>
                <w:rFonts w:ascii="方正黑体_GBK" w:hAnsi="方正黑体_GBK" w:eastAsia="方正黑体_GBK" w:cs="宋体"/>
                <w:sz w:val="15"/>
                <w:szCs w:val="20"/>
              </w:rPr>
              <w:t>95566</w:t>
            </w:r>
          </w:p>
        </w:tc>
      </w:tr>
      <w:tr w14:paraId="3AA37F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43B1624">
            <w:pPr>
              <w:spacing w:line="200" w:lineRule="exact"/>
            </w:pPr>
            <w:r>
              <w:rPr>
                <w:rFonts w:ascii="方正黑体_GBK" w:hAnsi="方正黑体_GBK" w:eastAsia="方正黑体_GBK" w:cs="宋体"/>
                <w:sz w:val="15"/>
                <w:szCs w:val="20"/>
              </w:rPr>
              <w:t>台州银行股份有限公司</w:t>
            </w:r>
          </w:p>
        </w:tc>
        <w:tc>
          <w:tcPr>
            <w:tcW w:w="4050" w:type="dxa"/>
            <w:tcMar>
              <w:left w:w="120" w:type="dxa"/>
            </w:tcMar>
            <w:vAlign w:val="center"/>
          </w:tcPr>
          <w:p w14:paraId="75D55675">
            <w:pPr>
              <w:spacing w:line="200" w:lineRule="exact"/>
            </w:pPr>
            <w:r>
              <w:rPr>
                <w:rFonts w:ascii="方正黑体_GBK" w:hAnsi="方正黑体_GBK" w:eastAsia="方正黑体_GBK" w:cs="宋体"/>
                <w:sz w:val="15"/>
                <w:szCs w:val="20"/>
              </w:rPr>
              <w:t>浙江省台州市路桥区南官大道92号</w:t>
            </w:r>
          </w:p>
        </w:tc>
        <w:tc>
          <w:tcPr>
            <w:tcW w:w="1350" w:type="dxa"/>
            <w:tcMar>
              <w:left w:w="120" w:type="dxa"/>
            </w:tcMar>
            <w:vAlign w:val="center"/>
          </w:tcPr>
          <w:p w14:paraId="2F0234C5">
            <w:pPr>
              <w:spacing w:line="200" w:lineRule="exact"/>
            </w:pPr>
            <w:r>
              <w:rPr>
                <w:rFonts w:ascii="方正黑体_GBK" w:hAnsi="方正黑体_GBK" w:eastAsia="方正黑体_GBK" w:cs="宋体"/>
                <w:sz w:val="15"/>
                <w:szCs w:val="20"/>
              </w:rPr>
              <w:t>95371</w:t>
            </w:r>
          </w:p>
        </w:tc>
      </w:tr>
      <w:tr w14:paraId="5D571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9DCA839">
            <w:pPr>
              <w:spacing w:line="200" w:lineRule="exact"/>
            </w:pPr>
            <w:r>
              <w:rPr>
                <w:rFonts w:ascii="方正黑体_GBK" w:hAnsi="方正黑体_GBK" w:eastAsia="方正黑体_GBK" w:cs="宋体"/>
                <w:sz w:val="15"/>
                <w:szCs w:val="20"/>
              </w:rPr>
              <w:t>浙江民泰商业银行股份有限公司</w:t>
            </w:r>
          </w:p>
        </w:tc>
        <w:tc>
          <w:tcPr>
            <w:tcW w:w="4050" w:type="dxa"/>
            <w:tcMar>
              <w:left w:w="120" w:type="dxa"/>
            </w:tcMar>
            <w:vAlign w:val="center"/>
          </w:tcPr>
          <w:p w14:paraId="16D11D70">
            <w:pPr>
              <w:spacing w:line="200" w:lineRule="exact"/>
            </w:pPr>
            <w:r>
              <w:rPr>
                <w:rFonts w:ascii="方正黑体_GBK" w:hAnsi="方正黑体_GBK" w:eastAsia="方正黑体_GBK" w:cs="宋体"/>
                <w:sz w:val="15"/>
                <w:szCs w:val="20"/>
              </w:rPr>
              <w:t>浙江省温岭市太平街道三星大道168号</w:t>
            </w:r>
          </w:p>
        </w:tc>
        <w:tc>
          <w:tcPr>
            <w:tcW w:w="1350" w:type="dxa"/>
            <w:tcMar>
              <w:left w:w="120" w:type="dxa"/>
            </w:tcMar>
            <w:vAlign w:val="center"/>
          </w:tcPr>
          <w:p w14:paraId="01490571">
            <w:pPr>
              <w:spacing w:line="200" w:lineRule="exact"/>
            </w:pPr>
            <w:r>
              <w:rPr>
                <w:rFonts w:ascii="方正黑体_GBK" w:hAnsi="方正黑体_GBK" w:eastAsia="方正黑体_GBK" w:cs="宋体"/>
                <w:sz w:val="15"/>
                <w:szCs w:val="20"/>
              </w:rPr>
              <w:t>95343</w:t>
            </w:r>
          </w:p>
        </w:tc>
      </w:tr>
      <w:tr w14:paraId="238C93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0D23202">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3317857D">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381B72FC">
            <w:pPr>
              <w:spacing w:line="200" w:lineRule="exact"/>
            </w:pPr>
            <w:r>
              <w:rPr>
                <w:rFonts w:ascii="方正黑体_GBK" w:hAnsi="方正黑体_GBK" w:eastAsia="方正黑体_GBK" w:cs="宋体"/>
                <w:sz w:val="15"/>
                <w:szCs w:val="20"/>
              </w:rPr>
              <w:t>96008</w:t>
            </w:r>
          </w:p>
        </w:tc>
      </w:tr>
      <w:tr w14:paraId="0A0831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612B5B0">
            <w:pPr>
              <w:spacing w:line="200" w:lineRule="exact"/>
            </w:pPr>
            <w:r>
              <w:rPr>
                <w:rFonts w:ascii="方正黑体_GBK" w:hAnsi="方正黑体_GBK" w:eastAsia="方正黑体_GBK" w:cs="宋体"/>
                <w:sz w:val="15"/>
                <w:szCs w:val="20"/>
              </w:rPr>
              <w:t>金华银行股份有限公司</w:t>
            </w:r>
          </w:p>
        </w:tc>
        <w:tc>
          <w:tcPr>
            <w:tcW w:w="4050" w:type="dxa"/>
            <w:tcMar>
              <w:left w:w="120" w:type="dxa"/>
            </w:tcMar>
            <w:vAlign w:val="center"/>
          </w:tcPr>
          <w:p w14:paraId="578734BD">
            <w:pPr>
              <w:spacing w:line="200" w:lineRule="exact"/>
            </w:pPr>
            <w:r>
              <w:rPr>
                <w:rFonts w:ascii="方正黑体_GBK" w:hAnsi="方正黑体_GBK" w:eastAsia="方正黑体_GBK" w:cs="宋体"/>
                <w:sz w:val="15"/>
                <w:szCs w:val="20"/>
              </w:rPr>
              <w:t>浙江省金华市丹溪路1388号</w:t>
            </w:r>
          </w:p>
        </w:tc>
        <w:tc>
          <w:tcPr>
            <w:tcW w:w="1350" w:type="dxa"/>
            <w:tcMar>
              <w:left w:w="120" w:type="dxa"/>
            </w:tcMar>
            <w:vAlign w:val="center"/>
          </w:tcPr>
          <w:p w14:paraId="2A0E15B0">
            <w:pPr>
              <w:spacing w:line="200" w:lineRule="exact"/>
            </w:pPr>
            <w:r>
              <w:rPr>
                <w:rFonts w:ascii="方正黑体_GBK" w:hAnsi="方正黑体_GBK" w:eastAsia="方正黑体_GBK" w:cs="宋体"/>
                <w:sz w:val="15"/>
                <w:szCs w:val="20"/>
              </w:rPr>
              <w:t>0579-96528</w:t>
            </w:r>
          </w:p>
        </w:tc>
      </w:tr>
      <w:tr w14:paraId="0D4C9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95772BA">
            <w:pPr>
              <w:spacing w:line="200" w:lineRule="exact"/>
            </w:pPr>
            <w:r>
              <w:rPr>
                <w:rFonts w:ascii="方正黑体_GBK" w:hAnsi="方正黑体_GBK" w:eastAsia="方正黑体_GBK" w:cs="宋体"/>
                <w:sz w:val="15"/>
                <w:szCs w:val="20"/>
              </w:rPr>
              <w:t>昆山鹿城村镇银行股份有限公司</w:t>
            </w:r>
          </w:p>
        </w:tc>
        <w:tc>
          <w:tcPr>
            <w:tcW w:w="4050" w:type="dxa"/>
            <w:tcMar>
              <w:left w:w="120" w:type="dxa"/>
            </w:tcMar>
            <w:vAlign w:val="center"/>
          </w:tcPr>
          <w:p w14:paraId="399D5C2E">
            <w:pPr>
              <w:spacing w:line="200" w:lineRule="exact"/>
            </w:pPr>
            <w:r>
              <w:rPr>
                <w:rFonts w:ascii="方正黑体_GBK" w:hAnsi="方正黑体_GBK" w:eastAsia="方正黑体_GBK" w:cs="宋体"/>
                <w:sz w:val="15"/>
                <w:szCs w:val="20"/>
              </w:rPr>
              <w:t>昆山市玉山镇前进西路1899号1号房</w:t>
            </w:r>
          </w:p>
        </w:tc>
        <w:tc>
          <w:tcPr>
            <w:tcW w:w="1350" w:type="dxa"/>
            <w:tcMar>
              <w:left w:w="120" w:type="dxa"/>
            </w:tcMar>
            <w:vAlign w:val="center"/>
          </w:tcPr>
          <w:p w14:paraId="1FB9B0E3">
            <w:pPr>
              <w:spacing w:line="200" w:lineRule="exact"/>
            </w:pPr>
            <w:r>
              <w:rPr>
                <w:rFonts w:ascii="方正黑体_GBK" w:hAnsi="方正黑体_GBK" w:eastAsia="方正黑体_GBK" w:cs="宋体"/>
                <w:sz w:val="15"/>
                <w:szCs w:val="20"/>
              </w:rPr>
              <w:t>0512-962077</w:t>
            </w:r>
          </w:p>
        </w:tc>
      </w:tr>
      <w:tr w14:paraId="493BBF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1452AC">
            <w:pPr>
              <w:spacing w:line="200" w:lineRule="exact"/>
            </w:pPr>
            <w:r>
              <w:rPr>
                <w:rFonts w:ascii="方正黑体_GBK" w:hAnsi="方正黑体_GBK" w:eastAsia="方正黑体_GBK" w:cs="宋体"/>
                <w:sz w:val="15"/>
                <w:szCs w:val="20"/>
              </w:rPr>
              <w:t>成都银行股份有限公司</w:t>
            </w:r>
          </w:p>
        </w:tc>
        <w:tc>
          <w:tcPr>
            <w:tcW w:w="4050" w:type="dxa"/>
            <w:tcMar>
              <w:left w:w="120" w:type="dxa"/>
            </w:tcMar>
            <w:vAlign w:val="center"/>
          </w:tcPr>
          <w:p w14:paraId="04A35B40">
            <w:pPr>
              <w:spacing w:line="200" w:lineRule="exact"/>
            </w:pPr>
            <w:r>
              <w:rPr>
                <w:rFonts w:ascii="方正黑体_GBK" w:hAnsi="方正黑体_GBK" w:eastAsia="方正黑体_GBK" w:cs="宋体"/>
                <w:sz w:val="15"/>
                <w:szCs w:val="20"/>
              </w:rPr>
              <w:t>四川省成都市青羊区西御街 16 号</w:t>
            </w:r>
          </w:p>
        </w:tc>
        <w:tc>
          <w:tcPr>
            <w:tcW w:w="1350" w:type="dxa"/>
            <w:tcMar>
              <w:left w:w="120" w:type="dxa"/>
            </w:tcMar>
            <w:vAlign w:val="center"/>
          </w:tcPr>
          <w:p w14:paraId="07063D44">
            <w:pPr>
              <w:spacing w:line="200" w:lineRule="exact"/>
            </w:pPr>
            <w:r>
              <w:rPr>
                <w:rFonts w:ascii="方正黑体_GBK" w:hAnsi="方正黑体_GBK" w:eastAsia="方正黑体_GBK" w:cs="宋体"/>
                <w:sz w:val="15"/>
                <w:szCs w:val="20"/>
              </w:rPr>
              <w:t>95507</w:t>
            </w:r>
          </w:p>
        </w:tc>
      </w:tr>
      <w:tr w14:paraId="4A592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040DB8C">
            <w:pPr>
              <w:spacing w:line="200" w:lineRule="exact"/>
            </w:pPr>
            <w:r>
              <w:rPr>
                <w:rFonts w:ascii="方正黑体_GBK" w:hAnsi="方正黑体_GBK" w:eastAsia="方正黑体_GBK" w:cs="宋体"/>
                <w:sz w:val="15"/>
                <w:szCs w:val="20"/>
              </w:rPr>
              <w:t>湖北银行股份有限公司</w:t>
            </w:r>
          </w:p>
        </w:tc>
        <w:tc>
          <w:tcPr>
            <w:tcW w:w="4050" w:type="dxa"/>
            <w:tcMar>
              <w:left w:w="120" w:type="dxa"/>
            </w:tcMar>
            <w:vAlign w:val="center"/>
          </w:tcPr>
          <w:p w14:paraId="264B52E3">
            <w:pPr>
              <w:spacing w:line="200" w:lineRule="exact"/>
            </w:pPr>
            <w:r>
              <w:rPr>
                <w:rFonts w:ascii="方正黑体_GBK" w:hAnsi="方正黑体_GBK" w:eastAsia="方正黑体_GBK" w:cs="宋体"/>
                <w:sz w:val="15"/>
                <w:szCs w:val="20"/>
              </w:rPr>
              <w:t>武汉市武昌区水果湖街中北路86号汉街总部国际8栋</w:t>
            </w:r>
          </w:p>
        </w:tc>
        <w:tc>
          <w:tcPr>
            <w:tcW w:w="1350" w:type="dxa"/>
            <w:tcMar>
              <w:left w:w="120" w:type="dxa"/>
            </w:tcMar>
            <w:vAlign w:val="center"/>
          </w:tcPr>
          <w:p w14:paraId="5059E70B">
            <w:pPr>
              <w:spacing w:line="200" w:lineRule="exact"/>
            </w:pPr>
            <w:r>
              <w:rPr>
                <w:rFonts w:ascii="方正黑体_GBK" w:hAnsi="方正黑体_GBK" w:eastAsia="方正黑体_GBK" w:cs="宋体"/>
                <w:sz w:val="15"/>
                <w:szCs w:val="20"/>
              </w:rPr>
              <w:t>400-85-96599</w:t>
            </w:r>
          </w:p>
        </w:tc>
      </w:tr>
      <w:tr w14:paraId="1B37B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0E782A">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624BBFA4">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7C17D98B">
            <w:pPr>
              <w:spacing w:line="200" w:lineRule="exact"/>
            </w:pPr>
            <w:r>
              <w:rPr>
                <w:rFonts w:ascii="方正黑体_GBK" w:hAnsi="方正黑体_GBK" w:eastAsia="方正黑体_GBK" w:cs="宋体"/>
                <w:sz w:val="15"/>
                <w:szCs w:val="20"/>
              </w:rPr>
              <w:t>96008</w:t>
            </w:r>
          </w:p>
        </w:tc>
      </w:tr>
      <w:tr w14:paraId="655E2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576C8B">
            <w:pPr>
              <w:spacing w:line="200" w:lineRule="exact"/>
            </w:pPr>
            <w:r>
              <w:rPr>
                <w:rFonts w:ascii="方正黑体_GBK" w:hAnsi="方正黑体_GBK" w:eastAsia="方正黑体_GBK" w:cs="宋体"/>
                <w:sz w:val="15"/>
                <w:szCs w:val="20"/>
              </w:rPr>
              <w:t>德州银行股份有限公司</w:t>
            </w:r>
          </w:p>
        </w:tc>
        <w:tc>
          <w:tcPr>
            <w:tcW w:w="4050" w:type="dxa"/>
            <w:tcMar>
              <w:left w:w="120" w:type="dxa"/>
            </w:tcMar>
            <w:vAlign w:val="center"/>
          </w:tcPr>
          <w:p w14:paraId="5A7C61F6">
            <w:pPr>
              <w:spacing w:line="200" w:lineRule="exact"/>
            </w:pPr>
            <w:r>
              <w:rPr>
                <w:rFonts w:ascii="方正黑体_GBK" w:hAnsi="方正黑体_GBK" w:eastAsia="方正黑体_GBK" w:cs="宋体"/>
                <w:sz w:val="15"/>
                <w:szCs w:val="20"/>
              </w:rPr>
              <w:t>山东省德州市三八东路1266号</w:t>
            </w:r>
          </w:p>
        </w:tc>
        <w:tc>
          <w:tcPr>
            <w:tcW w:w="1350" w:type="dxa"/>
            <w:tcMar>
              <w:left w:w="120" w:type="dxa"/>
            </w:tcMar>
            <w:vAlign w:val="center"/>
          </w:tcPr>
          <w:p w14:paraId="651C05F5">
            <w:pPr>
              <w:spacing w:line="200" w:lineRule="exact"/>
            </w:pPr>
            <w:r>
              <w:rPr>
                <w:rFonts w:ascii="方正黑体_GBK" w:hAnsi="方正黑体_GBK" w:eastAsia="方正黑体_GBK" w:cs="宋体"/>
                <w:sz w:val="15"/>
                <w:szCs w:val="20"/>
              </w:rPr>
              <w:t>0534-2291695</w:t>
            </w:r>
          </w:p>
        </w:tc>
      </w:tr>
      <w:tr w14:paraId="640CD2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09B95DA">
            <w:pPr>
              <w:spacing w:line="200" w:lineRule="exact"/>
            </w:pPr>
            <w:r>
              <w:rPr>
                <w:rFonts w:ascii="方正黑体_GBK" w:hAnsi="方正黑体_GBK" w:eastAsia="方正黑体_GBK" w:cs="宋体"/>
                <w:sz w:val="15"/>
                <w:szCs w:val="20"/>
              </w:rPr>
              <w:t>北京农村商业银行股份有限公司</w:t>
            </w:r>
          </w:p>
        </w:tc>
        <w:tc>
          <w:tcPr>
            <w:tcW w:w="4050" w:type="dxa"/>
            <w:tcMar>
              <w:left w:w="120" w:type="dxa"/>
            </w:tcMar>
            <w:vAlign w:val="center"/>
          </w:tcPr>
          <w:p w14:paraId="5A55E2D0">
            <w:pPr>
              <w:spacing w:line="200" w:lineRule="exact"/>
            </w:pPr>
            <w:r>
              <w:rPr>
                <w:rFonts w:ascii="方正黑体_GBK" w:hAnsi="方正黑体_GBK" w:eastAsia="方正黑体_GBK" w:cs="宋体"/>
                <w:sz w:val="15"/>
                <w:szCs w:val="20"/>
              </w:rPr>
              <w:t>北京市西城区月坛南街1号院2号楼</w:t>
            </w:r>
          </w:p>
        </w:tc>
        <w:tc>
          <w:tcPr>
            <w:tcW w:w="1350" w:type="dxa"/>
            <w:tcMar>
              <w:left w:w="120" w:type="dxa"/>
            </w:tcMar>
            <w:vAlign w:val="center"/>
          </w:tcPr>
          <w:p w14:paraId="626950CE">
            <w:pPr>
              <w:spacing w:line="200" w:lineRule="exact"/>
            </w:pPr>
            <w:r>
              <w:rPr>
                <w:rFonts w:ascii="方正黑体_GBK" w:hAnsi="方正黑体_GBK" w:eastAsia="方正黑体_GBK" w:cs="宋体"/>
                <w:sz w:val="15"/>
                <w:szCs w:val="20"/>
              </w:rPr>
              <w:t>010-96198、4008896198</w:t>
            </w:r>
          </w:p>
        </w:tc>
      </w:tr>
      <w:tr w14:paraId="272983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7801660">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5A3C3B69">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3DD7875B">
            <w:pPr>
              <w:spacing w:line="200" w:lineRule="exact"/>
            </w:pPr>
            <w:r>
              <w:rPr>
                <w:rFonts w:ascii="方正黑体_GBK" w:hAnsi="方正黑体_GBK" w:eastAsia="方正黑体_GBK" w:cs="宋体"/>
                <w:sz w:val="15"/>
                <w:szCs w:val="20"/>
              </w:rPr>
              <w:t>021-962999</w:t>
            </w:r>
          </w:p>
        </w:tc>
      </w:tr>
      <w:tr w14:paraId="42A284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3C1FF2B">
            <w:pPr>
              <w:spacing w:line="200" w:lineRule="exact"/>
            </w:pPr>
            <w:r>
              <w:rPr>
                <w:rFonts w:ascii="方正黑体_GBK" w:hAnsi="方正黑体_GBK" w:eastAsia="方正黑体_GBK" w:cs="宋体"/>
                <w:sz w:val="15"/>
                <w:szCs w:val="20"/>
              </w:rPr>
              <w:t>长安银行股份有限公司</w:t>
            </w:r>
          </w:p>
        </w:tc>
        <w:tc>
          <w:tcPr>
            <w:tcW w:w="4050" w:type="dxa"/>
            <w:tcMar>
              <w:left w:w="120" w:type="dxa"/>
            </w:tcMar>
            <w:vAlign w:val="center"/>
          </w:tcPr>
          <w:p w14:paraId="0A83D13D">
            <w:pPr>
              <w:spacing w:line="200" w:lineRule="exact"/>
            </w:pPr>
            <w:r>
              <w:rPr>
                <w:rFonts w:ascii="方正黑体_GBK" w:hAnsi="方正黑体_GBK" w:eastAsia="方正黑体_GBK" w:cs="宋体"/>
                <w:sz w:val="15"/>
                <w:szCs w:val="20"/>
              </w:rPr>
              <w:t>西安市高新区高新四路13号1幢1单元10101室</w:t>
            </w:r>
          </w:p>
        </w:tc>
        <w:tc>
          <w:tcPr>
            <w:tcW w:w="1350" w:type="dxa"/>
            <w:tcMar>
              <w:left w:w="120" w:type="dxa"/>
            </w:tcMar>
            <w:vAlign w:val="center"/>
          </w:tcPr>
          <w:p w14:paraId="61A3A8D3">
            <w:pPr>
              <w:spacing w:line="200" w:lineRule="exact"/>
            </w:pPr>
            <w:r>
              <w:rPr>
                <w:rFonts w:ascii="方正黑体_GBK" w:hAnsi="方正黑体_GBK" w:eastAsia="方正黑体_GBK" w:cs="宋体"/>
                <w:sz w:val="15"/>
                <w:szCs w:val="20"/>
              </w:rPr>
              <w:t>029-96669</w:t>
            </w:r>
          </w:p>
        </w:tc>
      </w:tr>
      <w:tr w14:paraId="18F9F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C33BB1">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1807843B">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3541C1ED">
            <w:pPr>
              <w:spacing w:line="200" w:lineRule="exact"/>
            </w:pPr>
            <w:r>
              <w:rPr>
                <w:rFonts w:ascii="方正黑体_GBK" w:hAnsi="方正黑体_GBK" w:eastAsia="方正黑体_GBK" w:cs="宋体"/>
                <w:sz w:val="15"/>
                <w:szCs w:val="20"/>
              </w:rPr>
              <w:t>96008</w:t>
            </w:r>
          </w:p>
        </w:tc>
      </w:tr>
      <w:tr w14:paraId="37E774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6F303CD">
            <w:pPr>
              <w:spacing w:line="200" w:lineRule="exact"/>
            </w:pPr>
            <w:r>
              <w:rPr>
                <w:rFonts w:ascii="方正黑体_GBK" w:hAnsi="方正黑体_GBK" w:eastAsia="方正黑体_GBK" w:cs="宋体"/>
                <w:sz w:val="15"/>
                <w:szCs w:val="20"/>
              </w:rPr>
              <w:t>海南农村商业银行股份有限公司</w:t>
            </w:r>
          </w:p>
        </w:tc>
        <w:tc>
          <w:tcPr>
            <w:tcW w:w="4050" w:type="dxa"/>
            <w:tcMar>
              <w:left w:w="120" w:type="dxa"/>
            </w:tcMar>
            <w:vAlign w:val="center"/>
          </w:tcPr>
          <w:p w14:paraId="0B04BF07">
            <w:pPr>
              <w:spacing w:line="200" w:lineRule="exact"/>
            </w:pPr>
            <w:r>
              <w:rPr>
                <w:rFonts w:ascii="方正黑体_GBK" w:hAnsi="方正黑体_GBK" w:eastAsia="方正黑体_GBK" w:cs="宋体"/>
                <w:sz w:val="15"/>
                <w:szCs w:val="20"/>
              </w:rPr>
              <w:t>海南省海口市美兰区国兴大道5号海南大厦</w:t>
            </w:r>
          </w:p>
        </w:tc>
        <w:tc>
          <w:tcPr>
            <w:tcW w:w="1350" w:type="dxa"/>
            <w:tcMar>
              <w:left w:w="120" w:type="dxa"/>
            </w:tcMar>
            <w:vAlign w:val="center"/>
          </w:tcPr>
          <w:p w14:paraId="18BC88C9">
            <w:pPr>
              <w:spacing w:line="200" w:lineRule="exact"/>
            </w:pPr>
            <w:r>
              <w:rPr>
                <w:rFonts w:ascii="方正黑体_GBK" w:hAnsi="方正黑体_GBK" w:eastAsia="方正黑体_GBK" w:cs="宋体"/>
                <w:sz w:val="15"/>
                <w:szCs w:val="20"/>
              </w:rPr>
              <w:t>65200533</w:t>
            </w:r>
          </w:p>
        </w:tc>
      </w:tr>
      <w:tr w14:paraId="1EFBA8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52B87F6">
            <w:pPr>
              <w:spacing w:line="200" w:lineRule="exact"/>
            </w:pPr>
            <w:r>
              <w:rPr>
                <w:rFonts w:ascii="方正黑体_GBK" w:hAnsi="方正黑体_GBK" w:eastAsia="方正黑体_GBK" w:cs="宋体"/>
                <w:sz w:val="15"/>
                <w:szCs w:val="20"/>
              </w:rPr>
              <w:t>湖州银行股份有限公司</w:t>
            </w:r>
          </w:p>
        </w:tc>
        <w:tc>
          <w:tcPr>
            <w:tcW w:w="4050" w:type="dxa"/>
            <w:tcMar>
              <w:left w:w="120" w:type="dxa"/>
            </w:tcMar>
            <w:vAlign w:val="center"/>
          </w:tcPr>
          <w:p w14:paraId="22D3F277">
            <w:pPr>
              <w:spacing w:line="200" w:lineRule="exact"/>
            </w:pPr>
            <w:r>
              <w:rPr>
                <w:rFonts w:ascii="方正黑体_GBK" w:hAnsi="方正黑体_GBK" w:eastAsia="方正黑体_GBK" w:cs="宋体"/>
                <w:sz w:val="15"/>
                <w:szCs w:val="20"/>
              </w:rPr>
              <w:t>浙江省湖州市红旗路268号</w:t>
            </w:r>
          </w:p>
        </w:tc>
        <w:tc>
          <w:tcPr>
            <w:tcW w:w="1350" w:type="dxa"/>
            <w:tcMar>
              <w:left w:w="120" w:type="dxa"/>
            </w:tcMar>
            <w:vAlign w:val="center"/>
          </w:tcPr>
          <w:p w14:paraId="6B04F2A0">
            <w:pPr>
              <w:spacing w:line="200" w:lineRule="exact"/>
            </w:pPr>
            <w:r>
              <w:rPr>
                <w:rFonts w:ascii="方正黑体_GBK" w:hAnsi="方正黑体_GBK" w:eastAsia="方正黑体_GBK" w:cs="宋体"/>
                <w:sz w:val="15"/>
                <w:szCs w:val="20"/>
              </w:rPr>
              <w:t>40080-96528</w:t>
            </w:r>
          </w:p>
        </w:tc>
      </w:tr>
      <w:tr w14:paraId="2FF6B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2B80578">
            <w:pPr>
              <w:spacing w:line="200" w:lineRule="exact"/>
            </w:pPr>
            <w:r>
              <w:rPr>
                <w:rFonts w:ascii="方正黑体_GBK" w:hAnsi="方正黑体_GBK" w:eastAsia="方正黑体_GBK" w:cs="宋体"/>
                <w:sz w:val="15"/>
                <w:szCs w:val="20"/>
              </w:rPr>
              <w:t>江苏灌云农村商业银行股份有限公司</w:t>
            </w:r>
          </w:p>
        </w:tc>
        <w:tc>
          <w:tcPr>
            <w:tcW w:w="4050" w:type="dxa"/>
            <w:tcMar>
              <w:left w:w="120" w:type="dxa"/>
            </w:tcMar>
            <w:vAlign w:val="center"/>
          </w:tcPr>
          <w:p w14:paraId="39C408B2">
            <w:pPr>
              <w:spacing w:line="200" w:lineRule="exact"/>
            </w:pPr>
            <w:r>
              <w:rPr>
                <w:rFonts w:ascii="方正黑体_GBK" w:hAnsi="方正黑体_GBK" w:eastAsia="方正黑体_GBK" w:cs="宋体"/>
                <w:sz w:val="15"/>
                <w:szCs w:val="20"/>
              </w:rPr>
              <w:t>江苏省灌云县伊山镇水利路东侧（人民路与水利路交汇处）</w:t>
            </w:r>
          </w:p>
        </w:tc>
        <w:tc>
          <w:tcPr>
            <w:tcW w:w="1350" w:type="dxa"/>
            <w:tcMar>
              <w:left w:w="120" w:type="dxa"/>
            </w:tcMar>
            <w:vAlign w:val="center"/>
          </w:tcPr>
          <w:p w14:paraId="0F231BE5">
            <w:pPr>
              <w:spacing w:line="200" w:lineRule="exact"/>
            </w:pPr>
            <w:r>
              <w:rPr>
                <w:rFonts w:ascii="方正黑体_GBK" w:hAnsi="方正黑体_GBK" w:eastAsia="方正黑体_GBK" w:cs="宋体"/>
                <w:sz w:val="15"/>
                <w:szCs w:val="20"/>
              </w:rPr>
              <w:t>96008</w:t>
            </w:r>
          </w:p>
        </w:tc>
      </w:tr>
      <w:tr w14:paraId="0E6B8A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2ED2038">
            <w:pPr>
              <w:spacing w:line="200" w:lineRule="exact"/>
            </w:pPr>
            <w:r>
              <w:rPr>
                <w:rFonts w:ascii="方正黑体_GBK" w:hAnsi="方正黑体_GBK" w:eastAsia="方正黑体_GBK" w:cs="宋体"/>
                <w:sz w:val="15"/>
                <w:szCs w:val="20"/>
              </w:rPr>
              <w:t>江苏海安农村商业银行股份有限公司</w:t>
            </w:r>
          </w:p>
        </w:tc>
        <w:tc>
          <w:tcPr>
            <w:tcW w:w="4050" w:type="dxa"/>
            <w:tcMar>
              <w:left w:w="120" w:type="dxa"/>
            </w:tcMar>
            <w:vAlign w:val="center"/>
          </w:tcPr>
          <w:p w14:paraId="6127D14B">
            <w:pPr>
              <w:spacing w:line="200" w:lineRule="exact"/>
            </w:pPr>
            <w:r>
              <w:rPr>
                <w:rFonts w:ascii="方正黑体_GBK" w:hAnsi="方正黑体_GBK" w:eastAsia="方正黑体_GBK" w:cs="宋体"/>
                <w:sz w:val="15"/>
                <w:szCs w:val="20"/>
              </w:rPr>
              <w:t>江苏省海安市长江中路88号(东楼 )</w:t>
            </w:r>
          </w:p>
        </w:tc>
        <w:tc>
          <w:tcPr>
            <w:tcW w:w="1350" w:type="dxa"/>
            <w:tcMar>
              <w:left w:w="120" w:type="dxa"/>
            </w:tcMar>
            <w:vAlign w:val="center"/>
          </w:tcPr>
          <w:p w14:paraId="55DB4C0F">
            <w:pPr>
              <w:spacing w:line="200" w:lineRule="exact"/>
            </w:pPr>
            <w:r>
              <w:rPr>
                <w:rFonts w:ascii="方正黑体_GBK" w:hAnsi="方正黑体_GBK" w:eastAsia="方正黑体_GBK" w:cs="宋体"/>
                <w:sz w:val="15"/>
                <w:szCs w:val="20"/>
              </w:rPr>
              <w:t>96008</w:t>
            </w:r>
          </w:p>
        </w:tc>
      </w:tr>
      <w:tr w14:paraId="6DB4DE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908CDE">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631F58D4">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2014AAE9">
            <w:pPr>
              <w:spacing w:line="200" w:lineRule="exact"/>
            </w:pPr>
            <w:r>
              <w:rPr>
                <w:rFonts w:ascii="方正黑体_GBK" w:hAnsi="方正黑体_GBK" w:eastAsia="方正黑体_GBK" w:cs="宋体"/>
                <w:sz w:val="15"/>
                <w:szCs w:val="20"/>
              </w:rPr>
              <w:t>95313</w:t>
            </w:r>
          </w:p>
        </w:tc>
      </w:tr>
      <w:tr w14:paraId="673E2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2F2CD73">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013F33A9">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0415D9EA">
            <w:pPr>
              <w:spacing w:line="200" w:lineRule="exact"/>
            </w:pPr>
            <w:r>
              <w:rPr>
                <w:rFonts w:ascii="方正黑体_GBK" w:hAnsi="方正黑体_GBK" w:eastAsia="方正黑体_GBK" w:cs="宋体"/>
                <w:sz w:val="15"/>
                <w:szCs w:val="20"/>
              </w:rPr>
              <w:t>96008</w:t>
            </w:r>
          </w:p>
        </w:tc>
      </w:tr>
      <w:tr w14:paraId="08309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28817EB">
            <w:pPr>
              <w:spacing w:line="200" w:lineRule="exact"/>
            </w:pPr>
            <w:r>
              <w:rPr>
                <w:rFonts w:ascii="方正黑体_GBK" w:hAnsi="方正黑体_GBK" w:eastAsia="方正黑体_GBK" w:cs="宋体"/>
                <w:sz w:val="15"/>
                <w:szCs w:val="20"/>
              </w:rPr>
              <w:t>朝阳银行股份有限公司</w:t>
            </w:r>
          </w:p>
        </w:tc>
        <w:tc>
          <w:tcPr>
            <w:tcW w:w="4050" w:type="dxa"/>
            <w:tcMar>
              <w:left w:w="120" w:type="dxa"/>
            </w:tcMar>
            <w:vAlign w:val="center"/>
          </w:tcPr>
          <w:p w14:paraId="661C043F">
            <w:pPr>
              <w:spacing w:line="200" w:lineRule="exact"/>
            </w:pPr>
            <w:r>
              <w:rPr>
                <w:rFonts w:ascii="方正黑体_GBK" w:hAnsi="方正黑体_GBK" w:eastAsia="方正黑体_GBK" w:cs="宋体"/>
                <w:sz w:val="15"/>
                <w:szCs w:val="20"/>
              </w:rPr>
              <w:t>朝阳市双塔区朝阳大街三段4号</w:t>
            </w:r>
          </w:p>
        </w:tc>
        <w:tc>
          <w:tcPr>
            <w:tcW w:w="1350" w:type="dxa"/>
            <w:tcMar>
              <w:left w:w="120" w:type="dxa"/>
            </w:tcMar>
            <w:vAlign w:val="center"/>
          </w:tcPr>
          <w:p w14:paraId="6D409385">
            <w:pPr>
              <w:spacing w:line="200" w:lineRule="exact"/>
            </w:pPr>
            <w:r>
              <w:rPr>
                <w:rFonts w:ascii="方正黑体_GBK" w:hAnsi="方正黑体_GBK" w:eastAsia="方正黑体_GBK" w:cs="宋体"/>
                <w:sz w:val="15"/>
                <w:szCs w:val="20"/>
              </w:rPr>
              <w:t>0421-2632275</w:t>
            </w:r>
          </w:p>
        </w:tc>
      </w:tr>
      <w:tr w14:paraId="419C40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7D2800">
            <w:pPr>
              <w:spacing w:line="200" w:lineRule="exact"/>
            </w:pPr>
            <w:r>
              <w:rPr>
                <w:rFonts w:ascii="方正黑体_GBK" w:hAnsi="方正黑体_GBK" w:eastAsia="方正黑体_GBK" w:cs="宋体"/>
                <w:sz w:val="15"/>
                <w:szCs w:val="20"/>
              </w:rPr>
              <w:t>江苏启东农村商业银行股份有限公司</w:t>
            </w:r>
          </w:p>
        </w:tc>
        <w:tc>
          <w:tcPr>
            <w:tcW w:w="4050" w:type="dxa"/>
            <w:tcMar>
              <w:left w:w="120" w:type="dxa"/>
            </w:tcMar>
            <w:vAlign w:val="center"/>
          </w:tcPr>
          <w:p w14:paraId="527BFF78">
            <w:pPr>
              <w:spacing w:line="200" w:lineRule="exact"/>
            </w:pPr>
            <w:r>
              <w:rPr>
                <w:rFonts w:ascii="方正黑体_GBK" w:hAnsi="方正黑体_GBK" w:eastAsia="方正黑体_GBK" w:cs="宋体"/>
                <w:sz w:val="15"/>
                <w:szCs w:val="20"/>
              </w:rPr>
              <w:t>江苏省启东市汇龙镇金沙江路1688号</w:t>
            </w:r>
          </w:p>
        </w:tc>
        <w:tc>
          <w:tcPr>
            <w:tcW w:w="1350" w:type="dxa"/>
            <w:tcMar>
              <w:left w:w="120" w:type="dxa"/>
            </w:tcMar>
            <w:vAlign w:val="center"/>
          </w:tcPr>
          <w:p w14:paraId="342327F9">
            <w:pPr>
              <w:spacing w:line="200" w:lineRule="exact"/>
            </w:pPr>
            <w:r>
              <w:rPr>
                <w:rFonts w:ascii="方正黑体_GBK" w:hAnsi="方正黑体_GBK" w:eastAsia="方正黑体_GBK" w:cs="宋体"/>
                <w:sz w:val="15"/>
                <w:szCs w:val="20"/>
              </w:rPr>
              <w:t>96008</w:t>
            </w:r>
          </w:p>
        </w:tc>
      </w:tr>
    </w:tbl>
    <w:p w14:paraId="1DD7192B">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3504280D">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570A65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3C787051">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382D9544">
            <w:pPr>
              <w:spacing w:line="200" w:lineRule="exact"/>
              <w:jc w:val="center"/>
            </w:pPr>
            <w:r>
              <w:rPr>
                <w:rFonts w:ascii="方正黑体_GBK" w:hAnsi="方正黑体_GBK" w:eastAsia="方正黑体_GBK" w:cs="宋体"/>
                <w:b/>
                <w:sz w:val="15"/>
                <w:szCs w:val="20"/>
              </w:rPr>
              <w:t>关联关系</w:t>
            </w:r>
          </w:p>
        </w:tc>
      </w:tr>
      <w:tr w14:paraId="1F2921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99898FD">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26872EB4">
            <w:pPr>
              <w:spacing w:line="200" w:lineRule="exact"/>
            </w:pPr>
            <w:r>
              <w:rPr>
                <w:rFonts w:ascii="方正黑体_GBK" w:hAnsi="方正黑体_GBK" w:eastAsia="方正黑体_GBK" w:cs="宋体"/>
                <w:sz w:val="15"/>
                <w:szCs w:val="20"/>
              </w:rPr>
              <w:t>发行机构的董事、高管及其近亲属控制的法人或非法人组织</w:t>
            </w:r>
          </w:p>
        </w:tc>
      </w:tr>
      <w:tr w14:paraId="751E5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19C654D0">
            <w:pPr>
              <w:spacing w:line="200" w:lineRule="exact"/>
            </w:pPr>
            <w:r>
              <w:rPr>
                <w:rFonts w:ascii="方正黑体_GBK" w:hAnsi="方正黑体_GBK" w:eastAsia="方正黑体_GBK" w:cs="宋体"/>
                <w:sz w:val="15"/>
                <w:szCs w:val="20"/>
              </w:rPr>
              <w:t>江苏江南农村商业银行股份有限公司</w:t>
            </w:r>
          </w:p>
        </w:tc>
        <w:tc>
          <w:tcPr>
            <w:tcW w:w="4500" w:type="dxa"/>
            <w:tcMar>
              <w:left w:w="120" w:type="dxa"/>
            </w:tcMar>
            <w:vAlign w:val="center"/>
          </w:tcPr>
          <w:p w14:paraId="16A20B3F">
            <w:pPr>
              <w:spacing w:line="200" w:lineRule="exact"/>
            </w:pPr>
            <w:r>
              <w:rPr>
                <w:rFonts w:ascii="方正黑体_GBK" w:hAnsi="方正黑体_GBK" w:eastAsia="方正黑体_GBK" w:cs="宋体"/>
                <w:sz w:val="15"/>
                <w:szCs w:val="20"/>
              </w:rPr>
              <w:t>发行机构的董事、高管及其近亲属控制的法人或非法人组织</w:t>
            </w:r>
          </w:p>
        </w:tc>
      </w:tr>
      <w:tr w14:paraId="4461F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41B07A4B">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161DE6EB">
            <w:pPr>
              <w:spacing w:line="200" w:lineRule="exact"/>
            </w:pPr>
            <w:r>
              <w:rPr>
                <w:rFonts w:ascii="方正黑体_GBK" w:hAnsi="方正黑体_GBK" w:eastAsia="方正黑体_GBK" w:cs="宋体"/>
                <w:sz w:val="15"/>
                <w:szCs w:val="20"/>
              </w:rPr>
              <w:t>发行机构股东控制或可施加重大影响的法人或非法人组织</w:t>
            </w:r>
          </w:p>
        </w:tc>
      </w:tr>
      <w:tr w14:paraId="729E1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B27A411">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01C607AC">
            <w:pPr>
              <w:spacing w:line="200" w:lineRule="exact"/>
            </w:pPr>
            <w:r>
              <w:rPr>
                <w:rFonts w:ascii="方正黑体_GBK" w:hAnsi="方正黑体_GBK" w:eastAsia="方正黑体_GBK" w:cs="宋体"/>
                <w:sz w:val="15"/>
                <w:szCs w:val="20"/>
              </w:rPr>
              <w:t>发行机构股东</w:t>
            </w:r>
          </w:p>
        </w:tc>
      </w:tr>
    </w:tbl>
    <w:p w14:paraId="25A6F8C1">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66EE5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300" w:hRule="atLeast"/>
        </w:trPr>
        <w:tc>
          <w:tcPr>
            <w:tcW w:w="3000" w:type="dxa"/>
            <w:vAlign w:val="center"/>
          </w:tcPr>
          <w:p w14:paraId="1B5C45BC">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79B24C40">
            <w:pPr>
              <w:spacing w:line="200" w:lineRule="exact"/>
              <w:jc w:val="center"/>
            </w:pPr>
            <w:r>
              <w:rPr>
                <w:rFonts w:ascii="方正黑体_GBK" w:hAnsi="方正黑体_GBK" w:eastAsia="方正黑体_GBK" w:cs="宋体"/>
                <w:b/>
                <w:sz w:val="15"/>
                <w:szCs w:val="20"/>
              </w:rPr>
              <w:t>关联关系</w:t>
            </w:r>
          </w:p>
        </w:tc>
      </w:tr>
      <w:tr w14:paraId="7B2E8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41412843">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7E14EFBE">
            <w:pPr>
              <w:spacing w:line="200" w:lineRule="exact"/>
            </w:pPr>
            <w:r>
              <w:rPr>
                <w:rFonts w:ascii="方正黑体_GBK" w:hAnsi="方正黑体_GBK" w:eastAsia="方正黑体_GBK" w:cs="宋体"/>
                <w:sz w:val="15"/>
                <w:szCs w:val="20"/>
              </w:rPr>
              <w:t>托管机构的控股机构</w:t>
            </w:r>
          </w:p>
        </w:tc>
      </w:tr>
      <w:tr w14:paraId="4C5D8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E467E59">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5E8447E2">
            <w:pPr>
              <w:spacing w:line="200" w:lineRule="exact"/>
            </w:pPr>
            <w:r>
              <w:rPr>
                <w:rFonts w:ascii="方正黑体_GBK" w:hAnsi="方正黑体_GBK" w:eastAsia="方正黑体_GBK" w:cs="宋体"/>
                <w:sz w:val="15"/>
                <w:szCs w:val="20"/>
              </w:rPr>
              <w:t>托管机构的控股机构</w:t>
            </w:r>
          </w:p>
        </w:tc>
      </w:tr>
    </w:tbl>
    <w:p w14:paraId="05AE67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88E029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7BEB311">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472BBC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1F41F79">
      <w:pPr>
        <w:spacing w:line="200" w:lineRule="exact"/>
        <w:ind w:firstLine="300"/>
      </w:pPr>
      <w:r>
        <w:rPr>
          <w:rFonts w:ascii="方正黑体_GBK" w:hAnsi="方正黑体_GBK" w:eastAsia="方正黑体_GBK" w:cs="宋体"/>
          <w:color w:val="3D3D3D"/>
          <w:sz w:val="15"/>
          <w:szCs w:val="20"/>
        </w:rPr>
        <w:t>1.净值信息</w:t>
      </w:r>
    </w:p>
    <w:p w14:paraId="0235EEDD">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6AAB897D">
      <w:pPr>
        <w:spacing w:line="200" w:lineRule="exact"/>
        <w:ind w:firstLine="300"/>
      </w:pPr>
      <w:r>
        <w:rPr>
          <w:rFonts w:ascii="方正黑体_GBK" w:hAnsi="方正黑体_GBK" w:eastAsia="方正黑体_GBK" w:cs="宋体"/>
          <w:color w:val="3D3D3D"/>
          <w:sz w:val="15"/>
          <w:szCs w:val="20"/>
        </w:rPr>
        <w:t>2.产品发行公告</w:t>
      </w:r>
    </w:p>
    <w:p w14:paraId="11E60DBB">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2D12D7C8">
      <w:pPr>
        <w:spacing w:line="200" w:lineRule="exact"/>
        <w:ind w:firstLine="300"/>
      </w:pPr>
      <w:r>
        <w:rPr>
          <w:rFonts w:ascii="方正黑体_GBK" w:hAnsi="方正黑体_GBK" w:eastAsia="方正黑体_GBK" w:cs="宋体"/>
          <w:color w:val="3D3D3D"/>
          <w:sz w:val="15"/>
          <w:szCs w:val="20"/>
        </w:rPr>
        <w:t>3.定期报告</w:t>
      </w:r>
    </w:p>
    <w:p w14:paraId="4FC3CFEA">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438EF1DA">
      <w:pPr>
        <w:spacing w:line="200" w:lineRule="exact"/>
        <w:ind w:firstLine="300"/>
      </w:pPr>
      <w:r>
        <w:rPr>
          <w:rFonts w:ascii="方正黑体_GBK" w:hAnsi="方正黑体_GBK" w:eastAsia="方正黑体_GBK" w:cs="宋体"/>
          <w:color w:val="3D3D3D"/>
          <w:sz w:val="15"/>
          <w:szCs w:val="20"/>
        </w:rPr>
        <w:t>4.到期公告</w:t>
      </w:r>
    </w:p>
    <w:p w14:paraId="0DB45E7F">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3C36EFB5">
      <w:pPr>
        <w:spacing w:line="200" w:lineRule="exact"/>
        <w:ind w:firstLine="300"/>
      </w:pPr>
      <w:r>
        <w:rPr>
          <w:rFonts w:ascii="方正黑体_GBK" w:hAnsi="方正黑体_GBK" w:eastAsia="方正黑体_GBK" w:cs="宋体"/>
          <w:color w:val="3D3D3D"/>
          <w:sz w:val="15"/>
          <w:szCs w:val="20"/>
        </w:rPr>
        <w:t>5.重大事项公告</w:t>
      </w:r>
    </w:p>
    <w:p w14:paraId="4620FB23">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79AE0F42">
      <w:pPr>
        <w:spacing w:line="200" w:lineRule="exact"/>
        <w:ind w:firstLine="300"/>
      </w:pPr>
      <w:r>
        <w:rPr>
          <w:rFonts w:ascii="方正黑体_GBK" w:hAnsi="方正黑体_GBK" w:eastAsia="方正黑体_GBK" w:cs="宋体"/>
          <w:color w:val="3D3D3D"/>
          <w:sz w:val="15"/>
          <w:szCs w:val="20"/>
        </w:rPr>
        <w:t>6.临时公告</w:t>
      </w:r>
    </w:p>
    <w:p w14:paraId="439D386F">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2611F876">
      <w:pPr>
        <w:spacing w:line="200" w:lineRule="exact"/>
        <w:ind w:firstLine="300"/>
      </w:pPr>
      <w:r>
        <w:rPr>
          <w:rFonts w:ascii="方正黑体_GBK" w:hAnsi="方正黑体_GBK" w:eastAsia="方正黑体_GBK" w:cs="宋体"/>
          <w:color w:val="3D3D3D"/>
          <w:sz w:val="15"/>
          <w:szCs w:val="20"/>
        </w:rPr>
        <w:t>7.关联交易信息披露</w:t>
      </w:r>
    </w:p>
    <w:p w14:paraId="6870E2FF">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1508EDF1">
      <w:pPr>
        <w:spacing w:line="200" w:lineRule="exact"/>
        <w:ind w:firstLine="300"/>
      </w:pPr>
      <w:r>
        <w:rPr>
          <w:rFonts w:ascii="方正黑体_GBK" w:hAnsi="方正黑体_GBK" w:eastAsia="方正黑体_GBK" w:cs="宋体"/>
          <w:color w:val="3D3D3D"/>
          <w:sz w:val="15"/>
          <w:szCs w:val="20"/>
        </w:rPr>
        <w:t>8.账单</w:t>
      </w:r>
    </w:p>
    <w:p w14:paraId="1D27EF1F">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4E4BED2C">
      <w:pPr>
        <w:spacing w:line="200" w:lineRule="exact"/>
        <w:ind w:firstLine="301"/>
      </w:pPr>
      <w:r>
        <w:rPr>
          <w:rFonts w:ascii="方正黑体_GBK" w:hAnsi="方正黑体_GBK" w:eastAsia="方正黑体_GBK" w:cs="宋体"/>
          <w:b/>
          <w:sz w:val="15"/>
          <w:szCs w:val="20"/>
        </w:rPr>
        <w:t>9.在本理财产品存续期内：</w:t>
      </w:r>
    </w:p>
    <w:p w14:paraId="0B68D75D">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E719448">
      <w:pPr>
        <w:spacing w:line="200" w:lineRule="exact"/>
        <w:ind w:firstLine="300"/>
      </w:pPr>
      <w:r>
        <w:rPr>
          <w:rFonts w:ascii="方正黑体_GBK" w:hAnsi="方正黑体_GBK" w:eastAsia="方正黑体_GBK" w:cs="宋体"/>
          <w:color w:val="3D3D3D"/>
          <w:sz w:val="15"/>
          <w:szCs w:val="20"/>
        </w:rPr>
        <w:t>10.其他公告</w:t>
      </w:r>
    </w:p>
    <w:p w14:paraId="4E3602BE">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5588D447">
      <w:pPr>
        <w:spacing w:line="200" w:lineRule="exact"/>
        <w:ind w:firstLine="300"/>
      </w:pPr>
    </w:p>
    <w:p w14:paraId="0D3D85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4D941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4C154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13E7DC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C5C93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C50EDF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E38C7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CB6FC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A8275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3BD9E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A5166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85BA7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40E07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EBA1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C3D0F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b25955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1e08a1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4876a5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dcadb0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a92370e"/>
    <w:uiPriority w:val="0"/>
  </w:style>
  <w:style w:type="paragraph" w:customStyle="1" w:styleId="20">
    <w:name w:val="toc 1b89099aa"/>
    <w:basedOn w:val="15"/>
    <w:next w:val="1"/>
    <w:autoRedefine/>
    <w:uiPriority w:val="0"/>
  </w:style>
  <w:style w:type="paragraph" w:customStyle="1" w:styleId="21">
    <w:name w:val="toc 2ebc85efd"/>
    <w:basedOn w:val="15"/>
    <w:next w:val="1"/>
    <w:autoRedefine/>
    <w:uiPriority w:val="0"/>
    <w:pPr>
      <w:ind w:left="420"/>
    </w:pPr>
  </w:style>
  <w:style w:type="paragraph" w:customStyle="1" w:styleId="22">
    <w:name w:val="toc 38f719d52"/>
    <w:basedOn w:val="15"/>
    <w:next w:val="1"/>
    <w:autoRedefine/>
    <w:uiPriority w:val="0"/>
    <w:pPr>
      <w:ind w:left="840"/>
    </w:pPr>
  </w:style>
  <w:style w:type="paragraph" w:customStyle="1" w:styleId="23">
    <w:name w:val="toc 4180155db"/>
    <w:basedOn w:val="15"/>
    <w:next w:val="1"/>
    <w:autoRedefine/>
    <w:uiPriority w:val="0"/>
    <w:pPr>
      <w:ind w:left="1260"/>
    </w:pPr>
  </w:style>
  <w:style w:type="paragraph" w:customStyle="1" w:styleId="24">
    <w:name w:val="toc 5555d62af"/>
    <w:basedOn w:val="15"/>
    <w:next w:val="1"/>
    <w:autoRedefine/>
    <w:uiPriority w:val="0"/>
    <w:pPr>
      <w:ind w:left="1680"/>
    </w:pPr>
  </w:style>
  <w:style w:type="paragraph" w:customStyle="1" w:styleId="25">
    <w:name w:val="headerc477c7c0"/>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7147456"/>
    <w:basedOn w:val="15"/>
    <w:uiPriority w:val="0"/>
    <w:pPr>
      <w:tabs>
        <w:tab w:val="center" w:pos="4153"/>
        <w:tab w:val="right" w:pos="8307"/>
      </w:tabs>
      <w:adjustRightInd/>
      <w:snapToGrid w:val="0"/>
      <w:contextualSpacing w:val="0"/>
      <w:jc w:val="left"/>
    </w:pPr>
    <w:rPr>
      <w:sz w:val="18"/>
    </w:rPr>
  </w:style>
  <w:style w:type="character" w:customStyle="1" w:styleId="27">
    <w:name w:val="Strong14ea6e8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765016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664cbf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352fb0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edc59a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d3ce5ab"/>
    <w:uiPriority w:val="0"/>
  </w:style>
  <w:style w:type="paragraph" w:customStyle="1" w:styleId="34">
    <w:name w:val="Normal Indent38e578b1"/>
    <w:basedOn w:val="29"/>
    <w:uiPriority w:val="0"/>
    <w:pPr>
      <w:ind w:firstLine="200" w:firstLineChars="200"/>
    </w:pPr>
  </w:style>
  <w:style w:type="paragraph" w:customStyle="1" w:styleId="35">
    <w:name w:val="toc 5f7d21bce"/>
    <w:basedOn w:val="29"/>
    <w:next w:val="1"/>
    <w:qFormat/>
    <w:uiPriority w:val="0"/>
    <w:pPr>
      <w:ind w:left="1680"/>
    </w:pPr>
  </w:style>
  <w:style w:type="paragraph" w:customStyle="1" w:styleId="36">
    <w:name w:val="toc 306b1b93d"/>
    <w:basedOn w:val="29"/>
    <w:next w:val="1"/>
    <w:uiPriority w:val="0"/>
    <w:pPr>
      <w:ind w:left="840"/>
    </w:pPr>
  </w:style>
  <w:style w:type="paragraph" w:customStyle="1" w:styleId="37">
    <w:name w:val="footere694ea02"/>
    <w:basedOn w:val="29"/>
    <w:qFormat/>
    <w:uiPriority w:val="0"/>
    <w:pPr>
      <w:tabs>
        <w:tab w:val="center" w:pos="4153"/>
        <w:tab w:val="right" w:pos="8307"/>
      </w:tabs>
      <w:adjustRightInd/>
      <w:snapToGrid w:val="0"/>
      <w:contextualSpacing w:val="0"/>
      <w:jc w:val="left"/>
    </w:pPr>
    <w:rPr>
      <w:sz w:val="18"/>
    </w:rPr>
  </w:style>
  <w:style w:type="paragraph" w:customStyle="1" w:styleId="38">
    <w:name w:val="header284f32a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86c949a"/>
    <w:basedOn w:val="29"/>
    <w:next w:val="1"/>
    <w:uiPriority w:val="0"/>
  </w:style>
  <w:style w:type="paragraph" w:customStyle="1" w:styleId="40">
    <w:name w:val="toc 414dbf8ff"/>
    <w:basedOn w:val="29"/>
    <w:next w:val="1"/>
    <w:uiPriority w:val="0"/>
    <w:pPr>
      <w:ind w:left="1260"/>
    </w:pPr>
  </w:style>
  <w:style w:type="paragraph" w:customStyle="1" w:styleId="41">
    <w:name w:val="toc 29ce2efd6"/>
    <w:basedOn w:val="29"/>
    <w:next w:val="1"/>
    <w:uiPriority w:val="0"/>
    <w:pPr>
      <w:ind w:left="420"/>
    </w:pPr>
  </w:style>
  <w:style w:type="paragraph" w:customStyle="1" w:styleId="42">
    <w:name w:val="Normal (Web)0986170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fb1e47effb1e47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c70f946cc70f94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4d3633be4d3633b"/>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eb88b2c8eb88b2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715dd838715dd83"/>
    <w:qFormat/>
    <w:uiPriority w:val="0"/>
  </w:style>
  <w:style w:type="paragraph" w:customStyle="1" w:styleId="49">
    <w:name w:val="引文目录16d7ed2e86d7ed2e8"/>
    <w:basedOn w:val="44"/>
    <w:next w:val="1"/>
    <w:qFormat/>
    <w:uiPriority w:val="0"/>
    <w:pPr>
      <w:ind w:left="200" w:leftChars="200"/>
    </w:pPr>
  </w:style>
  <w:style w:type="paragraph" w:customStyle="1" w:styleId="50">
    <w:name w:val="toc 5e72ae6dee72ae6de"/>
    <w:basedOn w:val="44"/>
    <w:next w:val="1"/>
    <w:qFormat/>
    <w:uiPriority w:val="0"/>
    <w:pPr>
      <w:ind w:left="1680"/>
    </w:pPr>
  </w:style>
  <w:style w:type="paragraph" w:customStyle="1" w:styleId="51">
    <w:name w:val="toc 30e80494f0e80494f"/>
    <w:basedOn w:val="44"/>
    <w:next w:val="1"/>
    <w:qFormat/>
    <w:uiPriority w:val="0"/>
    <w:pPr>
      <w:ind w:left="840"/>
    </w:pPr>
  </w:style>
  <w:style w:type="paragraph" w:customStyle="1" w:styleId="52">
    <w:name w:val="footere5aee893e5aee893"/>
    <w:basedOn w:val="44"/>
    <w:qFormat/>
    <w:uiPriority w:val="0"/>
    <w:pPr>
      <w:tabs>
        <w:tab w:val="center" w:pos="4153"/>
        <w:tab w:val="right" w:pos="8307"/>
      </w:tabs>
      <w:adjustRightInd/>
      <w:snapToGrid w:val="0"/>
      <w:contextualSpacing w:val="0"/>
      <w:jc w:val="left"/>
    </w:pPr>
    <w:rPr>
      <w:sz w:val="18"/>
    </w:rPr>
  </w:style>
  <w:style w:type="paragraph" w:customStyle="1" w:styleId="53">
    <w:name w:val="header96e2be4b96e2be4b"/>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d008e84ad008e84"/>
    <w:basedOn w:val="44"/>
    <w:next w:val="1"/>
    <w:qFormat/>
    <w:uiPriority w:val="0"/>
  </w:style>
  <w:style w:type="paragraph" w:customStyle="1" w:styleId="55">
    <w:name w:val="toc 4744e3ada744e3ada"/>
    <w:basedOn w:val="44"/>
    <w:next w:val="1"/>
    <w:uiPriority w:val="0"/>
    <w:pPr>
      <w:ind w:left="1260"/>
    </w:pPr>
  </w:style>
  <w:style w:type="paragraph" w:customStyle="1" w:styleId="56">
    <w:name w:val="toc 2c93b8edec93b8ede"/>
    <w:basedOn w:val="44"/>
    <w:next w:val="1"/>
    <w:qFormat/>
    <w:uiPriority w:val="0"/>
    <w:pPr>
      <w:ind w:left="420"/>
    </w:pPr>
  </w:style>
  <w:style w:type="paragraph" w:customStyle="1" w:styleId="57">
    <w:name w:val="列出段落168a5f83b68a5f83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16</Pages>
  <Words>26036</Words>
  <Characters>27050</Characters>
  <Lines>77</Lines>
  <Paragraphs>27</Paragraphs>
  <TotalTime>9</TotalTime>
  <ScaleCrop>false</ScaleCrop>
  <LinksUpToDate>false</LinksUpToDate>
  <CharactersWithSpaces>27274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2026-08-07T07:30:02Z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