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34DF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2F9400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E5F6E8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AA463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F2351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8686B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南银理财珠联璧合鑫逸稳两年182期封闭式公募人民币理财产品</w:t>
            </w:r>
          </w:p>
        </w:tc>
      </w:tr>
      <w:tr w14:paraId="267AB4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1F98D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23B94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12F71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69264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A28ED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A3A7A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4D326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30312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ZZ700322600252</w:t>
            </w:r>
          </w:p>
        </w:tc>
      </w:tr>
      <w:tr w14:paraId="77915E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D7A1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8A2D8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Z7003226000238(投资者可依据该编码在中国理财网www.chinawealth.com.cn查询理财产品相关信息）</w:t>
            </w:r>
          </w:p>
        </w:tc>
      </w:tr>
      <w:tr w14:paraId="1A5AC2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ECF3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55D612C">
            <w:pPr>
              <w:spacing w:line="200" w:lineRule="exact"/>
            </w:pPr>
            <w:r>
              <w:rPr>
                <w:rFonts w:ascii="方正黑体_GBK" w:hAnsi="方正黑体_GBK" w:eastAsia="方正黑体_GBK" w:cs="宋体"/>
                <w:sz w:val="18"/>
                <w:szCs w:val="18"/>
              </w:rPr>
              <w:t>A份额：NYXY001330</w:t>
            </w:r>
          </w:p>
          <w:p w14:paraId="245E5013">
            <w:pPr>
              <w:spacing w:line="200" w:lineRule="exact"/>
            </w:pPr>
            <w:r>
              <w:rPr>
                <w:rFonts w:ascii="方正黑体_GBK" w:hAnsi="方正黑体_GBK" w:eastAsia="方正黑体_GBK" w:cs="宋体"/>
                <w:sz w:val="18"/>
                <w:szCs w:val="18"/>
              </w:rPr>
              <w:t>B份额：NYXY001331</w:t>
            </w:r>
          </w:p>
          <w:p w14:paraId="176E57CE">
            <w:pPr>
              <w:spacing w:line="200" w:lineRule="exact"/>
            </w:pPr>
            <w:r>
              <w:rPr>
                <w:rFonts w:ascii="方正黑体_GBK" w:hAnsi="方正黑体_GBK" w:eastAsia="方正黑体_GBK" w:cs="宋体"/>
                <w:sz w:val="18"/>
                <w:szCs w:val="18"/>
              </w:rPr>
              <w:t>C份额：NYXY001332</w:t>
            </w:r>
          </w:p>
          <w:p w14:paraId="732CECCD">
            <w:pPr>
              <w:spacing w:line="200" w:lineRule="exact"/>
            </w:pPr>
            <w:r>
              <w:rPr>
                <w:rFonts w:ascii="方正黑体_GBK" w:hAnsi="方正黑体_GBK" w:eastAsia="方正黑体_GBK" w:cs="宋体"/>
                <w:sz w:val="18"/>
                <w:szCs w:val="18"/>
              </w:rPr>
              <w:t>E份额：NYXY001842</w:t>
            </w:r>
          </w:p>
          <w:p w14:paraId="2E15CD6A">
            <w:pPr>
              <w:spacing w:line="200" w:lineRule="exact"/>
            </w:pPr>
            <w:r>
              <w:rPr>
                <w:rFonts w:ascii="方正黑体_GBK" w:hAnsi="方正黑体_GBK" w:eastAsia="方正黑体_GBK" w:cs="宋体"/>
                <w:sz w:val="18"/>
                <w:szCs w:val="18"/>
              </w:rPr>
              <w:t>N份额：NYXY001844</w:t>
            </w:r>
          </w:p>
          <w:p w14:paraId="30C497CB">
            <w:pPr>
              <w:spacing w:line="200" w:lineRule="exact"/>
            </w:pPr>
            <w:r>
              <w:rPr>
                <w:rFonts w:ascii="方正黑体_GBK" w:hAnsi="方正黑体_GBK" w:eastAsia="方正黑体_GBK" w:cs="宋体"/>
                <w:sz w:val="18"/>
                <w:szCs w:val="18"/>
              </w:rPr>
              <w:t>O份额：NYXY001843</w:t>
            </w:r>
          </w:p>
          <w:p w14:paraId="3191647C">
            <w:pPr>
              <w:spacing w:line="200" w:lineRule="exact"/>
            </w:pPr>
            <w:r>
              <w:rPr>
                <w:rFonts w:ascii="方正黑体_GBK" w:hAnsi="方正黑体_GBK" w:eastAsia="方正黑体_GBK" w:cs="宋体"/>
                <w:sz w:val="18"/>
                <w:szCs w:val="18"/>
              </w:rPr>
              <w:t>F2份额：NYXY001845</w:t>
            </w:r>
          </w:p>
          <w:p w14:paraId="7640090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456C0D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AD9F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2ECEFFC">
            <w:pPr>
              <w:spacing w:line="200" w:lineRule="exact"/>
            </w:pPr>
            <w:r>
              <w:rPr>
                <w:rFonts w:ascii="方正黑体_GBK" w:hAnsi="方正黑体_GBK" w:eastAsia="方正黑体_GBK" w:cs="宋体"/>
                <w:sz w:val="18"/>
                <w:szCs w:val="18"/>
              </w:rPr>
              <w:t>全国</w:t>
            </w:r>
          </w:p>
        </w:tc>
      </w:tr>
      <w:tr w14:paraId="0660FA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C046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EDF874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817D4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486C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7F6D892">
            <w:pPr>
              <w:spacing w:line="200" w:lineRule="exact"/>
            </w:pPr>
            <w:r>
              <w:rPr>
                <w:rFonts w:ascii="方正黑体_GBK" w:hAnsi="方正黑体_GBK" w:eastAsia="方正黑体_GBK" w:cs="宋体"/>
                <w:sz w:val="18"/>
                <w:szCs w:val="18"/>
              </w:rPr>
              <w:t>本理财产品规模上限为100亿元。</w:t>
            </w:r>
          </w:p>
        </w:tc>
      </w:tr>
      <w:tr w14:paraId="0EB5EF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FEAA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CE1FDC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A153E8F">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0D148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B173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5473F55">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90DEDAB">
            <w:pPr>
              <w:spacing w:line="200" w:lineRule="exact"/>
            </w:pPr>
            <w:r>
              <w:rPr>
                <w:rFonts w:ascii="方正黑体_GBK" w:hAnsi="方正黑体_GBK" w:eastAsia="方正黑体_GBK"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广东顺德农村商业银行股份有限公司、江苏苏州农村商业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14:paraId="08F9FA9A">
            <w:pPr>
              <w:spacing w:line="200" w:lineRule="exact"/>
            </w:pPr>
            <w:r>
              <w:rPr>
                <w:rFonts w:ascii="方正黑体_GBK" w:hAnsi="方正黑体_GBK" w:eastAsia="方正黑体_GBK" w:cs="宋体"/>
                <w:sz w:val="18"/>
                <w:szCs w:val="18"/>
              </w:rPr>
              <w:t>B份额：南京银行股份有限公司(新客或新资金或代发客户 )、齐商银行股份有限公司、河北银行股份有限公司、广州银行股份有限公司、长沙银行股份有限公司、秦皇岛银行股份有限公司、齐鲁银行股份有限公司(白金/私行客户)、天津农村商业银行股份有限公司(新客户)、兰州银行股份有限公司、甘肃银行股份有限公司、乌鲁木齐银行股份有限公司、东营银行股份有限公司、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14:paraId="6285443F">
            <w:pPr>
              <w:spacing w:line="200" w:lineRule="exact"/>
            </w:pPr>
            <w:r>
              <w:rPr>
                <w:rFonts w:ascii="方正黑体_GBK" w:hAnsi="方正黑体_GBK" w:eastAsia="方正黑体_GBK" w:cs="宋体"/>
                <w:sz w:val="18"/>
                <w:szCs w:val="18"/>
              </w:rPr>
              <w:t>C份额：郑州银行股份有限公司、泰安银行股份有限公司、天津农村商业银行股份有限公司(私钻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14:paraId="4C575C73">
            <w:pPr>
              <w:spacing w:line="200" w:lineRule="exact"/>
            </w:pPr>
            <w:r>
              <w:rPr>
                <w:rFonts w:ascii="方正黑体_GBK" w:hAnsi="方正黑体_GBK" w:eastAsia="方正黑体_GBK" w:cs="宋体"/>
                <w:sz w:val="18"/>
                <w:szCs w:val="18"/>
              </w:rPr>
              <w:t>E份额：天津农村商业银行股份有限公司(私行客户)。</w:t>
            </w:r>
          </w:p>
          <w:p w14:paraId="7F9E8F66">
            <w:pPr>
              <w:spacing w:line="200" w:lineRule="exact"/>
            </w:pPr>
            <w:r>
              <w:rPr>
                <w:rFonts w:ascii="方正黑体_GBK" w:hAnsi="方正黑体_GBK" w:eastAsia="方正黑体_GBK" w:cs="宋体"/>
                <w:sz w:val="18"/>
                <w:szCs w:val="18"/>
              </w:rPr>
              <w:t>N份额：蒙商银行股份有限公司（代发工资客户）。</w:t>
            </w:r>
          </w:p>
          <w:p w14:paraId="45DD24A5">
            <w:pPr>
              <w:spacing w:line="200" w:lineRule="exact"/>
            </w:pPr>
            <w:r>
              <w:rPr>
                <w:rFonts w:ascii="方正黑体_GBK" w:hAnsi="方正黑体_GBK" w:eastAsia="方正黑体_GBK" w:cs="宋体"/>
                <w:sz w:val="18"/>
                <w:szCs w:val="18"/>
              </w:rPr>
              <w:t>O份额：吉林银行股份有限公司、蒙商银行股份有限公司（除代发工资客户外的其他客户）。</w:t>
            </w:r>
          </w:p>
          <w:p w14:paraId="107466CE">
            <w:pPr>
              <w:spacing w:line="200" w:lineRule="exact"/>
            </w:pPr>
            <w:r>
              <w:rPr>
                <w:rFonts w:ascii="方正黑体_GBK" w:hAnsi="方正黑体_GBK" w:eastAsia="方正黑体_GBK" w:cs="宋体"/>
                <w:sz w:val="18"/>
                <w:szCs w:val="18"/>
              </w:rPr>
              <w:t>F2份额：温州银行股份有限公司。</w:t>
            </w:r>
          </w:p>
          <w:p w14:paraId="5F26454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0AA2323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14:paraId="2F5C6F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BC44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DF3EFB1">
            <w:pPr>
              <w:spacing w:line="200" w:lineRule="exact"/>
            </w:pPr>
            <w:r>
              <w:rPr>
                <w:rFonts w:ascii="方正黑体_GBK" w:hAnsi="方正黑体_GBK" w:eastAsia="方正黑体_GBK" w:cs="宋体"/>
                <w:sz w:val="18"/>
                <w:szCs w:val="18"/>
              </w:rPr>
              <w:t>A份额/B份额/C份额/E份额/N份额/O份额/F2份额：</w:t>
            </w:r>
          </w:p>
          <w:p w14:paraId="039A72AD">
            <w:pPr>
              <w:spacing w:line="200" w:lineRule="exact"/>
            </w:pPr>
            <w:r>
              <w:rPr>
                <w:rFonts w:ascii="方正黑体_GBK" w:hAnsi="方正黑体_GBK" w:eastAsia="方正黑体_GBK" w:cs="宋体"/>
                <w:sz w:val="18"/>
                <w:szCs w:val="18"/>
              </w:rPr>
              <w:t>个人投资者投资起点金额1元人民币，以1元的整数倍递增；</w:t>
            </w:r>
          </w:p>
          <w:p w14:paraId="598E4228">
            <w:pPr>
              <w:spacing w:line="200" w:lineRule="exact"/>
            </w:pPr>
            <w:r>
              <w:rPr>
                <w:rFonts w:ascii="方正黑体_GBK" w:hAnsi="方正黑体_GBK" w:eastAsia="方正黑体_GBK" w:cs="宋体"/>
                <w:sz w:val="18"/>
                <w:szCs w:val="18"/>
              </w:rPr>
              <w:t>机构投资者投资起点金额1元人民币，以1元的整数倍递增；</w:t>
            </w:r>
          </w:p>
        </w:tc>
      </w:tr>
      <w:tr w14:paraId="5A682B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D791A8">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95BA62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0F33C9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B4705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53A1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0151F78">
            <w:pPr>
              <w:spacing w:line="200" w:lineRule="exact"/>
              <w:jc w:val="left"/>
            </w:pPr>
            <w:r>
              <w:rPr>
                <w:rFonts w:ascii="方正黑体_GBK" w:hAnsi="方正黑体_GBK" w:eastAsia="方正黑体_GBK" w:cs="宋体"/>
                <w:color w:val="000000"/>
                <w:sz w:val="18"/>
                <w:szCs w:val="18"/>
              </w:rPr>
              <w:t>2026年08月12日 09:00—2026年08月18日 17:00</w:t>
            </w:r>
          </w:p>
        </w:tc>
      </w:tr>
      <w:tr w14:paraId="3BA541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9F570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922D1E2">
            <w:pPr>
              <w:spacing w:line="360" w:lineRule="auto"/>
            </w:pPr>
            <w:r>
              <w:rPr>
                <w:rFonts w:ascii="方正黑体_GBK" w:hAnsi="方正黑体_GBK" w:eastAsia="方正黑体_GBK" w:cs="宋体"/>
                <w:sz w:val="18"/>
                <w:szCs w:val="18"/>
              </w:rPr>
              <w:t>认购份额=确认认购金额/1。（认购份额以去尾法保留两位小数）</w:t>
            </w:r>
          </w:p>
        </w:tc>
      </w:tr>
      <w:tr w14:paraId="59480D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3CDC8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7A4B33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9FA8C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CEC5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DF13A7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2026年08月19日</w:t>
            </w:r>
          </w:p>
        </w:tc>
      </w:tr>
      <w:tr w14:paraId="680890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D041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BF68EE4">
            <w:pPr>
              <w:spacing w:line="200" w:lineRule="exact"/>
            </w:pPr>
            <w:r>
              <w:rPr>
                <w:rFonts w:ascii="方正黑体_GBK" w:hAnsi="方正黑体_GBK" w:eastAsia="方正黑体_GBK" w:cs="宋体"/>
                <w:sz w:val="18"/>
                <w:szCs w:val="18"/>
              </w:rPr>
              <w:t>2026年08月19日—实际到期日（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063A3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91C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EFEB3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2028年09月06日</w:t>
            </w:r>
          </w:p>
        </w:tc>
      </w:tr>
      <w:tr w14:paraId="74DD08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3333F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A69596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B967C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5048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4930188">
            <w:pPr>
              <w:spacing w:line="200" w:lineRule="exact"/>
            </w:pPr>
            <w:r>
              <w:rPr>
                <w:rFonts w:ascii="方正黑体_GBK" w:hAnsi="方正黑体_GBK" w:eastAsia="方正黑体_GBK" w:cs="宋体"/>
                <w:sz w:val="18"/>
                <w:szCs w:val="18"/>
              </w:rPr>
              <w:t>本理财产品存续期间不进行分红。</w:t>
            </w:r>
          </w:p>
          <w:p w14:paraId="252B022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E5F0E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F70E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02DA476">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3CC0E6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8D55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A0FBD69">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6FF011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485796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6F3A38D">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761AA31">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AA144E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0AD9DB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443D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964E92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21B6B6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w:t>
            </w:r>
          </w:p>
        </w:tc>
      </w:tr>
      <w:tr w14:paraId="17B7B2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ABC0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D8F82F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CD2C9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7B4E0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E38BF5D">
            <w:pPr>
              <w:spacing w:line="200" w:lineRule="exact"/>
            </w:pPr>
            <w:r>
              <w:rPr>
                <w:rFonts w:ascii="方正黑体_GBK" w:hAnsi="方正黑体_GBK" w:eastAsia="方正黑体_GBK" w:cs="宋体"/>
                <w:b/>
                <w:sz w:val="18"/>
                <w:szCs w:val="18"/>
              </w:rPr>
              <w:t>本理财产品拟投资以下备选非标准化债权类资产：</w:t>
            </w:r>
          </w:p>
          <w:p w14:paraId="7E727DC3">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090020C4">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1CE703BD">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7EF39F68">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6A6227DD">
            <w:pPr>
              <w:spacing w:line="200" w:lineRule="exac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018678F4">
            <w:pPr>
              <w:spacing w:line="200" w:lineRule="exac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4AE91125">
            <w:pPr>
              <w:spacing w:line="200" w:lineRule="exac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2FE116F4">
            <w:pPr>
              <w:spacing w:line="200" w:lineRule="exac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53BF4D94">
            <w:pPr>
              <w:spacing w:line="200" w:lineRule="exac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6E6CC607">
            <w:pPr>
              <w:spacing w:line="200" w:lineRule="exac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717B331E">
            <w:pPr>
              <w:spacing w:line="200" w:lineRule="exac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4FBE9BED">
            <w:pPr>
              <w:spacing w:line="200" w:lineRule="exac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3C0CCDFD">
            <w:pPr>
              <w:spacing w:line="200" w:lineRule="exac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295335CA">
            <w:pPr>
              <w:spacing w:line="200" w:lineRule="exac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37537709">
            <w:pPr>
              <w:spacing w:line="200" w:lineRule="exac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0EBEF503">
            <w:pPr>
              <w:spacing w:line="200" w:lineRule="exac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612C1362">
            <w:pPr>
              <w:spacing w:line="200" w:lineRule="exac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2E9CA633">
            <w:pPr>
              <w:spacing w:line="200" w:lineRule="exac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00512BAF">
            <w:pPr>
              <w:spacing w:line="200" w:lineRule="exac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6FFA3569">
            <w:pPr>
              <w:spacing w:line="200" w:lineRule="exac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1B618834">
            <w:pPr>
              <w:spacing w:line="200" w:lineRule="exac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78DFC66F">
            <w:pPr>
              <w:spacing w:line="200" w:lineRule="exac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00CFA373">
            <w:pPr>
              <w:spacing w:line="200" w:lineRule="exac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140F56F2">
            <w:pPr>
              <w:spacing w:line="200" w:lineRule="exac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271983D6">
            <w:pPr>
              <w:spacing w:line="200" w:lineRule="exac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7CA61020">
            <w:pPr>
              <w:spacing w:line="200" w:lineRule="exac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5B871217">
            <w:pPr>
              <w:spacing w:line="200" w:lineRule="exac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196E5769">
            <w:pPr>
              <w:spacing w:line="200" w:lineRule="exac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1A5598E5">
            <w:pPr>
              <w:spacing w:line="200" w:lineRule="exact"/>
            </w:pPr>
            <w:r>
              <w:rPr>
                <w:rFonts w:ascii="方正黑体_GBK" w:hAnsi="方正黑体_GBK" w:eastAsia="方正黑体_GBK" w:cs="宋体"/>
                <w:b/>
                <w:sz w:val="18"/>
                <w:szCs w:val="18"/>
              </w:rPr>
              <w:t>以上资产剩余期限均不超过产品期限。</w:t>
            </w:r>
          </w:p>
          <w:p w14:paraId="467A5C32">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076487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0BC4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08D1588">
            <w:pPr>
              <w:spacing w:line="200" w:lineRule="exact"/>
            </w:pPr>
            <w:r>
              <w:rPr>
                <w:rFonts w:ascii="方正黑体_GBK" w:hAnsi="方正黑体_GBK" w:eastAsia="方正黑体_GBK" w:cs="宋体"/>
                <w:sz w:val="18"/>
                <w:szCs w:val="18"/>
              </w:rPr>
              <w:t>A份额：业绩比较基准为年化2.55%-2.8% 。</w:t>
            </w:r>
          </w:p>
          <w:p w14:paraId="1EE7C1FD">
            <w:pPr>
              <w:spacing w:line="200" w:lineRule="exact"/>
            </w:pPr>
            <w:r>
              <w:rPr>
                <w:rFonts w:ascii="方正黑体_GBK" w:hAnsi="方正黑体_GBK" w:eastAsia="方正黑体_GBK" w:cs="宋体"/>
                <w:sz w:val="18"/>
                <w:szCs w:val="18"/>
              </w:rPr>
              <w:t>B份额：业绩比较基准为年化2.65%-2.9% 。</w:t>
            </w:r>
          </w:p>
          <w:p w14:paraId="2FF4CC66">
            <w:pPr>
              <w:spacing w:line="200" w:lineRule="exact"/>
            </w:pPr>
            <w:r>
              <w:rPr>
                <w:rFonts w:ascii="方正黑体_GBK" w:hAnsi="方正黑体_GBK" w:eastAsia="方正黑体_GBK" w:cs="宋体"/>
                <w:sz w:val="18"/>
                <w:szCs w:val="18"/>
              </w:rPr>
              <w:t>C份额：业绩比较基准为年化2.75%-3% 。</w:t>
            </w:r>
          </w:p>
          <w:p w14:paraId="1D73C713">
            <w:pPr>
              <w:spacing w:line="200" w:lineRule="exact"/>
            </w:pPr>
            <w:r>
              <w:rPr>
                <w:rFonts w:ascii="方正黑体_GBK" w:hAnsi="方正黑体_GBK" w:eastAsia="方正黑体_GBK" w:cs="宋体"/>
                <w:sz w:val="18"/>
                <w:szCs w:val="18"/>
              </w:rPr>
              <w:t>E份额：业绩比较基准为年化2.6%-2.85% 。</w:t>
            </w:r>
          </w:p>
          <w:p w14:paraId="3B7D0173">
            <w:pPr>
              <w:spacing w:line="200" w:lineRule="exact"/>
            </w:pPr>
            <w:r>
              <w:rPr>
                <w:rFonts w:ascii="方正黑体_GBK" w:hAnsi="方正黑体_GBK" w:eastAsia="方正黑体_GBK" w:cs="宋体"/>
                <w:sz w:val="18"/>
                <w:szCs w:val="18"/>
              </w:rPr>
              <w:t>N份额：业绩比较基准为年化2.65%-2.9% 。</w:t>
            </w:r>
          </w:p>
          <w:p w14:paraId="0870DAEC">
            <w:pPr>
              <w:spacing w:line="200" w:lineRule="exact"/>
            </w:pPr>
            <w:r>
              <w:rPr>
                <w:rFonts w:ascii="方正黑体_GBK" w:hAnsi="方正黑体_GBK" w:eastAsia="方正黑体_GBK" w:cs="宋体"/>
                <w:sz w:val="18"/>
                <w:szCs w:val="18"/>
              </w:rPr>
              <w:t>O份额：业绩比较基准为年化2.55%-2.8% 。</w:t>
            </w:r>
          </w:p>
          <w:p w14:paraId="76D58671">
            <w:pPr>
              <w:spacing w:line="200" w:lineRule="exact"/>
            </w:pPr>
            <w:r>
              <w:rPr>
                <w:rFonts w:ascii="方正黑体_GBK" w:hAnsi="方正黑体_GBK" w:eastAsia="方正黑体_GBK" w:cs="宋体"/>
                <w:sz w:val="18"/>
                <w:szCs w:val="18"/>
              </w:rPr>
              <w:t>F2份额：业绩比较基准为年化2.6%-2.85% 。</w:t>
            </w:r>
          </w:p>
          <w:p w14:paraId="2DC4A03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CEC5DDC">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9AF77F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C3FE1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03AFB0">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A886331">
            <w:pPr>
              <w:spacing w:line="200" w:lineRule="exact"/>
            </w:pPr>
            <w:r>
              <w:rPr>
                <w:rFonts w:ascii="方正黑体_GBK" w:hAnsi="方正黑体_GBK" w:eastAsia="方正黑体_GBK" w:cs="宋体"/>
                <w:b/>
                <w:sz w:val="18"/>
                <w:szCs w:val="18"/>
              </w:rPr>
              <w:t>认/申购费：本理财产品暂不收取认/申购费。</w:t>
            </w:r>
          </w:p>
          <w:p w14:paraId="0DE36523">
            <w:pPr>
              <w:spacing w:line="200" w:lineRule="exact"/>
            </w:pPr>
            <w:r>
              <w:rPr>
                <w:rFonts w:ascii="方正黑体_GBK" w:hAnsi="方正黑体_GBK" w:eastAsia="方正黑体_GBK" w:cs="宋体"/>
                <w:b/>
                <w:sz w:val="18"/>
                <w:szCs w:val="18"/>
              </w:rPr>
              <w:t>赎回费：本理财产品暂不收取赎回费。</w:t>
            </w:r>
          </w:p>
          <w:p w14:paraId="5465E1B3">
            <w:pPr>
              <w:spacing w:line="200" w:lineRule="exact"/>
            </w:pPr>
            <w:r>
              <w:rPr>
                <w:rFonts w:ascii="方正黑体_GBK" w:hAnsi="方正黑体_GBK" w:eastAsia="方正黑体_GBK" w:cs="宋体"/>
                <w:b/>
                <w:sz w:val="18"/>
                <w:szCs w:val="18"/>
              </w:rPr>
              <w:t>销售费：</w:t>
            </w:r>
          </w:p>
          <w:p w14:paraId="12A4A186">
            <w:pPr>
              <w:spacing w:line="200" w:lineRule="exact"/>
            </w:pPr>
            <w:r>
              <w:rPr>
                <w:rFonts w:ascii="方正黑体_GBK" w:hAnsi="方正黑体_GBK" w:eastAsia="方正黑体_GBK" w:cs="宋体"/>
                <w:b/>
                <w:sz w:val="18"/>
                <w:szCs w:val="18"/>
              </w:rPr>
              <w:t>A份额：</w:t>
            </w:r>
          </w:p>
          <w:p w14:paraId="7D107711">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4EB45DD4">
            <w:pPr>
              <w:spacing w:line="200" w:lineRule="exact"/>
            </w:pPr>
            <w:r>
              <w:rPr>
                <w:rFonts w:ascii="方正黑体_GBK" w:hAnsi="方正黑体_GBK" w:eastAsia="方正黑体_GBK" w:cs="宋体"/>
                <w:b/>
                <w:sz w:val="18"/>
                <w:szCs w:val="18"/>
              </w:rPr>
              <w:t>每日计提的销售费=前一日理财产品资产净值×年化销售费率÷365</w:t>
            </w:r>
          </w:p>
          <w:p w14:paraId="2CBE8E46">
            <w:pPr>
              <w:spacing w:line="200" w:lineRule="exact"/>
            </w:pPr>
            <w:r>
              <w:rPr>
                <w:rFonts w:ascii="方正黑体_GBK" w:hAnsi="方正黑体_GBK" w:eastAsia="方正黑体_GBK" w:cs="宋体"/>
                <w:b/>
                <w:sz w:val="18"/>
                <w:szCs w:val="18"/>
              </w:rPr>
              <w:t>B份额：</w:t>
            </w:r>
          </w:p>
          <w:p w14:paraId="7B4CC111">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0FBB1771">
            <w:pPr>
              <w:spacing w:line="200" w:lineRule="exact"/>
            </w:pPr>
            <w:r>
              <w:rPr>
                <w:rFonts w:ascii="方正黑体_GBK" w:hAnsi="方正黑体_GBK" w:eastAsia="方正黑体_GBK" w:cs="宋体"/>
                <w:b/>
                <w:sz w:val="18"/>
                <w:szCs w:val="18"/>
              </w:rPr>
              <w:t>每日计提的销售费=前一日理财产品资产净值×年化销售费率÷365</w:t>
            </w:r>
          </w:p>
          <w:p w14:paraId="7CCB7B59">
            <w:pPr>
              <w:spacing w:line="200" w:lineRule="exact"/>
            </w:pPr>
            <w:r>
              <w:rPr>
                <w:rFonts w:ascii="方正黑体_GBK" w:hAnsi="方正黑体_GBK" w:eastAsia="方正黑体_GBK" w:cs="宋体"/>
                <w:b/>
                <w:sz w:val="18"/>
                <w:szCs w:val="18"/>
              </w:rPr>
              <w:t>C份额：</w:t>
            </w:r>
          </w:p>
          <w:p w14:paraId="7B79590A">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1BCD350F">
            <w:pPr>
              <w:spacing w:line="200" w:lineRule="exact"/>
            </w:pPr>
            <w:r>
              <w:rPr>
                <w:rFonts w:ascii="方正黑体_GBK" w:hAnsi="方正黑体_GBK" w:eastAsia="方正黑体_GBK" w:cs="宋体"/>
                <w:b/>
                <w:sz w:val="18"/>
                <w:szCs w:val="18"/>
              </w:rPr>
              <w:t>每日计提的销售费=前一日理财产品资产净值×年化销售费率÷365</w:t>
            </w:r>
          </w:p>
          <w:p w14:paraId="3DE99F4F">
            <w:pPr>
              <w:spacing w:line="200" w:lineRule="exact"/>
            </w:pPr>
            <w:r>
              <w:rPr>
                <w:rFonts w:ascii="方正黑体_GBK" w:hAnsi="方正黑体_GBK" w:eastAsia="方正黑体_GBK" w:cs="宋体"/>
                <w:b/>
                <w:sz w:val="18"/>
                <w:szCs w:val="18"/>
              </w:rPr>
              <w:t>E份额，F2份额：</w:t>
            </w:r>
          </w:p>
          <w:p w14:paraId="495A8A09">
            <w:pPr>
              <w:spacing w:line="200" w:lineRule="exact"/>
            </w:pPr>
            <w:r>
              <w:rPr>
                <w:rFonts w:ascii="方正黑体_GBK" w:hAnsi="方正黑体_GBK" w:eastAsia="方正黑体_GBK" w:cs="宋体"/>
                <w:b/>
                <w:sz w:val="18"/>
                <w:szCs w:val="18"/>
              </w:rPr>
              <w:t>本理财产品按前一日理财产品资产净值收取年化0.25%的销售费，按日计提。</w:t>
            </w:r>
          </w:p>
          <w:p w14:paraId="6BB6E073">
            <w:pPr>
              <w:spacing w:line="200" w:lineRule="exact"/>
            </w:pPr>
            <w:r>
              <w:rPr>
                <w:rFonts w:ascii="方正黑体_GBK" w:hAnsi="方正黑体_GBK" w:eastAsia="方正黑体_GBK" w:cs="宋体"/>
                <w:b/>
                <w:sz w:val="18"/>
                <w:szCs w:val="18"/>
              </w:rPr>
              <w:t>每日计提的销售费=前一日理财产品资产净值×年化销售费率÷365</w:t>
            </w:r>
          </w:p>
          <w:p w14:paraId="4A4F1AF1">
            <w:pPr>
              <w:spacing w:line="200" w:lineRule="exact"/>
            </w:pPr>
            <w:r>
              <w:rPr>
                <w:rFonts w:ascii="方正黑体_GBK" w:hAnsi="方正黑体_GBK" w:eastAsia="方正黑体_GBK" w:cs="宋体"/>
                <w:b/>
                <w:sz w:val="18"/>
                <w:szCs w:val="18"/>
              </w:rPr>
              <w:t>N份额：</w:t>
            </w:r>
          </w:p>
          <w:p w14:paraId="1333B38F">
            <w:pPr>
              <w:spacing w:line="200" w:lineRule="exact"/>
            </w:pPr>
            <w:r>
              <w:rPr>
                <w:rFonts w:ascii="方正黑体_GBK" w:hAnsi="方正黑体_GBK" w:eastAsia="方正黑体_GBK" w:cs="宋体"/>
                <w:b/>
                <w:sz w:val="18"/>
                <w:szCs w:val="18"/>
              </w:rPr>
              <w:t>本理财产品一次性收取年化0.2%的销售费，按日摊销。</w:t>
            </w:r>
          </w:p>
          <w:p w14:paraId="7A760FBC">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00A5B15F">
            <w:pPr>
              <w:spacing w:line="200" w:lineRule="exact"/>
            </w:pPr>
            <w:r>
              <w:rPr>
                <w:rFonts w:ascii="方正黑体_GBK" w:hAnsi="方正黑体_GBK" w:eastAsia="方正黑体_GBK" w:cs="宋体"/>
                <w:b/>
                <w:sz w:val="18"/>
                <w:szCs w:val="18"/>
              </w:rPr>
              <w:t>O份额：</w:t>
            </w:r>
          </w:p>
          <w:p w14:paraId="02908BFF">
            <w:pPr>
              <w:spacing w:line="200" w:lineRule="exact"/>
            </w:pPr>
            <w:r>
              <w:rPr>
                <w:rFonts w:ascii="方正黑体_GBK" w:hAnsi="方正黑体_GBK" w:eastAsia="方正黑体_GBK" w:cs="宋体"/>
                <w:b/>
                <w:sz w:val="18"/>
                <w:szCs w:val="18"/>
              </w:rPr>
              <w:t>本理财产品一次性收取年化0.3%的销售费，按日摊销。</w:t>
            </w:r>
          </w:p>
          <w:p w14:paraId="30FEC580">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71471A29">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3C1C308">
            <w:pPr>
              <w:spacing w:line="200" w:lineRule="exact"/>
            </w:pPr>
            <w:r>
              <w:rPr>
                <w:rFonts w:ascii="方正黑体_GBK" w:hAnsi="方正黑体_GBK" w:eastAsia="方正黑体_GBK" w:cs="宋体"/>
                <w:b/>
                <w:sz w:val="18"/>
                <w:szCs w:val="18"/>
              </w:rPr>
              <w:t>A份额：固定管理费年化0.2%</w:t>
            </w:r>
          </w:p>
          <w:p w14:paraId="2D2B0BC3">
            <w:pPr>
              <w:spacing w:line="200" w:lineRule="exact"/>
            </w:pPr>
            <w:r>
              <w:rPr>
                <w:rFonts w:ascii="方正黑体_GBK" w:hAnsi="方正黑体_GBK" w:eastAsia="方正黑体_GBK" w:cs="宋体"/>
                <w:b/>
                <w:sz w:val="18"/>
                <w:szCs w:val="18"/>
              </w:rPr>
              <w:t>B份额：固定管理费年化0.15%</w:t>
            </w:r>
          </w:p>
          <w:p w14:paraId="5C1F41C2">
            <w:pPr>
              <w:spacing w:line="200" w:lineRule="exact"/>
            </w:pPr>
            <w:r>
              <w:rPr>
                <w:rFonts w:ascii="方正黑体_GBK" w:hAnsi="方正黑体_GBK" w:eastAsia="方正黑体_GBK" w:cs="宋体"/>
                <w:b/>
                <w:sz w:val="18"/>
                <w:szCs w:val="18"/>
              </w:rPr>
              <w:t>C份额：固定管理费年化0.15%</w:t>
            </w:r>
          </w:p>
          <w:p w14:paraId="477A33DB">
            <w:pPr>
              <w:spacing w:line="200" w:lineRule="exact"/>
            </w:pPr>
            <w:r>
              <w:rPr>
                <w:rFonts w:ascii="方正黑体_GBK" w:hAnsi="方正黑体_GBK" w:eastAsia="方正黑体_GBK" w:cs="宋体"/>
                <w:b/>
                <w:sz w:val="18"/>
                <w:szCs w:val="18"/>
              </w:rPr>
              <w:t>E份额：固定管理费年化0.1%</w:t>
            </w:r>
          </w:p>
          <w:p w14:paraId="2C665081">
            <w:pPr>
              <w:spacing w:line="200" w:lineRule="exact"/>
            </w:pPr>
            <w:r>
              <w:rPr>
                <w:rFonts w:ascii="方正黑体_GBK" w:hAnsi="方正黑体_GBK" w:eastAsia="方正黑体_GBK" w:cs="宋体"/>
                <w:b/>
                <w:sz w:val="18"/>
                <w:szCs w:val="18"/>
              </w:rPr>
              <w:t>N份额：固定管理费年化0.1%</w:t>
            </w:r>
          </w:p>
          <w:p w14:paraId="0EB9D90E">
            <w:pPr>
              <w:spacing w:line="200" w:lineRule="exact"/>
            </w:pPr>
            <w:r>
              <w:rPr>
                <w:rFonts w:ascii="方正黑体_GBK" w:hAnsi="方正黑体_GBK" w:eastAsia="方正黑体_GBK" w:cs="宋体"/>
                <w:b/>
                <w:sz w:val="18"/>
                <w:szCs w:val="18"/>
              </w:rPr>
              <w:t>O份额：固定管理费年化0.1%</w:t>
            </w:r>
          </w:p>
          <w:p w14:paraId="7F3213E0">
            <w:pPr>
              <w:spacing w:line="200" w:lineRule="exact"/>
            </w:pPr>
            <w:r>
              <w:rPr>
                <w:rFonts w:ascii="方正黑体_GBK" w:hAnsi="方正黑体_GBK" w:eastAsia="方正黑体_GBK" w:cs="宋体"/>
                <w:b/>
                <w:sz w:val="18"/>
                <w:szCs w:val="18"/>
              </w:rPr>
              <w:t>F2份额：固定管理费年化0.1%</w:t>
            </w:r>
          </w:p>
          <w:p w14:paraId="75F5D15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50B7BE1">
            <w:pPr>
              <w:spacing w:line="200" w:lineRule="exact"/>
            </w:pPr>
            <w:r>
              <w:rPr>
                <w:rFonts w:ascii="方正黑体_GBK" w:hAnsi="方正黑体_GBK" w:eastAsia="方正黑体_GBK" w:cs="宋体"/>
                <w:b/>
                <w:sz w:val="18"/>
                <w:szCs w:val="18"/>
              </w:rPr>
              <w:t>托管费：</w:t>
            </w:r>
          </w:p>
          <w:p w14:paraId="163CCE6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3DD79A7">
            <w:pPr>
              <w:spacing w:line="200" w:lineRule="exact"/>
            </w:pPr>
            <w:r>
              <w:rPr>
                <w:rFonts w:ascii="方正黑体_GBK" w:hAnsi="方正黑体_GBK" w:eastAsia="方正黑体_GBK" w:cs="宋体"/>
                <w:b/>
                <w:sz w:val="18"/>
                <w:szCs w:val="18"/>
              </w:rPr>
              <w:t>每日计提的托管费=前一日理财产品资产净值×年化托管费率÷365</w:t>
            </w:r>
          </w:p>
          <w:p w14:paraId="5FCCACD6">
            <w:pPr>
              <w:spacing w:line="200" w:lineRule="exact"/>
            </w:pPr>
            <w:r>
              <w:rPr>
                <w:rFonts w:ascii="方正黑体_GBK" w:hAnsi="方正黑体_GBK" w:eastAsia="方正黑体_GBK" w:cs="宋体"/>
                <w:b/>
                <w:sz w:val="18"/>
                <w:szCs w:val="18"/>
              </w:rPr>
              <w:t>业绩报酬：</w:t>
            </w:r>
          </w:p>
          <w:p w14:paraId="7085A12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14:paraId="59809C5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14:paraId="250F0D1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14:paraId="73A49704">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0B2E4D56">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14:paraId="7A34F868">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14:paraId="3A5D124C">
            <w:pPr>
              <w:spacing w:line="200" w:lineRule="exact"/>
            </w:pPr>
            <w:r>
              <w:rPr>
                <w:rFonts w:ascii="方正黑体_GBK" w:hAnsi="方正黑体_GBK" w:eastAsia="方正黑体_GBK" w:cs="宋体"/>
                <w:b/>
                <w:sz w:val="18"/>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6605FFC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3CCEDC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031FD5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690AEF1">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0DC5356">
            <w:pPr>
              <w:spacing w:line="200" w:lineRule="exact"/>
            </w:pPr>
            <w:r>
              <w:rPr>
                <w:rFonts w:ascii="方正黑体_GBK" w:hAnsi="方正黑体_GBK" w:eastAsia="方正黑体_GBK" w:cs="宋体"/>
                <w:b/>
                <w:sz w:val="18"/>
                <w:szCs w:val="18"/>
              </w:rPr>
              <w:t>计算本区间业绩报酬的公式如下：</w:t>
            </w:r>
          </w:p>
          <w:p w14:paraId="0FF5EE95">
            <w:pPr>
              <w:spacing w:line="200" w:lineRule="exact"/>
            </w:pPr>
            <w:r>
              <w:rPr>
                <w:rFonts w:ascii="方正黑体_GBK" w:hAnsi="方正黑体_GBK" w:eastAsia="方正黑体_GBK" w:cs="宋体"/>
                <w:b/>
                <w:sz w:val="18"/>
                <w:szCs w:val="18"/>
              </w:rPr>
              <w:t>A={B-C*D*(1+E*F/365)}*G。</w:t>
            </w:r>
          </w:p>
          <w:p w14:paraId="6590417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F16F0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1D5A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359D499">
            <w:pPr>
              <w:spacing w:line="200" w:lineRule="exact"/>
            </w:pPr>
            <w:r>
              <w:rPr>
                <w:rFonts w:ascii="方正黑体_GBK" w:hAnsi="方正黑体_GBK" w:eastAsia="方正黑体_GBK" w:cs="宋体"/>
                <w:sz w:val="18"/>
                <w:szCs w:val="18"/>
              </w:rPr>
              <w:t>具体详见本理财产品风险揭示书。</w:t>
            </w:r>
          </w:p>
        </w:tc>
      </w:tr>
      <w:tr w14:paraId="1812F2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5943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578FA5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14:paraId="3ACC4478">
            <w:pPr>
              <w:spacing w:line="200" w:lineRule="exact"/>
              <w:jc w:val="left"/>
            </w:pPr>
            <w:r>
              <w:rPr>
                <w:rFonts w:ascii="方正黑体_GBK" w:hAnsi="方正黑体_GBK" w:eastAsia="方正黑体_GBK" w:cs="宋体"/>
                <w:sz w:val="18"/>
                <w:szCs w:val="18"/>
              </w:rPr>
              <w:t>管理人主要职责如下：</w:t>
            </w:r>
          </w:p>
          <w:p w14:paraId="73435420">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339FCD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21F008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69CA43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5AC2A03">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5276F7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F7F78CB">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C0A9C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FEA3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E9D6C69">
            <w:pPr>
              <w:spacing w:line="200" w:lineRule="exact"/>
              <w:jc w:val="left"/>
            </w:pPr>
            <w:r>
              <w:rPr>
                <w:rFonts w:ascii="方正黑体_GBK" w:hAnsi="方正黑体_GBK" w:eastAsia="方正黑体_GBK" w:cs="宋体"/>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销售机构基本信息详见第五条。</w:t>
            </w:r>
          </w:p>
          <w:p w14:paraId="1F66F250">
            <w:pPr>
              <w:spacing w:line="200" w:lineRule="exact"/>
              <w:jc w:val="left"/>
            </w:pPr>
            <w:r>
              <w:rPr>
                <w:rFonts w:ascii="方正黑体_GBK" w:hAnsi="方正黑体_GBK" w:eastAsia="方正黑体_GBK" w:cs="宋体"/>
                <w:sz w:val="18"/>
                <w:szCs w:val="18"/>
              </w:rPr>
              <w:t>销售机构主要职责如下：</w:t>
            </w:r>
          </w:p>
          <w:p w14:paraId="099E97B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08DDE3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31DFC5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72CC54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B4F308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F46E18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50BEE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C22D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5832E24">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781917A2">
            <w:pPr>
              <w:spacing w:line="200" w:lineRule="exact"/>
            </w:pPr>
            <w:r>
              <w:rPr>
                <w:rFonts w:ascii="方正黑体_GBK" w:hAnsi="方正黑体_GBK" w:eastAsia="方正黑体_GBK" w:cs="宋体"/>
                <w:sz w:val="18"/>
                <w:szCs w:val="18"/>
              </w:rPr>
              <w:t>主要职责如下：</w:t>
            </w:r>
          </w:p>
          <w:p w14:paraId="5AAC8649">
            <w:pPr>
              <w:spacing w:line="200" w:lineRule="exact"/>
            </w:pPr>
            <w:r>
              <w:rPr>
                <w:rFonts w:ascii="方正黑体_GBK" w:hAnsi="方正黑体_GBK" w:eastAsia="方正黑体_GBK" w:cs="宋体"/>
                <w:sz w:val="18"/>
                <w:szCs w:val="18"/>
              </w:rPr>
              <w:t>1.安全保管理财产品财产；</w:t>
            </w:r>
          </w:p>
          <w:p w14:paraId="4D82BCD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CCECBB7">
            <w:pPr>
              <w:spacing w:line="200" w:lineRule="exact"/>
            </w:pPr>
            <w:r>
              <w:rPr>
                <w:rFonts w:ascii="方正黑体_GBK" w:hAnsi="方正黑体_GBK" w:eastAsia="方正黑体_GBK" w:cs="宋体"/>
                <w:sz w:val="18"/>
                <w:szCs w:val="18"/>
              </w:rPr>
              <w:t>3.按照托管协议约定和管理人的投资指令，及时办理清算、交割事宜；</w:t>
            </w:r>
          </w:p>
          <w:p w14:paraId="3D997726">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A4E6F4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7D9D70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2B7ACC2">
            <w:pPr>
              <w:spacing w:line="200" w:lineRule="exact"/>
            </w:pPr>
            <w:r>
              <w:rPr>
                <w:rFonts w:ascii="方正黑体_GBK" w:hAnsi="方正黑体_GBK" w:eastAsia="方正黑体_GBK" w:cs="宋体"/>
                <w:sz w:val="18"/>
                <w:szCs w:val="18"/>
              </w:rPr>
              <w:t>7.理财托管业务活动的记录、账册、报表和其他相关资料保存20年以上；</w:t>
            </w:r>
          </w:p>
          <w:p w14:paraId="14D66E5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83EBF70">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DF57A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2868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268B81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14:paraId="049EC289">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4609BDFC">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14:paraId="52A0620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CB5E343">
            <w:pPr>
              <w:spacing w:line="200" w:lineRule="exact"/>
            </w:pPr>
            <w:r>
              <w:rPr>
                <w:rFonts w:ascii="方正黑体_GBK" w:hAnsi="方正黑体_GBK" w:eastAsia="方正黑体_GBK" w:cs="宋体"/>
                <w:sz w:val="18"/>
                <w:szCs w:val="18"/>
              </w:rPr>
              <w:t>上述投资合作机构简介：</w:t>
            </w:r>
          </w:p>
          <w:p w14:paraId="7C7F28B9">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9970A9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6DCC057">
            <w:pPr>
              <w:spacing w:line="200" w:lineRule="exact"/>
            </w:pPr>
            <w:r>
              <w:rPr>
                <w:rFonts w:ascii="方正黑体_GBK" w:hAnsi="方正黑体_GBK" w:eastAsia="方正黑体_GBK" w:cs="宋体"/>
                <w:sz w:val="18"/>
                <w:szCs w:val="18"/>
              </w:rPr>
              <w:t>国联基金管理有限公司成立于2013年05月31日，注册资本金11.5亿元。</w:t>
            </w:r>
          </w:p>
          <w:p w14:paraId="40740C4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28BA6E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0BDF288">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186F6C9">
            <w:pPr>
              <w:spacing w:line="200" w:lineRule="exact"/>
            </w:pPr>
            <w:r>
              <w:rPr>
                <w:rFonts w:ascii="方正黑体_GBK" w:hAnsi="方正黑体_GBK" w:eastAsia="方正黑体_GBK" w:cs="宋体"/>
                <w:sz w:val="18"/>
                <w:szCs w:val="18"/>
              </w:rPr>
              <w:t>华鑫国际信托有限公司成立于1984年06月01日，注册资本金73.95亿元。</w:t>
            </w:r>
          </w:p>
          <w:p w14:paraId="576E1E12">
            <w:pPr>
              <w:spacing w:line="200" w:lineRule="exact"/>
            </w:pPr>
            <w:r>
              <w:rPr>
                <w:rFonts w:ascii="方正黑体_GBK" w:hAnsi="方正黑体_GBK" w:eastAsia="方正黑体_GBK" w:cs="宋体"/>
                <w:sz w:val="18"/>
                <w:szCs w:val="18"/>
              </w:rPr>
              <w:t>建信保险资产管理有限公司成立于2016年04月27日，注册资本金3亿元。</w:t>
            </w:r>
          </w:p>
          <w:p w14:paraId="0ACCB0FB">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392C3F6">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899178A">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75C50B5">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AAD23C5">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944BC52">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1DA0DDA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4F3B4C3">
            <w:pPr>
              <w:spacing w:line="200" w:lineRule="exact"/>
            </w:pPr>
            <w:r>
              <w:rPr>
                <w:rFonts w:ascii="方正黑体_GBK" w:hAnsi="方正黑体_GBK" w:eastAsia="方正黑体_GBK" w:cs="宋体"/>
                <w:sz w:val="18"/>
                <w:szCs w:val="18"/>
              </w:rPr>
              <w:t>中粮信托有限责任公司成立于2009年07月27日，注册资本金28.3亿元。</w:t>
            </w:r>
          </w:p>
          <w:p w14:paraId="6168615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F94239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4C8CA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1929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8B8FC06">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92E0508">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5E693A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4AA0AC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BED96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17FC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61E005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62B0997">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6EAE4A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24D514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ACC110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431E2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E87D39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B0E81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07B7A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AE7D3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80BF5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030042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7C502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9A871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06031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18F37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A3D4A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4C4C7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1EC415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ED58F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5E6D3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9BCA9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35A67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48CE7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FF963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50B08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ECD1D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B6EDC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9FC12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BFC3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4BCAE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1E247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BB99B0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CE7BFE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南银理财珠联璧合鑫逸稳两年182期封闭式公募人民币理财产品</w:t>
      </w:r>
      <w:r>
        <w:rPr>
          <w:rFonts w:hint="eastAsia" w:ascii="方正黑体_GBK" w:hAnsi="方正黑体_GBK" w:eastAsia="方正黑体_GBK"/>
          <w:vanish w:val="0"/>
          <w:color w:val="3D3D3D"/>
          <w:kern w:val="0"/>
          <w:sz w:val="15"/>
          <w:szCs w:val="15"/>
        </w:rPr>
        <w:t>。</w:t>
      </w:r>
    </w:p>
    <w:p w14:paraId="137F03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D8646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AD881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62784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4D4940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77F8E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43482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059C4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5E0A3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A0652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66384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849CF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AA5BF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5220D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20A06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02330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BB4B6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385F6F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EB3723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13FF0F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B730E5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A7DFCD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E078A6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712905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591995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B86786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8FC4B0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57FCDE6">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E40D7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415E8FF">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766C519">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86249A7">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F74CF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4258F8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9A279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D69E540">
      <w:pPr>
        <w:spacing w:line="200" w:lineRule="exact"/>
        <w:ind w:firstLine="300"/>
        <w:jc w:val="both"/>
      </w:pPr>
      <w:r>
        <w:rPr>
          <w:rFonts w:ascii="方正黑体_GBK" w:hAnsi="方正黑体_GBK" w:eastAsia="方正黑体_GBK" w:cs="宋体"/>
          <w:sz w:val="15"/>
          <w:szCs w:val="20"/>
        </w:rPr>
        <w:t>（一）估值日</w:t>
      </w:r>
    </w:p>
    <w:p w14:paraId="506526DC">
      <w:pPr>
        <w:spacing w:line="200" w:lineRule="exact"/>
        <w:ind w:firstLine="300"/>
        <w:jc w:val="both"/>
      </w:pPr>
      <w:r>
        <w:rPr>
          <w:rFonts w:ascii="方正黑体_GBK" w:hAnsi="方正黑体_GBK" w:eastAsia="方正黑体_GBK" w:cs="宋体"/>
          <w:sz w:val="15"/>
          <w:szCs w:val="20"/>
        </w:rPr>
        <w:t>本理财产品每个工作日进行估值。</w:t>
      </w:r>
    </w:p>
    <w:p w14:paraId="3B6A019B">
      <w:pPr>
        <w:spacing w:line="200" w:lineRule="exact"/>
        <w:ind w:firstLine="300"/>
        <w:jc w:val="both"/>
      </w:pPr>
      <w:r>
        <w:rPr>
          <w:rFonts w:ascii="方正黑体_GBK" w:hAnsi="方正黑体_GBK" w:eastAsia="方正黑体_GBK" w:cs="宋体"/>
          <w:sz w:val="15"/>
          <w:szCs w:val="20"/>
        </w:rPr>
        <w:t>（二）估值对象</w:t>
      </w:r>
    </w:p>
    <w:p w14:paraId="36FAA451">
      <w:pPr>
        <w:spacing w:line="200" w:lineRule="exact"/>
        <w:ind w:firstLine="300"/>
        <w:jc w:val="both"/>
      </w:pPr>
      <w:r>
        <w:rPr>
          <w:rFonts w:ascii="方正黑体_GBK" w:hAnsi="方正黑体_GBK" w:eastAsia="方正黑体_GBK" w:cs="宋体"/>
          <w:sz w:val="15"/>
          <w:szCs w:val="20"/>
        </w:rPr>
        <w:t>本理财产品所拥有的所有资产及负债。</w:t>
      </w:r>
    </w:p>
    <w:p w14:paraId="51CEE117">
      <w:pPr>
        <w:spacing w:line="200" w:lineRule="exact"/>
        <w:ind w:firstLine="300"/>
        <w:jc w:val="both"/>
      </w:pPr>
      <w:r>
        <w:rPr>
          <w:rFonts w:ascii="方正黑体_GBK" w:hAnsi="方正黑体_GBK" w:eastAsia="方正黑体_GBK" w:cs="宋体"/>
          <w:sz w:val="15"/>
          <w:szCs w:val="20"/>
        </w:rPr>
        <w:t>（三）估值目的</w:t>
      </w:r>
    </w:p>
    <w:p w14:paraId="659FF9B4">
      <w:pPr>
        <w:spacing w:line="200" w:lineRule="exact"/>
        <w:ind w:firstLine="300"/>
        <w:jc w:val="both"/>
      </w:pPr>
      <w:r>
        <w:rPr>
          <w:rFonts w:ascii="方正黑体_GBK" w:hAnsi="方正黑体_GBK" w:eastAsia="方正黑体_GBK" w:cs="宋体"/>
          <w:sz w:val="15"/>
          <w:szCs w:val="20"/>
        </w:rPr>
        <w:t>客观、准确反映理财产品的价值。</w:t>
      </w:r>
    </w:p>
    <w:p w14:paraId="5B50CD38">
      <w:pPr>
        <w:spacing w:line="200" w:lineRule="exact"/>
        <w:ind w:firstLine="300"/>
        <w:jc w:val="both"/>
      </w:pPr>
      <w:r>
        <w:rPr>
          <w:rFonts w:ascii="方正黑体_GBK" w:hAnsi="方正黑体_GBK" w:eastAsia="方正黑体_GBK" w:cs="宋体"/>
          <w:sz w:val="15"/>
          <w:szCs w:val="20"/>
        </w:rPr>
        <w:t>（四）估值原则</w:t>
      </w:r>
    </w:p>
    <w:p w14:paraId="13682A9B">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31B2E7B">
      <w:pPr>
        <w:spacing w:line="200" w:lineRule="exact"/>
        <w:ind w:firstLine="300"/>
        <w:jc w:val="both"/>
      </w:pPr>
      <w:r>
        <w:rPr>
          <w:rFonts w:ascii="方正黑体_GBK" w:hAnsi="方正黑体_GBK" w:eastAsia="方正黑体_GBK" w:cs="宋体"/>
          <w:sz w:val="15"/>
          <w:szCs w:val="20"/>
        </w:rPr>
        <w:t>（五）估值方法</w:t>
      </w:r>
    </w:p>
    <w:p w14:paraId="727BD86B">
      <w:pPr>
        <w:spacing w:line="200" w:lineRule="exact"/>
        <w:ind w:firstLine="44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7C77AAF4">
      <w:pPr>
        <w:spacing w:line="200" w:lineRule="exact"/>
        <w:ind w:firstLine="440"/>
      </w:pPr>
      <w:r>
        <w:rPr>
          <w:rFonts w:ascii="方正黑体_GBK" w:hAnsi="方正黑体_GBK" w:eastAsia="方正黑体_GBK" w:cs="宋体"/>
          <w:sz w:val="15"/>
          <w:szCs w:val="20"/>
        </w:rPr>
        <w:t>1.银行存款、回购等货币市场工具</w:t>
      </w:r>
    </w:p>
    <w:p w14:paraId="391AE7E4">
      <w:pPr>
        <w:spacing w:line="200" w:lineRule="exact"/>
        <w:ind w:firstLine="440"/>
      </w:pPr>
      <w:r>
        <w:rPr>
          <w:rFonts w:ascii="方正黑体_GBK" w:hAnsi="方正黑体_GBK" w:eastAsia="方正黑体_GBK" w:cs="宋体"/>
          <w:sz w:val="15"/>
          <w:szCs w:val="20"/>
        </w:rPr>
        <w:t>以本金列示，逐日计提利息。</w:t>
      </w:r>
    </w:p>
    <w:p w14:paraId="5CECBFF0">
      <w:pPr>
        <w:spacing w:line="200" w:lineRule="exact"/>
        <w:ind w:firstLine="440"/>
      </w:pPr>
      <w:r>
        <w:rPr>
          <w:rFonts w:ascii="方正黑体_GBK" w:hAnsi="方正黑体_GBK" w:eastAsia="方正黑体_GBK" w:cs="宋体"/>
          <w:sz w:val="15"/>
          <w:szCs w:val="20"/>
        </w:rPr>
        <w:t>2.债券类资产</w:t>
      </w:r>
    </w:p>
    <w:p w14:paraId="7280A932">
      <w:pPr>
        <w:spacing w:line="200" w:lineRule="exact"/>
        <w:ind w:firstLine="44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38274EF">
      <w:pPr>
        <w:spacing w:line="200" w:lineRule="exact"/>
        <w:ind w:firstLine="440"/>
      </w:pPr>
      <w:r>
        <w:rPr>
          <w:rFonts w:ascii="方正黑体_GBK" w:hAnsi="方正黑体_GBK" w:eastAsia="方正黑体_GBK" w:cs="宋体"/>
          <w:sz w:val="15"/>
          <w:szCs w:val="20"/>
        </w:rPr>
        <w:t>3.非标准化债权类资产</w:t>
      </w:r>
    </w:p>
    <w:p w14:paraId="13A9D820">
      <w:pPr>
        <w:spacing w:line="200" w:lineRule="exact"/>
        <w:ind w:firstLine="44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87BC9A4">
      <w:pPr>
        <w:spacing w:line="200" w:lineRule="exact"/>
        <w:ind w:firstLine="440"/>
      </w:pPr>
      <w:r>
        <w:rPr>
          <w:rFonts w:ascii="方正黑体_GBK" w:hAnsi="方正黑体_GBK" w:eastAsia="方正黑体_GBK" w:cs="宋体"/>
          <w:sz w:val="15"/>
          <w:szCs w:val="20"/>
        </w:rPr>
        <w:t>4.证券投资基金、资管计划、信托计划等资产</w:t>
      </w:r>
    </w:p>
    <w:p w14:paraId="3B46A43D">
      <w:pPr>
        <w:spacing w:line="200" w:lineRule="exact"/>
        <w:ind w:firstLine="44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545C29A0">
      <w:pPr>
        <w:spacing w:line="200" w:lineRule="exact"/>
        <w:ind w:firstLine="440"/>
      </w:pPr>
      <w:r>
        <w:rPr>
          <w:rFonts w:ascii="方正黑体_GBK" w:hAnsi="方正黑体_GBK" w:eastAsia="方正黑体_GBK" w:cs="宋体"/>
          <w:sz w:val="15"/>
          <w:szCs w:val="20"/>
        </w:rPr>
        <w:t>5.股权类及其他资产</w:t>
      </w:r>
    </w:p>
    <w:p w14:paraId="3AF04162">
      <w:pPr>
        <w:spacing w:line="200" w:lineRule="exact"/>
        <w:ind w:firstLine="440"/>
      </w:pPr>
      <w:r>
        <w:rPr>
          <w:rFonts w:ascii="方正黑体_GBK" w:hAnsi="方正黑体_GBK" w:eastAsia="方正黑体_GBK" w:cs="宋体"/>
          <w:sz w:val="15"/>
          <w:szCs w:val="20"/>
        </w:rPr>
        <w:t>按照公允价值估值，优先采用市值法估值。</w:t>
      </w:r>
    </w:p>
    <w:p w14:paraId="4D7FE8DC">
      <w:pPr>
        <w:spacing w:line="200" w:lineRule="exact"/>
        <w:ind w:firstLine="440"/>
      </w:pPr>
      <w:r>
        <w:rPr>
          <w:rFonts w:ascii="方正黑体_GBK" w:hAnsi="方正黑体_GBK" w:eastAsia="方正黑体_GBK" w:cs="宋体"/>
          <w:sz w:val="15"/>
          <w:szCs w:val="20"/>
        </w:rPr>
        <w:t>6.如有新增事项或变更事项，按国家最新规定或监管最新要求进行调整。</w:t>
      </w:r>
    </w:p>
    <w:p w14:paraId="70F68906">
      <w:pPr>
        <w:spacing w:line="200" w:lineRule="exact"/>
        <w:ind w:firstLine="300"/>
        <w:jc w:val="both"/>
      </w:pPr>
      <w:r>
        <w:rPr>
          <w:rFonts w:ascii="方正黑体_GBK" w:hAnsi="方正黑体_GBK" w:eastAsia="方正黑体_GBK" w:cs="宋体"/>
          <w:sz w:val="15"/>
          <w:szCs w:val="20"/>
        </w:rPr>
        <w:t>（六）估值错误及暂停估值</w:t>
      </w:r>
    </w:p>
    <w:p w14:paraId="10AE2D02">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E2EEA5B">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0211683D">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52B7D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492B474">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2264F1C5">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64008F2C">
            <w:pPr>
              <w:spacing w:line="200" w:lineRule="exact"/>
            </w:pPr>
            <w:r>
              <w:rPr>
                <w:rFonts w:ascii="方正黑体_GBK" w:hAnsi="方正黑体_GBK" w:eastAsia="方正黑体_GBK" w:cs="宋体"/>
                <w:b/>
                <w:sz w:val="15"/>
                <w:szCs w:val="20"/>
              </w:rPr>
              <w:t>联系方式</w:t>
            </w:r>
          </w:p>
        </w:tc>
      </w:tr>
      <w:tr w14:paraId="138A3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4F0326B">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68E44E1B">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29538A75">
            <w:pPr>
              <w:spacing w:line="200" w:lineRule="exact"/>
            </w:pPr>
            <w:r>
              <w:rPr>
                <w:rFonts w:ascii="方正黑体_GBK" w:hAnsi="方正黑体_GBK" w:eastAsia="方正黑体_GBK" w:cs="宋体"/>
                <w:sz w:val="15"/>
                <w:szCs w:val="20"/>
              </w:rPr>
              <w:t>025-83642111</w:t>
            </w:r>
          </w:p>
        </w:tc>
      </w:tr>
      <w:tr w14:paraId="403FE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E1AEF56">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4C6BBDB9">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705F10DE">
            <w:pPr>
              <w:spacing w:line="200" w:lineRule="exact"/>
            </w:pPr>
            <w:r>
              <w:rPr>
                <w:rFonts w:ascii="方正黑体_GBK" w:hAnsi="方正黑体_GBK" w:eastAsia="方正黑体_GBK" w:cs="宋体"/>
                <w:sz w:val="15"/>
                <w:szCs w:val="20"/>
              </w:rPr>
              <w:t>95302</w:t>
            </w:r>
          </w:p>
        </w:tc>
      </w:tr>
      <w:tr w14:paraId="6C9094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5E82C0">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35E788C1">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5FE6DF52">
            <w:pPr>
              <w:spacing w:line="200" w:lineRule="exact"/>
            </w:pPr>
            <w:r>
              <w:rPr>
                <w:rFonts w:ascii="方正黑体_GBK" w:hAnsi="方正黑体_GBK" w:eastAsia="方正黑体_GBK" w:cs="宋体"/>
                <w:sz w:val="15"/>
                <w:szCs w:val="20"/>
              </w:rPr>
              <w:t>4006696588</w:t>
            </w:r>
          </w:p>
        </w:tc>
      </w:tr>
      <w:tr w14:paraId="705C1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7158C5">
            <w:pPr>
              <w:spacing w:line="200" w:lineRule="exact"/>
            </w:pPr>
            <w:r>
              <w:rPr>
                <w:rFonts w:ascii="方正黑体_GBK" w:hAnsi="方正黑体_GBK" w:eastAsia="方正黑体_GBK" w:cs="宋体"/>
                <w:sz w:val="15"/>
                <w:szCs w:val="20"/>
              </w:rPr>
              <w:t>杭州银行股份有限公司</w:t>
            </w:r>
          </w:p>
        </w:tc>
        <w:tc>
          <w:tcPr>
            <w:tcW w:w="4050" w:type="dxa"/>
            <w:tcMar>
              <w:left w:w="120" w:type="dxa"/>
            </w:tcMar>
            <w:vAlign w:val="center"/>
          </w:tcPr>
          <w:p w14:paraId="16E2B78A">
            <w:pPr>
              <w:spacing w:line="200" w:lineRule="exact"/>
            </w:pPr>
            <w:r>
              <w:rPr>
                <w:rFonts w:ascii="方正黑体_GBK" w:hAnsi="方正黑体_GBK" w:eastAsia="方正黑体_GBK" w:cs="宋体"/>
                <w:sz w:val="15"/>
                <w:szCs w:val="20"/>
              </w:rPr>
              <w:t>浙江省杭州市上城区解放东路168号</w:t>
            </w:r>
          </w:p>
        </w:tc>
        <w:tc>
          <w:tcPr>
            <w:tcW w:w="1350" w:type="dxa"/>
            <w:tcMar>
              <w:left w:w="120" w:type="dxa"/>
            </w:tcMar>
            <w:vAlign w:val="center"/>
          </w:tcPr>
          <w:p w14:paraId="0C67CD54">
            <w:pPr>
              <w:spacing w:line="200" w:lineRule="exact"/>
            </w:pPr>
            <w:r>
              <w:rPr>
                <w:rFonts w:ascii="方正黑体_GBK" w:hAnsi="方正黑体_GBK" w:eastAsia="方正黑体_GBK" w:cs="宋体"/>
                <w:sz w:val="15"/>
                <w:szCs w:val="20"/>
              </w:rPr>
              <w:t>95398</w:t>
            </w:r>
          </w:p>
        </w:tc>
      </w:tr>
      <w:tr w14:paraId="71403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EAAB248">
            <w:pPr>
              <w:spacing w:line="200" w:lineRule="exact"/>
            </w:pPr>
            <w:r>
              <w:rPr>
                <w:rFonts w:ascii="方正黑体_GBK" w:hAnsi="方正黑体_GBK" w:eastAsia="方正黑体_GBK" w:cs="宋体"/>
                <w:sz w:val="15"/>
                <w:szCs w:val="20"/>
              </w:rPr>
              <w:t>齐商银行股份有限公司</w:t>
            </w:r>
          </w:p>
        </w:tc>
        <w:tc>
          <w:tcPr>
            <w:tcW w:w="4050" w:type="dxa"/>
            <w:tcMar>
              <w:left w:w="120" w:type="dxa"/>
            </w:tcMar>
            <w:vAlign w:val="center"/>
          </w:tcPr>
          <w:p w14:paraId="6C8BE90B">
            <w:pPr>
              <w:spacing w:line="200" w:lineRule="exact"/>
            </w:pPr>
            <w:r>
              <w:rPr>
                <w:rFonts w:ascii="方正黑体_GBK" w:hAnsi="方正黑体_GBK" w:eastAsia="方正黑体_GBK" w:cs="宋体"/>
                <w:sz w:val="15"/>
                <w:szCs w:val="20"/>
              </w:rPr>
              <w:t>山东省淄博市张店区人民西路212号</w:t>
            </w:r>
          </w:p>
        </w:tc>
        <w:tc>
          <w:tcPr>
            <w:tcW w:w="1350" w:type="dxa"/>
            <w:tcMar>
              <w:left w:w="120" w:type="dxa"/>
            </w:tcMar>
            <w:vAlign w:val="center"/>
          </w:tcPr>
          <w:p w14:paraId="4F423E94">
            <w:pPr>
              <w:spacing w:line="200" w:lineRule="exact"/>
            </w:pPr>
            <w:r>
              <w:rPr>
                <w:rFonts w:ascii="方正黑体_GBK" w:hAnsi="方正黑体_GBK" w:eastAsia="方正黑体_GBK" w:cs="宋体"/>
                <w:sz w:val="15"/>
                <w:szCs w:val="20"/>
              </w:rPr>
              <w:t>0533-2163939</w:t>
            </w:r>
          </w:p>
        </w:tc>
      </w:tr>
      <w:tr w14:paraId="33B05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6A4DC0B">
            <w:pPr>
              <w:spacing w:line="200" w:lineRule="exact"/>
            </w:pPr>
            <w:r>
              <w:rPr>
                <w:rFonts w:ascii="方正黑体_GBK" w:hAnsi="方正黑体_GBK" w:eastAsia="方正黑体_GBK" w:cs="宋体"/>
                <w:sz w:val="15"/>
                <w:szCs w:val="20"/>
              </w:rPr>
              <w:t>江苏常熟农村商业银行股份有限公司</w:t>
            </w:r>
          </w:p>
        </w:tc>
        <w:tc>
          <w:tcPr>
            <w:tcW w:w="4050" w:type="dxa"/>
            <w:tcMar>
              <w:left w:w="120" w:type="dxa"/>
            </w:tcMar>
            <w:vAlign w:val="center"/>
          </w:tcPr>
          <w:p w14:paraId="5098C9F6">
            <w:pPr>
              <w:spacing w:line="200" w:lineRule="exact"/>
            </w:pPr>
            <w:r>
              <w:rPr>
                <w:rFonts w:ascii="方正黑体_GBK" w:hAnsi="方正黑体_GBK" w:eastAsia="方正黑体_GBK" w:cs="宋体"/>
                <w:sz w:val="15"/>
                <w:szCs w:val="20"/>
              </w:rPr>
              <w:t>江苏省常熟市新世纪大道58号</w:t>
            </w:r>
          </w:p>
        </w:tc>
        <w:tc>
          <w:tcPr>
            <w:tcW w:w="1350" w:type="dxa"/>
            <w:tcMar>
              <w:left w:w="120" w:type="dxa"/>
            </w:tcMar>
            <w:vAlign w:val="center"/>
          </w:tcPr>
          <w:p w14:paraId="02B3F3E7">
            <w:pPr>
              <w:spacing w:line="200" w:lineRule="exact"/>
            </w:pPr>
            <w:r>
              <w:rPr>
                <w:rFonts w:ascii="方正黑体_GBK" w:hAnsi="方正黑体_GBK" w:eastAsia="方正黑体_GBK" w:cs="宋体"/>
                <w:sz w:val="15"/>
                <w:szCs w:val="20"/>
              </w:rPr>
              <w:t>956020</w:t>
            </w:r>
          </w:p>
        </w:tc>
      </w:tr>
      <w:tr w14:paraId="79C2EF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673046B">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4100AC69">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0FF90577">
            <w:pPr>
              <w:spacing w:line="200" w:lineRule="exact"/>
            </w:pPr>
            <w:r>
              <w:rPr>
                <w:rFonts w:ascii="方正黑体_GBK" w:hAnsi="方正黑体_GBK" w:eastAsia="方正黑体_GBK" w:cs="宋体"/>
                <w:sz w:val="15"/>
                <w:szCs w:val="20"/>
              </w:rPr>
              <w:t>956111</w:t>
            </w:r>
          </w:p>
        </w:tc>
      </w:tr>
      <w:tr w14:paraId="10E08D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EEA0BE8">
            <w:pPr>
              <w:spacing w:line="200" w:lineRule="exact"/>
            </w:pPr>
            <w:r>
              <w:rPr>
                <w:rFonts w:ascii="方正黑体_GBK" w:hAnsi="方正黑体_GBK" w:eastAsia="方正黑体_GBK" w:cs="宋体"/>
                <w:sz w:val="15"/>
                <w:szCs w:val="20"/>
              </w:rPr>
              <w:t>长沙银行股份有限公司</w:t>
            </w:r>
          </w:p>
        </w:tc>
        <w:tc>
          <w:tcPr>
            <w:tcW w:w="4050" w:type="dxa"/>
            <w:tcMar>
              <w:left w:w="120" w:type="dxa"/>
            </w:tcMar>
            <w:vAlign w:val="center"/>
          </w:tcPr>
          <w:p w14:paraId="31CF26D1">
            <w:pPr>
              <w:spacing w:line="200" w:lineRule="exact"/>
            </w:pPr>
            <w:r>
              <w:rPr>
                <w:rFonts w:ascii="方正黑体_GBK" w:hAnsi="方正黑体_GBK" w:eastAsia="方正黑体_GBK" w:cs="宋体"/>
                <w:sz w:val="15"/>
                <w:szCs w:val="20"/>
              </w:rPr>
              <w:t>湖南省长沙市岳麓区滨江路53号楷林商务中心B座</w:t>
            </w:r>
          </w:p>
        </w:tc>
        <w:tc>
          <w:tcPr>
            <w:tcW w:w="1350" w:type="dxa"/>
            <w:tcMar>
              <w:left w:w="120" w:type="dxa"/>
            </w:tcMar>
            <w:vAlign w:val="center"/>
          </w:tcPr>
          <w:p w14:paraId="082EA4BD">
            <w:pPr>
              <w:spacing w:line="200" w:lineRule="exact"/>
            </w:pPr>
            <w:r>
              <w:rPr>
                <w:rFonts w:ascii="方正黑体_GBK" w:hAnsi="方正黑体_GBK" w:eastAsia="方正黑体_GBK" w:cs="宋体"/>
                <w:sz w:val="15"/>
                <w:szCs w:val="20"/>
              </w:rPr>
              <w:t>0731-89934772</w:t>
            </w:r>
          </w:p>
        </w:tc>
      </w:tr>
      <w:tr w14:paraId="09B01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C31E89D">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433EF6A7">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778E2C07">
            <w:pPr>
              <w:spacing w:line="200" w:lineRule="exact"/>
            </w:pPr>
            <w:r>
              <w:rPr>
                <w:rFonts w:ascii="方正黑体_GBK" w:hAnsi="方正黑体_GBK" w:eastAsia="方正黑体_GBK" w:cs="宋体"/>
                <w:sz w:val="15"/>
                <w:szCs w:val="20"/>
              </w:rPr>
              <w:t>0335-96336</w:t>
            </w:r>
          </w:p>
        </w:tc>
      </w:tr>
      <w:tr w14:paraId="09368E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FD62E1">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279C6CBB">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565EDCDA">
            <w:pPr>
              <w:spacing w:line="200" w:lineRule="exact"/>
            </w:pPr>
            <w:r>
              <w:rPr>
                <w:rFonts w:ascii="方正黑体_GBK" w:hAnsi="方正黑体_GBK" w:eastAsia="方正黑体_GBK" w:cs="宋体"/>
                <w:sz w:val="15"/>
                <w:szCs w:val="20"/>
              </w:rPr>
              <w:t>0538-96588</w:t>
            </w:r>
          </w:p>
        </w:tc>
      </w:tr>
      <w:tr w14:paraId="214E5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B42ABCB">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5CE06D02">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38F9736E">
            <w:pPr>
              <w:spacing w:line="200" w:lineRule="exact"/>
            </w:pPr>
            <w:r>
              <w:rPr>
                <w:rFonts w:ascii="方正黑体_GBK" w:hAnsi="方正黑体_GBK" w:eastAsia="方正黑体_GBK" w:cs="宋体"/>
                <w:sz w:val="15"/>
                <w:szCs w:val="20"/>
              </w:rPr>
              <w:t>4006096588</w:t>
            </w:r>
          </w:p>
        </w:tc>
      </w:tr>
      <w:tr w14:paraId="3A7463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36DBF2">
            <w:pPr>
              <w:spacing w:line="200" w:lineRule="exact"/>
            </w:pPr>
            <w:r>
              <w:rPr>
                <w:rFonts w:ascii="方正黑体_GBK" w:hAnsi="方正黑体_GBK" w:eastAsia="方正黑体_GBK" w:cs="宋体"/>
                <w:sz w:val="15"/>
                <w:szCs w:val="20"/>
              </w:rPr>
              <w:t>贵阳银行股份有限公司</w:t>
            </w:r>
          </w:p>
        </w:tc>
        <w:tc>
          <w:tcPr>
            <w:tcW w:w="4050" w:type="dxa"/>
            <w:tcMar>
              <w:left w:w="120" w:type="dxa"/>
            </w:tcMar>
            <w:vAlign w:val="center"/>
          </w:tcPr>
          <w:p w14:paraId="0021C535">
            <w:pPr>
              <w:spacing w:line="200" w:lineRule="exact"/>
            </w:pPr>
            <w:r>
              <w:rPr>
                <w:rFonts w:ascii="方正黑体_GBK" w:hAnsi="方正黑体_GBK" w:eastAsia="方正黑体_GBK" w:cs="宋体"/>
                <w:sz w:val="15"/>
                <w:szCs w:val="20"/>
              </w:rPr>
              <w:t>贵州省贵阳市观山湖区长岭北路中天·会展城B区金融商务区东区1-6栋</w:t>
            </w:r>
          </w:p>
        </w:tc>
        <w:tc>
          <w:tcPr>
            <w:tcW w:w="1350" w:type="dxa"/>
            <w:tcMar>
              <w:left w:w="120" w:type="dxa"/>
            </w:tcMar>
            <w:vAlign w:val="center"/>
          </w:tcPr>
          <w:p w14:paraId="4BBC9205">
            <w:pPr>
              <w:spacing w:line="200" w:lineRule="exact"/>
            </w:pPr>
            <w:r>
              <w:rPr>
                <w:rFonts w:ascii="方正黑体_GBK" w:hAnsi="方正黑体_GBK" w:eastAsia="方正黑体_GBK" w:cs="宋体"/>
                <w:sz w:val="15"/>
                <w:szCs w:val="20"/>
              </w:rPr>
              <w:t>0851-86859053</w:t>
            </w:r>
          </w:p>
        </w:tc>
      </w:tr>
      <w:tr w14:paraId="38382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CE4E24B">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783F8886">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38617267">
            <w:pPr>
              <w:spacing w:line="200" w:lineRule="exact"/>
            </w:pPr>
            <w:r>
              <w:rPr>
                <w:rFonts w:ascii="方正黑体_GBK" w:hAnsi="方正黑体_GBK" w:eastAsia="方正黑体_GBK" w:cs="宋体"/>
                <w:sz w:val="15"/>
                <w:szCs w:val="20"/>
              </w:rPr>
              <w:t>96522</w:t>
            </w:r>
          </w:p>
        </w:tc>
      </w:tr>
      <w:tr w14:paraId="32189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CBCD97">
            <w:pPr>
              <w:spacing w:line="200" w:lineRule="exact"/>
            </w:pPr>
            <w:r>
              <w:rPr>
                <w:rFonts w:ascii="方正黑体_GBK" w:hAnsi="方正黑体_GBK" w:eastAsia="方正黑体_GBK" w:cs="宋体"/>
                <w:sz w:val="15"/>
                <w:szCs w:val="20"/>
              </w:rPr>
              <w:t>宁夏银行股份有限公司</w:t>
            </w:r>
          </w:p>
        </w:tc>
        <w:tc>
          <w:tcPr>
            <w:tcW w:w="4050" w:type="dxa"/>
            <w:tcMar>
              <w:left w:w="120" w:type="dxa"/>
            </w:tcMar>
            <w:vAlign w:val="center"/>
          </w:tcPr>
          <w:p w14:paraId="79F724BD">
            <w:pPr>
              <w:spacing w:line="200" w:lineRule="exact"/>
            </w:pPr>
            <w:r>
              <w:rPr>
                <w:rFonts w:ascii="方正黑体_GBK" w:hAnsi="方正黑体_GBK" w:eastAsia="方正黑体_GBK" w:cs="宋体"/>
                <w:sz w:val="15"/>
                <w:szCs w:val="20"/>
              </w:rPr>
              <w:t>宁夏回族自治区银川市北京中路 157 号</w:t>
            </w:r>
          </w:p>
        </w:tc>
        <w:tc>
          <w:tcPr>
            <w:tcW w:w="1350" w:type="dxa"/>
            <w:tcMar>
              <w:left w:w="120" w:type="dxa"/>
            </w:tcMar>
            <w:vAlign w:val="center"/>
          </w:tcPr>
          <w:p w14:paraId="7DB0A899">
            <w:pPr>
              <w:spacing w:line="200" w:lineRule="exact"/>
            </w:pPr>
            <w:r>
              <w:rPr>
                <w:rFonts w:ascii="方正黑体_GBK" w:hAnsi="方正黑体_GBK" w:eastAsia="方正黑体_GBK" w:cs="宋体"/>
                <w:sz w:val="15"/>
                <w:szCs w:val="20"/>
              </w:rPr>
              <w:t>400-809-6558</w:t>
            </w:r>
          </w:p>
        </w:tc>
      </w:tr>
      <w:tr w14:paraId="26ACDC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8D52DE3">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573ED343">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4556F3BF">
            <w:pPr>
              <w:spacing w:line="200" w:lineRule="exact"/>
            </w:pPr>
            <w:r>
              <w:rPr>
                <w:rFonts w:ascii="方正黑体_GBK" w:hAnsi="方正黑体_GBK" w:eastAsia="方正黑体_GBK" w:cs="宋体"/>
                <w:sz w:val="15"/>
                <w:szCs w:val="20"/>
              </w:rPr>
              <w:t>022-96155、400-80-96155</w:t>
            </w:r>
          </w:p>
        </w:tc>
      </w:tr>
      <w:tr w14:paraId="30F13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87EAA7D">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5032FF6C">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4B483B40">
            <w:pPr>
              <w:spacing w:line="200" w:lineRule="exact"/>
            </w:pPr>
            <w:r>
              <w:rPr>
                <w:rFonts w:ascii="方正黑体_GBK" w:hAnsi="方正黑体_GBK" w:eastAsia="方正黑体_GBK" w:cs="宋体"/>
                <w:sz w:val="15"/>
                <w:szCs w:val="20"/>
              </w:rPr>
              <w:t>96008</w:t>
            </w:r>
          </w:p>
        </w:tc>
      </w:tr>
      <w:tr w14:paraId="21BB0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9F374DE">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5EECF30F">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6FAC935D">
            <w:pPr>
              <w:spacing w:line="200" w:lineRule="exact"/>
            </w:pPr>
            <w:r>
              <w:rPr>
                <w:rFonts w:ascii="方正黑体_GBK" w:hAnsi="方正黑体_GBK" w:eastAsia="方正黑体_GBK" w:cs="宋体"/>
                <w:sz w:val="15"/>
                <w:szCs w:val="20"/>
              </w:rPr>
              <w:t>96699</w:t>
            </w:r>
          </w:p>
        </w:tc>
      </w:tr>
      <w:tr w14:paraId="0511E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26EADD6">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3DF6C788">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15F57905">
            <w:pPr>
              <w:spacing w:line="200" w:lineRule="exact"/>
            </w:pPr>
            <w:r>
              <w:rPr>
                <w:rFonts w:ascii="方正黑体_GBK" w:hAnsi="方正黑体_GBK" w:eastAsia="方正黑体_GBK" w:cs="宋体"/>
                <w:sz w:val="15"/>
                <w:szCs w:val="20"/>
              </w:rPr>
              <w:t>96008</w:t>
            </w:r>
          </w:p>
        </w:tc>
      </w:tr>
      <w:tr w14:paraId="2A4D6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174DF28">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3B2E36FE">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304022A8">
            <w:pPr>
              <w:spacing w:line="200" w:lineRule="exact"/>
            </w:pPr>
            <w:r>
              <w:rPr>
                <w:rFonts w:ascii="方正黑体_GBK" w:hAnsi="方正黑体_GBK" w:eastAsia="方正黑体_GBK" w:cs="宋体"/>
                <w:sz w:val="15"/>
                <w:szCs w:val="20"/>
              </w:rPr>
              <w:t>96008</w:t>
            </w:r>
          </w:p>
        </w:tc>
      </w:tr>
      <w:tr w14:paraId="7A69BD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C32EDE7">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240869DF">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16086525">
            <w:pPr>
              <w:spacing w:line="200" w:lineRule="exact"/>
            </w:pPr>
            <w:r>
              <w:rPr>
                <w:rFonts w:ascii="方正黑体_GBK" w:hAnsi="方正黑体_GBK" w:eastAsia="方正黑体_GBK" w:cs="宋体"/>
                <w:sz w:val="15"/>
                <w:szCs w:val="20"/>
              </w:rPr>
              <w:t>0512-96067</w:t>
            </w:r>
          </w:p>
        </w:tc>
      </w:tr>
      <w:tr w14:paraId="50DC7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35B24A7">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4AF01D77">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234273B9">
            <w:pPr>
              <w:spacing w:line="200" w:lineRule="exact"/>
            </w:pPr>
            <w:r>
              <w:rPr>
                <w:rFonts w:ascii="方正黑体_GBK" w:hAnsi="方正黑体_GBK" w:eastAsia="方正黑体_GBK" w:cs="宋体"/>
                <w:sz w:val="15"/>
                <w:szCs w:val="20"/>
              </w:rPr>
              <w:t>0472-2658888</w:t>
            </w:r>
          </w:p>
        </w:tc>
      </w:tr>
      <w:tr w14:paraId="28736C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C069D4C">
            <w:pPr>
              <w:spacing w:line="200" w:lineRule="exact"/>
            </w:pPr>
            <w:r>
              <w:rPr>
                <w:rFonts w:ascii="方正黑体_GBK" w:hAnsi="方正黑体_GBK" w:eastAsia="方正黑体_GBK" w:cs="宋体"/>
                <w:sz w:val="15"/>
                <w:szCs w:val="20"/>
              </w:rPr>
              <w:t>桂林银行股份有限公司</w:t>
            </w:r>
          </w:p>
        </w:tc>
        <w:tc>
          <w:tcPr>
            <w:tcW w:w="4050" w:type="dxa"/>
            <w:tcMar>
              <w:left w:w="120" w:type="dxa"/>
            </w:tcMar>
            <w:vAlign w:val="center"/>
          </w:tcPr>
          <w:p w14:paraId="0338C784">
            <w:pPr>
              <w:spacing w:line="200" w:lineRule="exact"/>
            </w:pPr>
            <w:r>
              <w:rPr>
                <w:rFonts w:ascii="方正黑体_GBK" w:hAnsi="方正黑体_GBK" w:eastAsia="方正黑体_GBK" w:cs="宋体"/>
                <w:sz w:val="15"/>
                <w:szCs w:val="20"/>
              </w:rPr>
              <w:t>广西壮族自治区桂林市临桂区公园北路 8 号桂林金融大厦</w:t>
            </w:r>
          </w:p>
        </w:tc>
        <w:tc>
          <w:tcPr>
            <w:tcW w:w="1350" w:type="dxa"/>
            <w:tcMar>
              <w:left w:w="120" w:type="dxa"/>
            </w:tcMar>
            <w:vAlign w:val="center"/>
          </w:tcPr>
          <w:p w14:paraId="1C718957">
            <w:pPr>
              <w:spacing w:line="200" w:lineRule="exact"/>
            </w:pPr>
            <w:r>
              <w:rPr>
                <w:rFonts w:ascii="方正黑体_GBK" w:hAnsi="方正黑体_GBK" w:eastAsia="方正黑体_GBK" w:cs="宋体"/>
                <w:sz w:val="15"/>
                <w:szCs w:val="20"/>
              </w:rPr>
              <w:t>400-86-96299</w:t>
            </w:r>
          </w:p>
        </w:tc>
      </w:tr>
      <w:tr w14:paraId="1A0FC819">
        <w:tblPrEx>
          <w:tblCellMar>
            <w:top w:w="0" w:type="dxa"/>
            <w:left w:w="10" w:type="dxa"/>
            <w:bottom w:w="0" w:type="dxa"/>
            <w:right w:w="10" w:type="dxa"/>
          </w:tblCellMar>
        </w:tblPrEx>
        <w:trPr>
          <w:trHeight w:val="300" w:hRule="atLeast"/>
        </w:trPr>
        <w:tc>
          <w:tcPr>
            <w:tcW w:w="2100" w:type="dxa"/>
            <w:tcMar>
              <w:left w:w="120" w:type="dxa"/>
            </w:tcMar>
            <w:vAlign w:val="center"/>
          </w:tcPr>
          <w:p w14:paraId="58531077">
            <w:pPr>
              <w:spacing w:line="200" w:lineRule="exact"/>
            </w:pPr>
            <w:r>
              <w:rPr>
                <w:rFonts w:ascii="方正黑体_GBK" w:hAnsi="方正黑体_GBK" w:eastAsia="方正黑体_GBK" w:cs="宋体"/>
                <w:sz w:val="15"/>
                <w:szCs w:val="20"/>
              </w:rPr>
              <w:t>宁波通商银行股份有限公司</w:t>
            </w:r>
          </w:p>
        </w:tc>
        <w:tc>
          <w:tcPr>
            <w:tcW w:w="4050" w:type="dxa"/>
            <w:tcMar>
              <w:left w:w="120" w:type="dxa"/>
            </w:tcMar>
            <w:vAlign w:val="center"/>
          </w:tcPr>
          <w:p w14:paraId="77199C16">
            <w:pPr>
              <w:spacing w:line="200" w:lineRule="exact"/>
            </w:pPr>
            <w:r>
              <w:rPr>
                <w:rFonts w:ascii="方正黑体_GBK" w:hAnsi="方正黑体_GBK" w:eastAsia="方正黑体_GBK" w:cs="宋体"/>
                <w:sz w:val="15"/>
                <w:szCs w:val="20"/>
              </w:rPr>
              <w:t>浙江省宁波市鄞州区民安东路337号</w:t>
            </w:r>
          </w:p>
        </w:tc>
        <w:tc>
          <w:tcPr>
            <w:tcW w:w="1350" w:type="dxa"/>
            <w:tcMar>
              <w:left w:w="120" w:type="dxa"/>
            </w:tcMar>
            <w:vAlign w:val="center"/>
          </w:tcPr>
          <w:p w14:paraId="6372DC7C">
            <w:pPr>
              <w:spacing w:line="200" w:lineRule="exact"/>
            </w:pPr>
            <w:r>
              <w:rPr>
                <w:rFonts w:ascii="方正黑体_GBK" w:hAnsi="方正黑体_GBK" w:eastAsia="方正黑体_GBK" w:cs="宋体"/>
                <w:sz w:val="15"/>
                <w:szCs w:val="20"/>
              </w:rPr>
              <w:t>400-916-6666</w:t>
            </w:r>
          </w:p>
        </w:tc>
      </w:tr>
      <w:tr w14:paraId="6644AF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A6484F">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6CC9F271">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626A3BC1">
            <w:pPr>
              <w:spacing w:line="200" w:lineRule="exact"/>
            </w:pPr>
            <w:r>
              <w:rPr>
                <w:rFonts w:ascii="方正黑体_GBK" w:hAnsi="方正黑体_GBK" w:eastAsia="方正黑体_GBK" w:cs="宋体"/>
                <w:sz w:val="15"/>
                <w:szCs w:val="20"/>
              </w:rPr>
              <w:t>400-83-96699</w:t>
            </w:r>
          </w:p>
        </w:tc>
      </w:tr>
      <w:tr w14:paraId="544AC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459F555">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58F02EDF">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7D3CB975">
            <w:pPr>
              <w:spacing w:line="200" w:lineRule="exact"/>
            </w:pPr>
            <w:r>
              <w:rPr>
                <w:rFonts w:ascii="方正黑体_GBK" w:hAnsi="方正黑体_GBK" w:eastAsia="方正黑体_GBK" w:cs="宋体"/>
                <w:sz w:val="15"/>
                <w:szCs w:val="20"/>
              </w:rPr>
              <w:t>0951-96789</w:t>
            </w:r>
          </w:p>
        </w:tc>
      </w:tr>
      <w:tr w14:paraId="0B34C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70FDD8C">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2CB4CB46">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6AAA6683">
            <w:pPr>
              <w:spacing w:line="200" w:lineRule="exact"/>
            </w:pPr>
            <w:r>
              <w:rPr>
                <w:rFonts w:ascii="方正黑体_GBK" w:hAnsi="方正黑体_GBK" w:eastAsia="方正黑体_GBK" w:cs="宋体"/>
                <w:sz w:val="15"/>
                <w:szCs w:val="20"/>
              </w:rPr>
              <w:t>400-888-0555</w:t>
            </w:r>
          </w:p>
        </w:tc>
      </w:tr>
      <w:tr w14:paraId="6054AD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DAB516C">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5ACBDC51">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196A3932">
            <w:pPr>
              <w:spacing w:line="200" w:lineRule="exact"/>
            </w:pPr>
            <w:r>
              <w:rPr>
                <w:rFonts w:ascii="方正黑体_GBK" w:hAnsi="方正黑体_GBK" w:eastAsia="方正黑体_GBK" w:cs="宋体"/>
                <w:sz w:val="15"/>
                <w:szCs w:val="20"/>
              </w:rPr>
              <w:t>96008</w:t>
            </w:r>
          </w:p>
        </w:tc>
      </w:tr>
      <w:tr w14:paraId="527CB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9855237">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5F91E5D2">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706F8C81">
            <w:pPr>
              <w:spacing w:line="200" w:lineRule="exact"/>
            </w:pPr>
            <w:r>
              <w:rPr>
                <w:rFonts w:ascii="方正黑体_GBK" w:hAnsi="方正黑体_GBK" w:eastAsia="方正黑体_GBK" w:cs="宋体"/>
                <w:sz w:val="15"/>
                <w:szCs w:val="20"/>
              </w:rPr>
              <w:t>96008</w:t>
            </w:r>
          </w:p>
        </w:tc>
      </w:tr>
      <w:tr w14:paraId="6C44AA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E3D2FB6">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403231FB">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2AE9D4B1">
            <w:pPr>
              <w:spacing w:line="200" w:lineRule="exact"/>
            </w:pPr>
            <w:r>
              <w:rPr>
                <w:rFonts w:ascii="方正黑体_GBK" w:hAnsi="方正黑体_GBK" w:eastAsia="方正黑体_GBK" w:cs="宋体"/>
                <w:sz w:val="15"/>
                <w:szCs w:val="20"/>
              </w:rPr>
              <w:t>96008</w:t>
            </w:r>
          </w:p>
        </w:tc>
      </w:tr>
      <w:tr w14:paraId="6BA990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0DAC06B">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7891557C">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2D7021F4">
            <w:pPr>
              <w:spacing w:line="200" w:lineRule="exact"/>
            </w:pPr>
            <w:r>
              <w:rPr>
                <w:rFonts w:ascii="方正黑体_GBK" w:hAnsi="方正黑体_GBK" w:eastAsia="方正黑体_GBK" w:cs="宋体"/>
                <w:sz w:val="15"/>
                <w:szCs w:val="20"/>
              </w:rPr>
              <w:t>96008</w:t>
            </w:r>
          </w:p>
        </w:tc>
      </w:tr>
      <w:tr w14:paraId="489B86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846C5AD">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625C44E3">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556E9780">
            <w:pPr>
              <w:spacing w:line="200" w:lineRule="exact"/>
            </w:pPr>
            <w:r>
              <w:rPr>
                <w:rFonts w:ascii="方正黑体_GBK" w:hAnsi="方正黑体_GBK" w:eastAsia="方正黑体_GBK" w:cs="宋体"/>
                <w:sz w:val="15"/>
                <w:szCs w:val="20"/>
              </w:rPr>
              <w:t>96008</w:t>
            </w:r>
          </w:p>
        </w:tc>
      </w:tr>
      <w:tr w14:paraId="1F5F5E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8AE8DE6">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5C4C72D7">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5DB9434C">
            <w:pPr>
              <w:spacing w:line="200" w:lineRule="exact"/>
            </w:pPr>
            <w:r>
              <w:rPr>
                <w:rFonts w:ascii="方正黑体_GBK" w:hAnsi="方正黑体_GBK" w:eastAsia="方正黑体_GBK" w:cs="宋体"/>
                <w:sz w:val="15"/>
                <w:szCs w:val="20"/>
              </w:rPr>
              <w:t>96008</w:t>
            </w:r>
          </w:p>
        </w:tc>
      </w:tr>
      <w:tr w14:paraId="77BDC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0B7E03">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06B1D533">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5680319E">
            <w:pPr>
              <w:spacing w:line="200" w:lineRule="exact"/>
            </w:pPr>
            <w:r>
              <w:rPr>
                <w:rFonts w:ascii="方正黑体_GBK" w:hAnsi="方正黑体_GBK" w:eastAsia="方正黑体_GBK" w:cs="宋体"/>
                <w:sz w:val="15"/>
                <w:szCs w:val="20"/>
              </w:rPr>
              <w:t>96008</w:t>
            </w:r>
          </w:p>
        </w:tc>
      </w:tr>
      <w:tr w14:paraId="1923B6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7B76561">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5281A08E">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5CA8AF59">
            <w:pPr>
              <w:spacing w:line="200" w:lineRule="exact"/>
            </w:pPr>
            <w:r>
              <w:rPr>
                <w:rFonts w:ascii="方正黑体_GBK" w:hAnsi="方正黑体_GBK" w:eastAsia="方正黑体_GBK" w:cs="宋体"/>
                <w:sz w:val="15"/>
                <w:szCs w:val="20"/>
              </w:rPr>
              <w:t>96008</w:t>
            </w:r>
          </w:p>
        </w:tc>
      </w:tr>
      <w:tr w14:paraId="01167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FA74941">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5D9ABBA6">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39C33E4F">
            <w:pPr>
              <w:spacing w:line="200" w:lineRule="exact"/>
            </w:pPr>
            <w:r>
              <w:rPr>
                <w:rFonts w:ascii="方正黑体_GBK" w:hAnsi="方正黑体_GBK" w:eastAsia="方正黑体_GBK" w:cs="宋体"/>
                <w:sz w:val="15"/>
                <w:szCs w:val="20"/>
              </w:rPr>
              <w:t>96008</w:t>
            </w:r>
          </w:p>
        </w:tc>
      </w:tr>
      <w:tr w14:paraId="42258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FF5D1E">
            <w:pPr>
              <w:spacing w:line="200" w:lineRule="exact"/>
            </w:pPr>
            <w:r>
              <w:rPr>
                <w:rFonts w:ascii="方正黑体_GBK" w:hAnsi="方正黑体_GBK" w:eastAsia="方正黑体_GBK" w:cs="宋体"/>
                <w:sz w:val="15"/>
                <w:szCs w:val="20"/>
              </w:rPr>
              <w:t>江苏盐城农村商业银行股份有限公司</w:t>
            </w:r>
          </w:p>
        </w:tc>
        <w:tc>
          <w:tcPr>
            <w:tcW w:w="4050" w:type="dxa"/>
            <w:tcMar>
              <w:left w:w="120" w:type="dxa"/>
            </w:tcMar>
            <w:vAlign w:val="center"/>
          </w:tcPr>
          <w:p w14:paraId="182D3DEE">
            <w:pPr>
              <w:spacing w:line="200" w:lineRule="exact"/>
            </w:pPr>
            <w:r>
              <w:rPr>
                <w:rFonts w:ascii="方正黑体_GBK" w:hAnsi="方正黑体_GBK" w:eastAsia="方正黑体_GBK" w:cs="宋体"/>
                <w:sz w:val="15"/>
                <w:szCs w:val="20"/>
              </w:rPr>
              <w:t>盐城市盐南高新区新都西路8号</w:t>
            </w:r>
          </w:p>
        </w:tc>
        <w:tc>
          <w:tcPr>
            <w:tcW w:w="1350" w:type="dxa"/>
            <w:tcMar>
              <w:left w:w="120" w:type="dxa"/>
            </w:tcMar>
            <w:vAlign w:val="center"/>
          </w:tcPr>
          <w:p w14:paraId="259E2421">
            <w:pPr>
              <w:spacing w:line="200" w:lineRule="exact"/>
            </w:pPr>
            <w:r>
              <w:rPr>
                <w:rFonts w:ascii="方正黑体_GBK" w:hAnsi="方正黑体_GBK" w:eastAsia="方正黑体_GBK" w:cs="宋体"/>
                <w:sz w:val="15"/>
                <w:szCs w:val="20"/>
              </w:rPr>
              <w:t>96008</w:t>
            </w:r>
          </w:p>
        </w:tc>
      </w:tr>
      <w:tr w14:paraId="2EE24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BDF964D">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5A5054EF">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644A9BDD">
            <w:pPr>
              <w:spacing w:line="200" w:lineRule="exact"/>
            </w:pPr>
            <w:r>
              <w:rPr>
                <w:rFonts w:ascii="方正黑体_GBK" w:hAnsi="方正黑体_GBK" w:eastAsia="方正黑体_GBK" w:cs="宋体"/>
                <w:sz w:val="15"/>
                <w:szCs w:val="20"/>
              </w:rPr>
              <w:t>96008</w:t>
            </w:r>
          </w:p>
        </w:tc>
      </w:tr>
      <w:tr w14:paraId="2D790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93E151">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2F869793">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3F7682DF">
            <w:pPr>
              <w:spacing w:line="200" w:lineRule="exact"/>
            </w:pPr>
            <w:r>
              <w:rPr>
                <w:rFonts w:ascii="方正黑体_GBK" w:hAnsi="方正黑体_GBK" w:eastAsia="方正黑体_GBK" w:cs="宋体"/>
                <w:sz w:val="15"/>
                <w:szCs w:val="20"/>
              </w:rPr>
              <w:t>96008</w:t>
            </w:r>
          </w:p>
        </w:tc>
      </w:tr>
      <w:tr w14:paraId="1E4C7E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CED1D01">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1BC4230B">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0380A797">
            <w:pPr>
              <w:spacing w:line="200" w:lineRule="exact"/>
            </w:pPr>
            <w:r>
              <w:rPr>
                <w:rFonts w:ascii="方正黑体_GBK" w:hAnsi="方正黑体_GBK" w:eastAsia="方正黑体_GBK" w:cs="宋体"/>
                <w:sz w:val="15"/>
                <w:szCs w:val="20"/>
              </w:rPr>
              <w:t>96008</w:t>
            </w:r>
          </w:p>
        </w:tc>
      </w:tr>
      <w:tr w14:paraId="2E451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CF80F6">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402511FD">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6CD33ABF">
            <w:pPr>
              <w:spacing w:line="200" w:lineRule="exact"/>
            </w:pPr>
            <w:r>
              <w:rPr>
                <w:rFonts w:ascii="方正黑体_GBK" w:hAnsi="方正黑体_GBK" w:eastAsia="方正黑体_GBK" w:cs="宋体"/>
                <w:sz w:val="15"/>
                <w:szCs w:val="20"/>
              </w:rPr>
              <w:t>96008</w:t>
            </w:r>
          </w:p>
        </w:tc>
      </w:tr>
      <w:tr w14:paraId="24A62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C019CC2">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4E5AFFF4">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3DBE259E">
            <w:pPr>
              <w:spacing w:line="200" w:lineRule="exact"/>
            </w:pPr>
            <w:r>
              <w:rPr>
                <w:rFonts w:ascii="方正黑体_GBK" w:hAnsi="方正黑体_GBK" w:eastAsia="方正黑体_GBK" w:cs="宋体"/>
                <w:sz w:val="15"/>
                <w:szCs w:val="20"/>
              </w:rPr>
              <w:t>96008</w:t>
            </w:r>
          </w:p>
        </w:tc>
      </w:tr>
      <w:tr w14:paraId="6CC32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34C532">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11BC74D1">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70FBF5F4">
            <w:pPr>
              <w:spacing w:line="200" w:lineRule="exact"/>
            </w:pPr>
            <w:r>
              <w:rPr>
                <w:rFonts w:ascii="方正黑体_GBK" w:hAnsi="方正黑体_GBK" w:eastAsia="方正黑体_GBK" w:cs="宋体"/>
                <w:sz w:val="15"/>
                <w:szCs w:val="20"/>
              </w:rPr>
              <w:t>96008</w:t>
            </w:r>
          </w:p>
        </w:tc>
      </w:tr>
      <w:tr w14:paraId="16571F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6DC8066">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2EA0961F">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6D1C7124">
            <w:pPr>
              <w:spacing w:line="200" w:lineRule="exact"/>
            </w:pPr>
            <w:r>
              <w:rPr>
                <w:rFonts w:ascii="方正黑体_GBK" w:hAnsi="方正黑体_GBK" w:eastAsia="方正黑体_GBK" w:cs="宋体"/>
                <w:sz w:val="15"/>
                <w:szCs w:val="20"/>
              </w:rPr>
              <w:t>96008</w:t>
            </w:r>
          </w:p>
        </w:tc>
      </w:tr>
      <w:tr w14:paraId="159EA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5AD6B95">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143A296B">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67E2FAA1">
            <w:pPr>
              <w:spacing w:line="200" w:lineRule="exact"/>
            </w:pPr>
            <w:r>
              <w:rPr>
                <w:rFonts w:ascii="方正黑体_GBK" w:hAnsi="方正黑体_GBK" w:eastAsia="方正黑体_GBK" w:cs="宋体"/>
                <w:sz w:val="15"/>
                <w:szCs w:val="20"/>
              </w:rPr>
              <w:t>96008</w:t>
            </w:r>
          </w:p>
        </w:tc>
      </w:tr>
      <w:tr w14:paraId="5D119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D65B43">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02807621">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4C4F5BFB">
            <w:pPr>
              <w:spacing w:line="200" w:lineRule="exact"/>
            </w:pPr>
            <w:r>
              <w:rPr>
                <w:rFonts w:ascii="方正黑体_GBK" w:hAnsi="方正黑体_GBK" w:eastAsia="方正黑体_GBK" w:cs="宋体"/>
                <w:sz w:val="15"/>
                <w:szCs w:val="20"/>
              </w:rPr>
              <w:t>96008</w:t>
            </w:r>
          </w:p>
        </w:tc>
      </w:tr>
      <w:tr w14:paraId="1ED9FB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3F2A074">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470E4146">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1BD5645F">
            <w:pPr>
              <w:spacing w:line="200" w:lineRule="exact"/>
            </w:pPr>
            <w:r>
              <w:rPr>
                <w:rFonts w:ascii="方正黑体_GBK" w:hAnsi="方正黑体_GBK" w:eastAsia="方正黑体_GBK" w:cs="宋体"/>
                <w:sz w:val="15"/>
                <w:szCs w:val="20"/>
              </w:rPr>
              <w:t>96008</w:t>
            </w:r>
          </w:p>
        </w:tc>
      </w:tr>
      <w:tr w14:paraId="25C7C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882D54">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4B96382B">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024A3B2D">
            <w:pPr>
              <w:spacing w:line="200" w:lineRule="exact"/>
            </w:pPr>
            <w:r>
              <w:rPr>
                <w:rFonts w:ascii="方正黑体_GBK" w:hAnsi="方正黑体_GBK" w:eastAsia="方正黑体_GBK" w:cs="宋体"/>
                <w:sz w:val="15"/>
                <w:szCs w:val="20"/>
              </w:rPr>
              <w:t>96008</w:t>
            </w:r>
          </w:p>
        </w:tc>
      </w:tr>
      <w:tr w14:paraId="37D6FF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20ED0B1">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7F5876DF">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2E4BB74B">
            <w:pPr>
              <w:spacing w:line="200" w:lineRule="exact"/>
            </w:pPr>
            <w:r>
              <w:rPr>
                <w:rFonts w:ascii="方正黑体_GBK" w:hAnsi="方正黑体_GBK" w:eastAsia="方正黑体_GBK" w:cs="宋体"/>
                <w:sz w:val="15"/>
                <w:szCs w:val="20"/>
              </w:rPr>
              <w:t>96008</w:t>
            </w:r>
          </w:p>
        </w:tc>
      </w:tr>
      <w:tr w14:paraId="0A539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4565C26">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7058C9DC">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593A73FE">
            <w:pPr>
              <w:spacing w:line="200" w:lineRule="exact"/>
            </w:pPr>
            <w:r>
              <w:rPr>
                <w:rFonts w:ascii="方正黑体_GBK" w:hAnsi="方正黑体_GBK" w:eastAsia="方正黑体_GBK" w:cs="宋体"/>
                <w:sz w:val="15"/>
                <w:szCs w:val="20"/>
              </w:rPr>
              <w:t>96008</w:t>
            </w:r>
          </w:p>
        </w:tc>
      </w:tr>
      <w:tr w14:paraId="3B42E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78F7BA7">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2E05873C">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07CCCDEF">
            <w:pPr>
              <w:spacing w:line="200" w:lineRule="exact"/>
            </w:pPr>
            <w:r>
              <w:rPr>
                <w:rFonts w:ascii="方正黑体_GBK" w:hAnsi="方正黑体_GBK" w:eastAsia="方正黑体_GBK" w:cs="宋体"/>
                <w:sz w:val="15"/>
                <w:szCs w:val="20"/>
              </w:rPr>
              <w:t>96008</w:t>
            </w:r>
          </w:p>
        </w:tc>
      </w:tr>
      <w:tr w14:paraId="3B1C5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22C1FB5">
            <w:pPr>
              <w:spacing w:line="200" w:lineRule="exact"/>
            </w:pPr>
            <w:r>
              <w:rPr>
                <w:rFonts w:ascii="方正黑体_GBK" w:hAnsi="方正黑体_GBK" w:eastAsia="方正黑体_GBK" w:cs="宋体"/>
                <w:sz w:val="15"/>
                <w:szCs w:val="20"/>
              </w:rPr>
              <w:t>广东顺德农村商业银行股份有限公司</w:t>
            </w:r>
          </w:p>
        </w:tc>
        <w:tc>
          <w:tcPr>
            <w:tcW w:w="4050" w:type="dxa"/>
            <w:tcMar>
              <w:left w:w="120" w:type="dxa"/>
            </w:tcMar>
            <w:vAlign w:val="center"/>
          </w:tcPr>
          <w:p w14:paraId="60447F08">
            <w:pPr>
              <w:spacing w:line="200" w:lineRule="exact"/>
            </w:pPr>
            <w:r>
              <w:rPr>
                <w:rFonts w:ascii="方正黑体_GBK" w:hAnsi="方正黑体_GBK" w:eastAsia="方正黑体_GBK" w:cs="宋体"/>
                <w:sz w:val="15"/>
                <w:szCs w:val="20"/>
              </w:rPr>
              <w:t>广东省佛山市顺德区大良街道德和社区兴业路8号</w:t>
            </w:r>
          </w:p>
        </w:tc>
        <w:tc>
          <w:tcPr>
            <w:tcW w:w="1350" w:type="dxa"/>
            <w:tcMar>
              <w:left w:w="120" w:type="dxa"/>
            </w:tcMar>
            <w:vAlign w:val="center"/>
          </w:tcPr>
          <w:p w14:paraId="65AF589A">
            <w:pPr>
              <w:spacing w:line="200" w:lineRule="exact"/>
            </w:pPr>
            <w:r>
              <w:rPr>
                <w:rFonts w:ascii="方正黑体_GBK" w:hAnsi="方正黑体_GBK" w:eastAsia="方正黑体_GBK" w:cs="宋体"/>
                <w:sz w:val="15"/>
                <w:szCs w:val="20"/>
              </w:rPr>
              <w:t>0757-22223388</w:t>
            </w:r>
          </w:p>
        </w:tc>
      </w:tr>
      <w:tr w14:paraId="1941A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254A75">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440A67DD">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0DE44D2B">
            <w:pPr>
              <w:spacing w:line="200" w:lineRule="exact"/>
            </w:pPr>
            <w:r>
              <w:rPr>
                <w:rFonts w:ascii="方正黑体_GBK" w:hAnsi="方正黑体_GBK" w:eastAsia="方正黑体_GBK" w:cs="宋体"/>
                <w:sz w:val="15"/>
                <w:szCs w:val="20"/>
              </w:rPr>
              <w:t>0898-66505978</w:t>
            </w:r>
          </w:p>
        </w:tc>
      </w:tr>
      <w:tr w14:paraId="6A13FA2C">
        <w:tblPrEx>
          <w:tblCellMar>
            <w:top w:w="0" w:type="dxa"/>
            <w:left w:w="10" w:type="dxa"/>
            <w:bottom w:w="0" w:type="dxa"/>
            <w:right w:w="10" w:type="dxa"/>
          </w:tblCellMar>
        </w:tblPrEx>
        <w:trPr>
          <w:trHeight w:val="300" w:hRule="atLeast"/>
        </w:trPr>
        <w:tc>
          <w:tcPr>
            <w:tcW w:w="2100" w:type="dxa"/>
            <w:tcMar>
              <w:left w:w="120" w:type="dxa"/>
            </w:tcMar>
            <w:vAlign w:val="center"/>
          </w:tcPr>
          <w:p w14:paraId="373FFE83">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129D92AF">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5D247E1B">
            <w:pPr>
              <w:spacing w:line="200" w:lineRule="exact"/>
            </w:pPr>
            <w:r>
              <w:rPr>
                <w:rFonts w:ascii="方正黑体_GBK" w:hAnsi="方正黑体_GBK" w:eastAsia="方正黑体_GBK" w:cs="宋体"/>
                <w:sz w:val="15"/>
                <w:szCs w:val="20"/>
              </w:rPr>
              <w:t>96008</w:t>
            </w:r>
          </w:p>
        </w:tc>
      </w:tr>
      <w:tr w14:paraId="51600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A68FA5">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720DDDA4">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1C8B28D9">
            <w:pPr>
              <w:spacing w:line="200" w:lineRule="exact"/>
            </w:pPr>
            <w:r>
              <w:rPr>
                <w:rFonts w:ascii="方正黑体_GBK" w:hAnsi="方正黑体_GBK" w:eastAsia="方正黑体_GBK" w:cs="宋体"/>
                <w:sz w:val="15"/>
                <w:szCs w:val="20"/>
              </w:rPr>
              <w:t>96008</w:t>
            </w:r>
          </w:p>
        </w:tc>
      </w:tr>
      <w:tr w14:paraId="43955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40BAEC3">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5A8389BB">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0A32DA4A">
            <w:pPr>
              <w:spacing w:line="200" w:lineRule="exact"/>
            </w:pPr>
            <w:r>
              <w:rPr>
                <w:rFonts w:ascii="方正黑体_GBK" w:hAnsi="方正黑体_GBK" w:eastAsia="方正黑体_GBK" w:cs="宋体"/>
                <w:sz w:val="15"/>
                <w:szCs w:val="20"/>
              </w:rPr>
              <w:t>96008</w:t>
            </w:r>
          </w:p>
        </w:tc>
      </w:tr>
      <w:tr w14:paraId="59C2E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A8EF085">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4057417F">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4B9C03A5">
            <w:pPr>
              <w:spacing w:line="200" w:lineRule="exact"/>
            </w:pPr>
            <w:r>
              <w:rPr>
                <w:rFonts w:ascii="方正黑体_GBK" w:hAnsi="方正黑体_GBK" w:eastAsia="方正黑体_GBK" w:cs="宋体"/>
                <w:sz w:val="15"/>
                <w:szCs w:val="20"/>
              </w:rPr>
              <w:t>96008</w:t>
            </w:r>
          </w:p>
        </w:tc>
      </w:tr>
      <w:tr w14:paraId="664F0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6C5CBD">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4AB9FC61">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4D083BB4">
            <w:pPr>
              <w:spacing w:line="200" w:lineRule="exact"/>
            </w:pPr>
            <w:r>
              <w:rPr>
                <w:rFonts w:ascii="方正黑体_GBK" w:hAnsi="方正黑体_GBK" w:eastAsia="方正黑体_GBK" w:cs="宋体"/>
                <w:sz w:val="15"/>
                <w:szCs w:val="20"/>
              </w:rPr>
              <w:t>96008</w:t>
            </w:r>
          </w:p>
        </w:tc>
      </w:tr>
      <w:tr w14:paraId="2C551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FBB561">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014CC8CC">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4A5320C7">
            <w:pPr>
              <w:spacing w:line="200" w:lineRule="exact"/>
            </w:pPr>
            <w:r>
              <w:rPr>
                <w:rFonts w:ascii="方正黑体_GBK" w:hAnsi="方正黑体_GBK" w:eastAsia="方正黑体_GBK" w:cs="宋体"/>
                <w:sz w:val="15"/>
                <w:szCs w:val="20"/>
              </w:rPr>
              <w:t>96065</w:t>
            </w:r>
          </w:p>
        </w:tc>
      </w:tr>
      <w:tr w14:paraId="4AC630E4">
        <w:tblPrEx>
          <w:tblCellMar>
            <w:top w:w="0" w:type="dxa"/>
            <w:left w:w="10" w:type="dxa"/>
            <w:bottom w:w="0" w:type="dxa"/>
            <w:right w:w="10" w:type="dxa"/>
          </w:tblCellMar>
        </w:tblPrEx>
        <w:trPr>
          <w:trHeight w:val="300" w:hRule="atLeast"/>
        </w:trPr>
        <w:tc>
          <w:tcPr>
            <w:tcW w:w="2100" w:type="dxa"/>
            <w:tcMar>
              <w:left w:w="120" w:type="dxa"/>
            </w:tcMar>
            <w:vAlign w:val="center"/>
          </w:tcPr>
          <w:p w14:paraId="6A174D47">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190D8BA6">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429D5749">
            <w:pPr>
              <w:spacing w:line="200" w:lineRule="exact"/>
            </w:pPr>
            <w:r>
              <w:rPr>
                <w:rFonts w:ascii="方正黑体_GBK" w:hAnsi="方正黑体_GBK" w:eastAsia="方正黑体_GBK" w:cs="宋体"/>
                <w:sz w:val="15"/>
                <w:szCs w:val="20"/>
              </w:rPr>
              <w:t>96078</w:t>
            </w:r>
          </w:p>
        </w:tc>
      </w:tr>
      <w:tr w14:paraId="34F43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22F86F9">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5050EDA4">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58A8A2F2">
            <w:pPr>
              <w:spacing w:line="200" w:lineRule="exact"/>
            </w:pPr>
            <w:r>
              <w:rPr>
                <w:rFonts w:ascii="方正黑体_GBK" w:hAnsi="方正黑体_GBK" w:eastAsia="方正黑体_GBK" w:cs="宋体"/>
                <w:sz w:val="15"/>
                <w:szCs w:val="20"/>
              </w:rPr>
              <w:t>96008</w:t>
            </w:r>
          </w:p>
        </w:tc>
      </w:tr>
      <w:tr w14:paraId="10FAAB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EE3F33">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18DF46B9">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050A50B0">
            <w:pPr>
              <w:spacing w:line="200" w:lineRule="exact"/>
            </w:pPr>
            <w:r>
              <w:rPr>
                <w:rFonts w:ascii="方正黑体_GBK" w:hAnsi="方正黑体_GBK" w:eastAsia="方正黑体_GBK" w:cs="宋体"/>
                <w:sz w:val="15"/>
                <w:szCs w:val="20"/>
              </w:rPr>
              <w:t>96008</w:t>
            </w:r>
          </w:p>
        </w:tc>
      </w:tr>
      <w:tr w14:paraId="6DB44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EC9AC40">
            <w:pPr>
              <w:spacing w:line="200" w:lineRule="exact"/>
            </w:pPr>
            <w:r>
              <w:rPr>
                <w:rFonts w:ascii="方正黑体_GBK" w:hAnsi="方正黑体_GBK" w:eastAsia="方正黑体_GBK" w:cs="宋体"/>
                <w:sz w:val="15"/>
                <w:szCs w:val="20"/>
              </w:rPr>
              <w:t>廊坊银行股份有限公司</w:t>
            </w:r>
          </w:p>
        </w:tc>
        <w:tc>
          <w:tcPr>
            <w:tcW w:w="4050" w:type="dxa"/>
            <w:tcMar>
              <w:left w:w="120" w:type="dxa"/>
            </w:tcMar>
            <w:vAlign w:val="center"/>
          </w:tcPr>
          <w:p w14:paraId="4FA96FEE">
            <w:pPr>
              <w:spacing w:line="200" w:lineRule="exact"/>
            </w:pPr>
            <w:r>
              <w:rPr>
                <w:rFonts w:ascii="方正黑体_GBK" w:hAnsi="方正黑体_GBK" w:eastAsia="方正黑体_GBK" w:cs="宋体"/>
                <w:sz w:val="15"/>
                <w:szCs w:val="20"/>
              </w:rPr>
              <w:t>河北省廊坊市广阳区广阳道 31 号</w:t>
            </w:r>
          </w:p>
        </w:tc>
        <w:tc>
          <w:tcPr>
            <w:tcW w:w="1350" w:type="dxa"/>
            <w:tcMar>
              <w:left w:w="120" w:type="dxa"/>
            </w:tcMar>
            <w:vAlign w:val="center"/>
          </w:tcPr>
          <w:p w14:paraId="13A15F60">
            <w:pPr>
              <w:spacing w:line="200" w:lineRule="exact"/>
            </w:pPr>
            <w:r>
              <w:rPr>
                <w:rFonts w:ascii="方正黑体_GBK" w:hAnsi="方正黑体_GBK" w:eastAsia="方正黑体_GBK" w:cs="宋体"/>
                <w:sz w:val="15"/>
                <w:szCs w:val="20"/>
              </w:rPr>
              <w:t>400-620-0099</w:t>
            </w:r>
          </w:p>
        </w:tc>
      </w:tr>
      <w:tr w14:paraId="147810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9029F5">
            <w:pPr>
              <w:spacing w:line="200" w:lineRule="exact"/>
            </w:pPr>
            <w:r>
              <w:rPr>
                <w:rFonts w:ascii="方正黑体_GBK" w:hAnsi="方正黑体_GBK" w:eastAsia="方正黑体_GBK" w:cs="宋体"/>
                <w:sz w:val="15"/>
                <w:szCs w:val="20"/>
              </w:rPr>
              <w:t>乌鲁木齐银行股份有限公司</w:t>
            </w:r>
          </w:p>
        </w:tc>
        <w:tc>
          <w:tcPr>
            <w:tcW w:w="4050" w:type="dxa"/>
            <w:tcMar>
              <w:left w:w="120" w:type="dxa"/>
            </w:tcMar>
            <w:vAlign w:val="center"/>
          </w:tcPr>
          <w:p w14:paraId="79A6BE43">
            <w:pPr>
              <w:spacing w:line="200" w:lineRule="exact"/>
            </w:pPr>
            <w:r>
              <w:rPr>
                <w:rFonts w:ascii="方正黑体_GBK" w:hAnsi="方正黑体_GBK" w:eastAsia="方正黑体_GBK" w:cs="宋体"/>
                <w:sz w:val="15"/>
                <w:szCs w:val="20"/>
              </w:rPr>
              <w:t>新疆乌鲁木齐市水磨沟区会展大道 599 号新疆财富中心 A 座 4-31 层</w:t>
            </w:r>
          </w:p>
        </w:tc>
        <w:tc>
          <w:tcPr>
            <w:tcW w:w="1350" w:type="dxa"/>
            <w:tcMar>
              <w:left w:w="120" w:type="dxa"/>
            </w:tcMar>
            <w:vAlign w:val="center"/>
          </w:tcPr>
          <w:p w14:paraId="16795A2E">
            <w:pPr>
              <w:spacing w:line="200" w:lineRule="exact"/>
            </w:pPr>
            <w:r>
              <w:rPr>
                <w:rFonts w:ascii="方正黑体_GBK" w:hAnsi="方正黑体_GBK" w:eastAsia="方正黑体_GBK" w:cs="宋体"/>
                <w:sz w:val="15"/>
                <w:szCs w:val="20"/>
              </w:rPr>
              <w:t>0991-96518</w:t>
            </w:r>
          </w:p>
        </w:tc>
      </w:tr>
      <w:tr w14:paraId="113658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C1AFA8B">
            <w:pPr>
              <w:spacing w:line="200" w:lineRule="exact"/>
            </w:pPr>
            <w:r>
              <w:rPr>
                <w:rFonts w:ascii="方正黑体_GBK" w:hAnsi="方正黑体_GBK" w:eastAsia="方正黑体_GBK" w:cs="宋体"/>
                <w:sz w:val="15"/>
                <w:szCs w:val="20"/>
              </w:rPr>
              <w:t>河北银行股份有限公司</w:t>
            </w:r>
          </w:p>
        </w:tc>
        <w:tc>
          <w:tcPr>
            <w:tcW w:w="4050" w:type="dxa"/>
            <w:tcMar>
              <w:left w:w="120" w:type="dxa"/>
            </w:tcMar>
            <w:vAlign w:val="center"/>
          </w:tcPr>
          <w:p w14:paraId="5E1124FC">
            <w:pPr>
              <w:spacing w:line="200" w:lineRule="exact"/>
            </w:pPr>
            <w:r>
              <w:rPr>
                <w:rFonts w:ascii="方正黑体_GBK" w:hAnsi="方正黑体_GBK" w:eastAsia="方正黑体_GBK" w:cs="宋体"/>
                <w:sz w:val="15"/>
                <w:szCs w:val="20"/>
              </w:rPr>
              <w:t>河北省石家庄市平安北大街 28 号</w:t>
            </w:r>
          </w:p>
        </w:tc>
        <w:tc>
          <w:tcPr>
            <w:tcW w:w="1350" w:type="dxa"/>
            <w:tcMar>
              <w:left w:w="120" w:type="dxa"/>
            </w:tcMar>
            <w:vAlign w:val="center"/>
          </w:tcPr>
          <w:p w14:paraId="5BD5A2CC">
            <w:pPr>
              <w:spacing w:line="200" w:lineRule="exact"/>
            </w:pPr>
            <w:r>
              <w:rPr>
                <w:rFonts w:ascii="方正黑体_GBK" w:hAnsi="方正黑体_GBK" w:eastAsia="方正黑体_GBK" w:cs="宋体"/>
                <w:sz w:val="15"/>
                <w:szCs w:val="20"/>
              </w:rPr>
              <w:t>400-612-9999</w:t>
            </w:r>
          </w:p>
        </w:tc>
      </w:tr>
      <w:tr w14:paraId="5DAC2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44F21DB">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5B839901">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44239A34">
            <w:pPr>
              <w:spacing w:line="200" w:lineRule="exact"/>
            </w:pPr>
            <w:r>
              <w:rPr>
                <w:rFonts w:ascii="方正黑体_GBK" w:hAnsi="方正黑体_GBK" w:eastAsia="方正黑体_GBK" w:cs="宋体"/>
                <w:sz w:val="15"/>
                <w:szCs w:val="20"/>
              </w:rPr>
              <w:t>95097</w:t>
            </w:r>
          </w:p>
        </w:tc>
      </w:tr>
      <w:tr w14:paraId="68AECD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EE2E73C">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47DC4827">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398A38C5">
            <w:pPr>
              <w:spacing w:line="200" w:lineRule="exact"/>
            </w:pPr>
            <w:r>
              <w:rPr>
                <w:rFonts w:ascii="方正黑体_GBK" w:hAnsi="方正黑体_GBK" w:eastAsia="方正黑体_GBK" w:cs="宋体"/>
                <w:sz w:val="15"/>
                <w:szCs w:val="20"/>
              </w:rPr>
              <w:t>0351-96588</w:t>
            </w:r>
          </w:p>
        </w:tc>
      </w:tr>
      <w:tr w14:paraId="195FB5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3DFCF67">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28DDAB84">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55B1AEB0">
            <w:pPr>
              <w:spacing w:line="200" w:lineRule="exact"/>
            </w:pPr>
            <w:r>
              <w:rPr>
                <w:rFonts w:ascii="方正黑体_GBK" w:hAnsi="方正黑体_GBK" w:eastAsia="方正黑体_GBK" w:cs="宋体"/>
                <w:sz w:val="15"/>
                <w:szCs w:val="20"/>
              </w:rPr>
              <w:t>96008</w:t>
            </w:r>
          </w:p>
        </w:tc>
      </w:tr>
      <w:tr w14:paraId="47E893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C93460">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0569C757">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38DB5749">
            <w:pPr>
              <w:spacing w:line="200" w:lineRule="exact"/>
            </w:pPr>
            <w:r>
              <w:rPr>
                <w:rFonts w:ascii="方正黑体_GBK" w:hAnsi="方正黑体_GBK" w:eastAsia="方正黑体_GBK" w:cs="宋体"/>
                <w:sz w:val="15"/>
                <w:szCs w:val="20"/>
              </w:rPr>
              <w:t>010-66426500</w:t>
            </w:r>
          </w:p>
        </w:tc>
      </w:tr>
      <w:tr w14:paraId="1DDD2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784FCD0">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42FFC78D">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36CE77F6">
            <w:pPr>
              <w:spacing w:line="200" w:lineRule="exact"/>
            </w:pPr>
            <w:r>
              <w:rPr>
                <w:rFonts w:ascii="方正黑体_GBK" w:hAnsi="方正黑体_GBK" w:eastAsia="方正黑体_GBK" w:cs="宋体"/>
                <w:sz w:val="15"/>
                <w:szCs w:val="20"/>
              </w:rPr>
              <w:t>96008</w:t>
            </w:r>
          </w:p>
        </w:tc>
      </w:tr>
      <w:tr w14:paraId="68344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8BFE2D">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1E533946">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2AE736DD">
            <w:pPr>
              <w:spacing w:line="200" w:lineRule="exact"/>
            </w:pPr>
            <w:r>
              <w:rPr>
                <w:rFonts w:ascii="方正黑体_GBK" w:hAnsi="方正黑体_GBK" w:eastAsia="方正黑体_GBK" w:cs="宋体"/>
                <w:sz w:val="15"/>
                <w:szCs w:val="20"/>
              </w:rPr>
              <w:t>96008</w:t>
            </w:r>
          </w:p>
        </w:tc>
      </w:tr>
      <w:tr w14:paraId="29B952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0265DA">
            <w:pPr>
              <w:spacing w:line="200" w:lineRule="exact"/>
            </w:pPr>
            <w:r>
              <w:rPr>
                <w:rFonts w:ascii="方正黑体_GBK" w:hAnsi="方正黑体_GBK" w:eastAsia="方正黑体_GBK" w:cs="宋体"/>
                <w:sz w:val="15"/>
                <w:szCs w:val="20"/>
              </w:rPr>
              <w:t>兰州银行股份有限公司</w:t>
            </w:r>
          </w:p>
        </w:tc>
        <w:tc>
          <w:tcPr>
            <w:tcW w:w="4050" w:type="dxa"/>
            <w:tcMar>
              <w:left w:w="120" w:type="dxa"/>
            </w:tcMar>
            <w:vAlign w:val="center"/>
          </w:tcPr>
          <w:p w14:paraId="3BBC2995">
            <w:pPr>
              <w:spacing w:line="200" w:lineRule="exact"/>
            </w:pPr>
            <w:r>
              <w:rPr>
                <w:rFonts w:ascii="方正黑体_GBK" w:hAnsi="方正黑体_GBK" w:eastAsia="方正黑体_GBK" w:cs="宋体"/>
                <w:sz w:val="15"/>
                <w:szCs w:val="20"/>
              </w:rPr>
              <w:t>甘肃省兰州市城关区酒泉路 211 号</w:t>
            </w:r>
          </w:p>
        </w:tc>
        <w:tc>
          <w:tcPr>
            <w:tcW w:w="1350" w:type="dxa"/>
            <w:tcMar>
              <w:left w:w="120" w:type="dxa"/>
            </w:tcMar>
            <w:vAlign w:val="center"/>
          </w:tcPr>
          <w:p w14:paraId="03CACB5E">
            <w:pPr>
              <w:spacing w:line="200" w:lineRule="exact"/>
            </w:pPr>
            <w:r>
              <w:rPr>
                <w:rFonts w:ascii="方正黑体_GBK" w:hAnsi="方正黑体_GBK" w:eastAsia="方正黑体_GBK" w:cs="宋体"/>
                <w:sz w:val="15"/>
                <w:szCs w:val="20"/>
              </w:rPr>
              <w:t>96799</w:t>
            </w:r>
          </w:p>
        </w:tc>
      </w:tr>
      <w:tr w14:paraId="233733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AE44611">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5DD85E64">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057FA680">
            <w:pPr>
              <w:spacing w:line="200" w:lineRule="exact"/>
            </w:pPr>
            <w:r>
              <w:rPr>
                <w:rFonts w:ascii="方正黑体_GBK" w:hAnsi="方正黑体_GBK" w:eastAsia="方正黑体_GBK" w:cs="宋体"/>
                <w:sz w:val="15"/>
                <w:szCs w:val="20"/>
              </w:rPr>
              <w:t>0546-96588/400-6296588</w:t>
            </w:r>
          </w:p>
        </w:tc>
      </w:tr>
      <w:tr w14:paraId="2CD768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E4F1ED1">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51016452">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301F7BDF">
            <w:pPr>
              <w:spacing w:line="200" w:lineRule="exact"/>
            </w:pPr>
            <w:r>
              <w:rPr>
                <w:rFonts w:ascii="方正黑体_GBK" w:hAnsi="方正黑体_GBK" w:eastAsia="方正黑体_GBK" w:cs="宋体"/>
                <w:sz w:val="15"/>
                <w:szCs w:val="20"/>
              </w:rPr>
              <w:t>96008</w:t>
            </w:r>
          </w:p>
        </w:tc>
      </w:tr>
      <w:tr w14:paraId="04464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D2DD144">
            <w:pPr>
              <w:spacing w:line="200" w:lineRule="exact"/>
            </w:pPr>
            <w:r>
              <w:rPr>
                <w:rFonts w:ascii="方正黑体_GBK" w:hAnsi="方正黑体_GBK" w:eastAsia="方正黑体_GBK" w:cs="宋体"/>
                <w:sz w:val="15"/>
                <w:szCs w:val="20"/>
              </w:rPr>
              <w:t>甘肃银行股份有限公司</w:t>
            </w:r>
          </w:p>
        </w:tc>
        <w:tc>
          <w:tcPr>
            <w:tcW w:w="4050" w:type="dxa"/>
            <w:tcMar>
              <w:left w:w="120" w:type="dxa"/>
            </w:tcMar>
            <w:vAlign w:val="center"/>
          </w:tcPr>
          <w:p w14:paraId="398B9CC4">
            <w:pPr>
              <w:spacing w:line="200" w:lineRule="exact"/>
            </w:pPr>
            <w:r>
              <w:rPr>
                <w:rFonts w:ascii="方正黑体_GBK" w:hAnsi="方正黑体_GBK" w:eastAsia="方正黑体_GBK" w:cs="宋体"/>
                <w:sz w:val="15"/>
                <w:szCs w:val="20"/>
              </w:rPr>
              <w:t>甘肃省兰州市城关区东岗西路 525-1 号甘肃银行大厦</w:t>
            </w:r>
          </w:p>
        </w:tc>
        <w:tc>
          <w:tcPr>
            <w:tcW w:w="1350" w:type="dxa"/>
            <w:tcMar>
              <w:left w:w="120" w:type="dxa"/>
            </w:tcMar>
            <w:vAlign w:val="center"/>
          </w:tcPr>
          <w:p w14:paraId="4FF2B44D">
            <w:pPr>
              <w:spacing w:line="200" w:lineRule="exact"/>
            </w:pPr>
            <w:r>
              <w:rPr>
                <w:rFonts w:ascii="方正黑体_GBK" w:hAnsi="方正黑体_GBK" w:eastAsia="方正黑体_GBK" w:cs="宋体"/>
                <w:sz w:val="15"/>
                <w:szCs w:val="20"/>
              </w:rPr>
              <w:t>96666</w:t>
            </w:r>
          </w:p>
        </w:tc>
      </w:tr>
      <w:tr w14:paraId="4F9768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A118FB">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0F17F0DF">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0714AF09">
            <w:pPr>
              <w:spacing w:line="200" w:lineRule="exact"/>
            </w:pPr>
            <w:r>
              <w:rPr>
                <w:rFonts w:ascii="方正黑体_GBK" w:hAnsi="方正黑体_GBK" w:eastAsia="方正黑体_GBK" w:cs="宋体"/>
                <w:sz w:val="15"/>
                <w:szCs w:val="20"/>
              </w:rPr>
              <w:t>96008</w:t>
            </w:r>
          </w:p>
        </w:tc>
      </w:tr>
      <w:tr w14:paraId="66437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DBFF46B">
            <w:pPr>
              <w:spacing w:line="200" w:lineRule="exact"/>
            </w:pPr>
            <w:r>
              <w:rPr>
                <w:rFonts w:ascii="方正黑体_GBK" w:hAnsi="方正黑体_GBK" w:eastAsia="方正黑体_GBK" w:cs="宋体"/>
                <w:sz w:val="15"/>
                <w:szCs w:val="20"/>
              </w:rPr>
              <w:t>吉林银行股份有限公司</w:t>
            </w:r>
          </w:p>
        </w:tc>
        <w:tc>
          <w:tcPr>
            <w:tcW w:w="4050" w:type="dxa"/>
            <w:tcMar>
              <w:left w:w="120" w:type="dxa"/>
            </w:tcMar>
            <w:vAlign w:val="center"/>
          </w:tcPr>
          <w:p w14:paraId="2B4A0A96">
            <w:pPr>
              <w:spacing w:line="200" w:lineRule="exact"/>
            </w:pPr>
            <w:r>
              <w:rPr>
                <w:rFonts w:ascii="方正黑体_GBK" w:hAnsi="方正黑体_GBK" w:eastAsia="方正黑体_GBK" w:cs="宋体"/>
                <w:sz w:val="15"/>
                <w:szCs w:val="20"/>
              </w:rPr>
              <w:t>吉林省长春市南关区人民大街10666号</w:t>
            </w:r>
          </w:p>
        </w:tc>
        <w:tc>
          <w:tcPr>
            <w:tcW w:w="1350" w:type="dxa"/>
            <w:tcMar>
              <w:left w:w="120" w:type="dxa"/>
            </w:tcMar>
            <w:vAlign w:val="center"/>
          </w:tcPr>
          <w:p w14:paraId="2F0A340A">
            <w:pPr>
              <w:spacing w:line="200" w:lineRule="exact"/>
            </w:pPr>
            <w:r>
              <w:rPr>
                <w:rFonts w:ascii="方正黑体_GBK" w:hAnsi="方正黑体_GBK" w:eastAsia="方正黑体_GBK" w:cs="宋体"/>
                <w:sz w:val="15"/>
                <w:szCs w:val="20"/>
              </w:rPr>
              <w:t>0431-84999543</w:t>
            </w:r>
          </w:p>
        </w:tc>
      </w:tr>
      <w:tr w14:paraId="6FC88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84A100">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75CBC0BC">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15817209">
            <w:pPr>
              <w:spacing w:line="200" w:lineRule="exact"/>
            </w:pPr>
            <w:r>
              <w:rPr>
                <w:rFonts w:ascii="方正黑体_GBK" w:hAnsi="方正黑体_GBK" w:eastAsia="方正黑体_GBK" w:cs="宋体"/>
                <w:sz w:val="15"/>
                <w:szCs w:val="20"/>
              </w:rPr>
              <w:t>96008</w:t>
            </w:r>
          </w:p>
        </w:tc>
      </w:tr>
      <w:tr w14:paraId="714466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BEA2CC1">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46CD7DDC">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74F7536F">
            <w:pPr>
              <w:spacing w:line="200" w:lineRule="exact"/>
            </w:pPr>
            <w:r>
              <w:rPr>
                <w:rFonts w:ascii="方正黑体_GBK" w:hAnsi="方正黑体_GBK" w:eastAsia="方正黑体_GBK" w:cs="宋体"/>
                <w:sz w:val="15"/>
                <w:szCs w:val="20"/>
              </w:rPr>
              <w:t>021-962999</w:t>
            </w:r>
          </w:p>
        </w:tc>
      </w:tr>
      <w:tr w14:paraId="09B2F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0E1C78">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31507AFA">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124DD6BB">
            <w:pPr>
              <w:spacing w:line="200" w:lineRule="exact"/>
            </w:pPr>
            <w:r>
              <w:rPr>
                <w:rFonts w:ascii="方正黑体_GBK" w:hAnsi="方正黑体_GBK" w:eastAsia="方正黑体_GBK" w:cs="宋体"/>
                <w:sz w:val="15"/>
                <w:szCs w:val="20"/>
              </w:rPr>
              <w:t>96008</w:t>
            </w:r>
          </w:p>
        </w:tc>
      </w:tr>
      <w:tr w14:paraId="37BCD1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8FAF5D4">
            <w:pPr>
              <w:spacing w:line="200" w:lineRule="exact"/>
            </w:pPr>
            <w:r>
              <w:rPr>
                <w:rFonts w:ascii="方正黑体_GBK" w:hAnsi="方正黑体_GBK" w:eastAsia="方正黑体_GBK" w:cs="宋体"/>
                <w:sz w:val="15"/>
                <w:szCs w:val="20"/>
              </w:rPr>
              <w:t>海南农村商业银行股份有限公司</w:t>
            </w:r>
          </w:p>
        </w:tc>
        <w:tc>
          <w:tcPr>
            <w:tcW w:w="4050" w:type="dxa"/>
            <w:tcMar>
              <w:left w:w="120" w:type="dxa"/>
            </w:tcMar>
            <w:vAlign w:val="center"/>
          </w:tcPr>
          <w:p w14:paraId="65587A34">
            <w:pPr>
              <w:spacing w:line="200" w:lineRule="exact"/>
            </w:pPr>
            <w:r>
              <w:rPr>
                <w:rFonts w:ascii="方正黑体_GBK" w:hAnsi="方正黑体_GBK" w:eastAsia="方正黑体_GBK" w:cs="宋体"/>
                <w:sz w:val="15"/>
                <w:szCs w:val="20"/>
              </w:rPr>
              <w:t>海南省海口市美兰区国兴大道5号海南大厦</w:t>
            </w:r>
          </w:p>
        </w:tc>
        <w:tc>
          <w:tcPr>
            <w:tcW w:w="1350" w:type="dxa"/>
            <w:tcMar>
              <w:left w:w="120" w:type="dxa"/>
            </w:tcMar>
            <w:vAlign w:val="center"/>
          </w:tcPr>
          <w:p w14:paraId="5CADB7C5">
            <w:pPr>
              <w:spacing w:line="200" w:lineRule="exact"/>
            </w:pPr>
            <w:r>
              <w:rPr>
                <w:rFonts w:ascii="方正黑体_GBK" w:hAnsi="方正黑体_GBK" w:eastAsia="方正黑体_GBK" w:cs="宋体"/>
                <w:sz w:val="15"/>
                <w:szCs w:val="20"/>
              </w:rPr>
              <w:t>65200533</w:t>
            </w:r>
          </w:p>
        </w:tc>
      </w:tr>
      <w:tr w14:paraId="3D81D0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73B904F">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4B350E4A">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2D464A53">
            <w:pPr>
              <w:spacing w:line="200" w:lineRule="exact"/>
            </w:pPr>
            <w:r>
              <w:rPr>
                <w:rFonts w:ascii="方正黑体_GBK" w:hAnsi="方正黑体_GBK" w:eastAsia="方正黑体_GBK" w:cs="宋体"/>
                <w:sz w:val="15"/>
                <w:szCs w:val="20"/>
              </w:rPr>
              <w:t>95313</w:t>
            </w:r>
          </w:p>
        </w:tc>
      </w:tr>
      <w:tr w14:paraId="404B2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A017489">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24BFD70B">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535588AF">
            <w:pPr>
              <w:spacing w:line="200" w:lineRule="exact"/>
            </w:pPr>
            <w:r>
              <w:rPr>
                <w:rFonts w:ascii="方正黑体_GBK" w:hAnsi="方正黑体_GBK" w:eastAsia="方正黑体_GBK" w:cs="宋体"/>
                <w:sz w:val="15"/>
                <w:szCs w:val="20"/>
              </w:rPr>
              <w:t>96008</w:t>
            </w:r>
          </w:p>
        </w:tc>
      </w:tr>
    </w:tbl>
    <w:p w14:paraId="50CF1039">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02F7B134">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105EE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6A718934">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5EFFAE77">
            <w:pPr>
              <w:spacing w:line="200" w:lineRule="exact"/>
              <w:jc w:val="center"/>
            </w:pPr>
            <w:r>
              <w:rPr>
                <w:rFonts w:ascii="方正黑体_GBK" w:hAnsi="方正黑体_GBK" w:eastAsia="方正黑体_GBK" w:cs="宋体"/>
                <w:b/>
                <w:sz w:val="15"/>
                <w:szCs w:val="20"/>
              </w:rPr>
              <w:t>关联关系</w:t>
            </w:r>
          </w:p>
        </w:tc>
      </w:tr>
      <w:tr w14:paraId="1923E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24DB0786">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4450D2F6">
            <w:pPr>
              <w:spacing w:line="200" w:lineRule="exact"/>
            </w:pPr>
            <w:r>
              <w:rPr>
                <w:rFonts w:ascii="方正黑体_GBK" w:hAnsi="方正黑体_GBK" w:eastAsia="方正黑体_GBK" w:cs="宋体"/>
                <w:sz w:val="15"/>
                <w:szCs w:val="20"/>
              </w:rPr>
              <w:t>发行机构的董事、高管及其近亲属控制的法人或非法人组织</w:t>
            </w:r>
          </w:p>
        </w:tc>
      </w:tr>
      <w:tr w14:paraId="6FD52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154DDB16">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1FEFAE05">
            <w:pPr>
              <w:spacing w:line="200" w:lineRule="exact"/>
            </w:pPr>
            <w:r>
              <w:rPr>
                <w:rFonts w:ascii="方正黑体_GBK" w:hAnsi="方正黑体_GBK" w:eastAsia="方正黑体_GBK" w:cs="宋体"/>
                <w:sz w:val="15"/>
                <w:szCs w:val="20"/>
              </w:rPr>
              <w:t>发行机构股东</w:t>
            </w:r>
          </w:p>
        </w:tc>
      </w:tr>
    </w:tbl>
    <w:p w14:paraId="634E15B3">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580AD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04DF259A">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0B8A2D7E">
            <w:pPr>
              <w:spacing w:line="200" w:lineRule="exact"/>
              <w:jc w:val="center"/>
            </w:pPr>
            <w:r>
              <w:rPr>
                <w:rFonts w:ascii="方正黑体_GBK" w:hAnsi="方正黑体_GBK" w:eastAsia="方正黑体_GBK" w:cs="宋体"/>
                <w:b/>
                <w:sz w:val="15"/>
                <w:szCs w:val="20"/>
              </w:rPr>
              <w:t>关联关系</w:t>
            </w:r>
          </w:p>
        </w:tc>
      </w:tr>
      <w:tr w14:paraId="58C0FA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5F911C1">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432AEB2B">
            <w:pPr>
              <w:spacing w:line="200" w:lineRule="exact"/>
            </w:pPr>
            <w:r>
              <w:rPr>
                <w:rFonts w:ascii="方正黑体_GBK" w:hAnsi="方正黑体_GBK" w:eastAsia="方正黑体_GBK" w:cs="宋体"/>
                <w:sz w:val="15"/>
                <w:szCs w:val="20"/>
              </w:rPr>
              <w:t>托管机构的控股机构</w:t>
            </w:r>
          </w:p>
        </w:tc>
      </w:tr>
    </w:tbl>
    <w:p w14:paraId="16B4B3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6F4D72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EFD573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966461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036A48F">
      <w:pPr>
        <w:spacing w:line="200" w:lineRule="exact"/>
        <w:ind w:firstLine="300"/>
      </w:pPr>
      <w:r>
        <w:rPr>
          <w:rFonts w:ascii="方正黑体_GBK" w:hAnsi="方正黑体_GBK" w:eastAsia="方正黑体_GBK" w:cs="宋体"/>
          <w:color w:val="3D3D3D"/>
          <w:sz w:val="15"/>
          <w:szCs w:val="20"/>
        </w:rPr>
        <w:t>1.净值信息</w:t>
      </w:r>
    </w:p>
    <w:p w14:paraId="03145B5E">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46BE2BB3">
      <w:pPr>
        <w:spacing w:line="200" w:lineRule="exact"/>
        <w:ind w:firstLine="300"/>
      </w:pPr>
      <w:r>
        <w:rPr>
          <w:rFonts w:ascii="方正黑体_GBK" w:hAnsi="方正黑体_GBK" w:eastAsia="方正黑体_GBK" w:cs="宋体"/>
          <w:color w:val="3D3D3D"/>
          <w:sz w:val="15"/>
          <w:szCs w:val="20"/>
        </w:rPr>
        <w:t>2.产品发行公告</w:t>
      </w:r>
    </w:p>
    <w:p w14:paraId="720266D9">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44AC67C2">
      <w:pPr>
        <w:spacing w:line="200" w:lineRule="exact"/>
        <w:ind w:firstLine="300"/>
      </w:pPr>
      <w:r>
        <w:rPr>
          <w:rFonts w:ascii="方正黑体_GBK" w:hAnsi="方正黑体_GBK" w:eastAsia="方正黑体_GBK" w:cs="宋体"/>
          <w:color w:val="3D3D3D"/>
          <w:sz w:val="15"/>
          <w:szCs w:val="20"/>
        </w:rPr>
        <w:t>3.定期报告</w:t>
      </w:r>
    </w:p>
    <w:p w14:paraId="5D285F0E">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4EA637F3">
      <w:pPr>
        <w:spacing w:line="200" w:lineRule="exact"/>
        <w:ind w:firstLine="300"/>
      </w:pPr>
      <w:r>
        <w:rPr>
          <w:rFonts w:ascii="方正黑体_GBK" w:hAnsi="方正黑体_GBK" w:eastAsia="方正黑体_GBK" w:cs="宋体"/>
          <w:color w:val="3D3D3D"/>
          <w:sz w:val="15"/>
          <w:szCs w:val="20"/>
        </w:rPr>
        <w:t>4.到期公告</w:t>
      </w:r>
    </w:p>
    <w:p w14:paraId="47CC78E1">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68549311">
      <w:pPr>
        <w:spacing w:line="200" w:lineRule="exact"/>
        <w:ind w:firstLine="300"/>
      </w:pPr>
      <w:r>
        <w:rPr>
          <w:rFonts w:ascii="方正黑体_GBK" w:hAnsi="方正黑体_GBK" w:eastAsia="方正黑体_GBK" w:cs="宋体"/>
          <w:color w:val="3D3D3D"/>
          <w:sz w:val="15"/>
          <w:szCs w:val="20"/>
        </w:rPr>
        <w:t>5.重大事项公告</w:t>
      </w:r>
    </w:p>
    <w:p w14:paraId="48EBCA61">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2292437A">
      <w:pPr>
        <w:spacing w:line="200" w:lineRule="exact"/>
        <w:ind w:firstLine="300"/>
      </w:pPr>
      <w:r>
        <w:rPr>
          <w:rFonts w:ascii="方正黑体_GBK" w:hAnsi="方正黑体_GBK" w:eastAsia="方正黑体_GBK" w:cs="宋体"/>
          <w:color w:val="3D3D3D"/>
          <w:sz w:val="15"/>
          <w:szCs w:val="20"/>
        </w:rPr>
        <w:t>6.临时公告</w:t>
      </w:r>
    </w:p>
    <w:p w14:paraId="4AD78B3E">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4D283922">
      <w:pPr>
        <w:spacing w:line="200" w:lineRule="exact"/>
        <w:ind w:firstLine="300"/>
      </w:pPr>
      <w:r>
        <w:rPr>
          <w:rFonts w:ascii="方正黑体_GBK" w:hAnsi="方正黑体_GBK" w:eastAsia="方正黑体_GBK" w:cs="宋体"/>
          <w:color w:val="3D3D3D"/>
          <w:sz w:val="15"/>
          <w:szCs w:val="20"/>
        </w:rPr>
        <w:t>7.关联交易信息披露</w:t>
      </w:r>
    </w:p>
    <w:p w14:paraId="7ACA5193">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0414DE54">
      <w:pPr>
        <w:spacing w:line="200" w:lineRule="exact"/>
        <w:ind w:firstLine="300"/>
      </w:pPr>
      <w:r>
        <w:rPr>
          <w:rFonts w:ascii="方正黑体_GBK" w:hAnsi="方正黑体_GBK" w:eastAsia="方正黑体_GBK" w:cs="宋体"/>
          <w:color w:val="3D3D3D"/>
          <w:sz w:val="15"/>
          <w:szCs w:val="20"/>
        </w:rPr>
        <w:t>8.账单</w:t>
      </w:r>
    </w:p>
    <w:p w14:paraId="3C422BC5">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130098F9">
      <w:pPr>
        <w:spacing w:line="200" w:lineRule="exact"/>
        <w:ind w:firstLine="301"/>
      </w:pPr>
      <w:r>
        <w:rPr>
          <w:rFonts w:ascii="方正黑体_GBK" w:hAnsi="方正黑体_GBK" w:eastAsia="方正黑体_GBK" w:cs="宋体"/>
          <w:b/>
          <w:sz w:val="15"/>
          <w:szCs w:val="20"/>
        </w:rPr>
        <w:t>9.在本理财产品存续期内：</w:t>
      </w:r>
    </w:p>
    <w:p w14:paraId="43E2F16F">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9C4327D">
      <w:pPr>
        <w:spacing w:line="200" w:lineRule="exact"/>
        <w:ind w:firstLine="300"/>
      </w:pPr>
      <w:r>
        <w:rPr>
          <w:rFonts w:ascii="方正黑体_GBK" w:hAnsi="方正黑体_GBK" w:eastAsia="方正黑体_GBK" w:cs="宋体"/>
          <w:color w:val="3D3D3D"/>
          <w:sz w:val="15"/>
          <w:szCs w:val="20"/>
        </w:rPr>
        <w:t>10.其他公告</w:t>
      </w:r>
    </w:p>
    <w:p w14:paraId="4C0C5614">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369C446D">
      <w:pPr>
        <w:spacing w:line="200" w:lineRule="exact"/>
        <w:ind w:firstLine="300"/>
      </w:pPr>
    </w:p>
    <w:p w14:paraId="65EA58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65A4A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A3897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E8EBA7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D56FA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19B7B1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83235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CAC22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5FE54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0FA65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D1A1F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5804F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3A9B25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5AB3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27C61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5d3a40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8e758f2"/>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befeecd"/>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c9b2c0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3606bac"/>
    <w:uiPriority w:val="0"/>
  </w:style>
  <w:style w:type="paragraph" w:customStyle="1" w:styleId="20">
    <w:name w:val="toc 118457883"/>
    <w:basedOn w:val="15"/>
    <w:next w:val="1"/>
    <w:autoRedefine/>
    <w:qFormat/>
    <w:uiPriority w:val="0"/>
  </w:style>
  <w:style w:type="paragraph" w:customStyle="1" w:styleId="21">
    <w:name w:val="toc 28325c86c"/>
    <w:basedOn w:val="15"/>
    <w:next w:val="1"/>
    <w:autoRedefine/>
    <w:uiPriority w:val="0"/>
    <w:pPr>
      <w:ind w:left="420"/>
    </w:pPr>
  </w:style>
  <w:style w:type="paragraph" w:customStyle="1" w:styleId="22">
    <w:name w:val="toc 355676429"/>
    <w:basedOn w:val="15"/>
    <w:next w:val="1"/>
    <w:autoRedefine/>
    <w:uiPriority w:val="0"/>
    <w:pPr>
      <w:ind w:left="840"/>
    </w:pPr>
  </w:style>
  <w:style w:type="paragraph" w:customStyle="1" w:styleId="23">
    <w:name w:val="toc 4da276133"/>
    <w:basedOn w:val="15"/>
    <w:next w:val="1"/>
    <w:autoRedefine/>
    <w:uiPriority w:val="0"/>
    <w:pPr>
      <w:ind w:left="1260"/>
    </w:pPr>
  </w:style>
  <w:style w:type="paragraph" w:customStyle="1" w:styleId="24">
    <w:name w:val="toc 558e6e0e6"/>
    <w:basedOn w:val="15"/>
    <w:next w:val="1"/>
    <w:autoRedefine/>
    <w:uiPriority w:val="0"/>
    <w:pPr>
      <w:ind w:left="1680"/>
    </w:pPr>
  </w:style>
  <w:style w:type="paragraph" w:customStyle="1" w:styleId="25">
    <w:name w:val="header21f504ab"/>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7610d56"/>
    <w:basedOn w:val="15"/>
    <w:uiPriority w:val="0"/>
    <w:pPr>
      <w:tabs>
        <w:tab w:val="center" w:pos="4153"/>
        <w:tab w:val="right" w:pos="8307"/>
      </w:tabs>
      <w:adjustRightInd/>
      <w:snapToGrid w:val="0"/>
      <w:contextualSpacing w:val="0"/>
      <w:jc w:val="left"/>
    </w:pPr>
    <w:rPr>
      <w:sz w:val="18"/>
    </w:rPr>
  </w:style>
  <w:style w:type="character" w:customStyle="1" w:styleId="27">
    <w:name w:val="Strong3613b6a0"/>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f198c0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3baa1a2"/>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981d2e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94175a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bc25a09"/>
    <w:qFormat/>
    <w:uiPriority w:val="0"/>
  </w:style>
  <w:style w:type="paragraph" w:customStyle="1" w:styleId="34">
    <w:name w:val="Normal Indent0101e6f2"/>
    <w:basedOn w:val="29"/>
    <w:uiPriority w:val="0"/>
    <w:pPr>
      <w:ind w:firstLine="200" w:firstLineChars="200"/>
    </w:pPr>
  </w:style>
  <w:style w:type="paragraph" w:customStyle="1" w:styleId="35">
    <w:name w:val="toc 538a36ce0"/>
    <w:basedOn w:val="29"/>
    <w:next w:val="1"/>
    <w:qFormat/>
    <w:uiPriority w:val="0"/>
    <w:pPr>
      <w:ind w:left="1680"/>
    </w:pPr>
  </w:style>
  <w:style w:type="paragraph" w:customStyle="1" w:styleId="36">
    <w:name w:val="toc 3ce5f53d7"/>
    <w:basedOn w:val="29"/>
    <w:next w:val="1"/>
    <w:uiPriority w:val="0"/>
    <w:pPr>
      <w:ind w:left="840"/>
    </w:pPr>
  </w:style>
  <w:style w:type="paragraph" w:customStyle="1" w:styleId="37">
    <w:name w:val="footer7e00e6d8"/>
    <w:basedOn w:val="29"/>
    <w:uiPriority w:val="0"/>
    <w:pPr>
      <w:tabs>
        <w:tab w:val="center" w:pos="4153"/>
        <w:tab w:val="right" w:pos="8307"/>
      </w:tabs>
      <w:adjustRightInd/>
      <w:snapToGrid w:val="0"/>
      <w:contextualSpacing w:val="0"/>
      <w:jc w:val="left"/>
    </w:pPr>
    <w:rPr>
      <w:sz w:val="18"/>
    </w:rPr>
  </w:style>
  <w:style w:type="paragraph" w:customStyle="1" w:styleId="38">
    <w:name w:val="header2a6d694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cc9a2ce"/>
    <w:basedOn w:val="29"/>
    <w:next w:val="1"/>
    <w:uiPriority w:val="0"/>
  </w:style>
  <w:style w:type="paragraph" w:customStyle="1" w:styleId="40">
    <w:name w:val="toc 485149633"/>
    <w:basedOn w:val="29"/>
    <w:next w:val="1"/>
    <w:uiPriority w:val="0"/>
    <w:pPr>
      <w:ind w:left="1260"/>
    </w:pPr>
  </w:style>
  <w:style w:type="paragraph" w:customStyle="1" w:styleId="41">
    <w:name w:val="toc 29bb2a13a"/>
    <w:basedOn w:val="29"/>
    <w:next w:val="1"/>
    <w:uiPriority w:val="0"/>
    <w:pPr>
      <w:ind w:left="420"/>
    </w:pPr>
  </w:style>
  <w:style w:type="paragraph" w:customStyle="1" w:styleId="42">
    <w:name w:val="Normal (Web)c632568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8b3d228f8b3d22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ecbaebdaecbaeb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03a7bdb803a7bdb"/>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92a78a8c92a78a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a165c0faa165c0f"/>
    <w:uiPriority w:val="0"/>
  </w:style>
  <w:style w:type="paragraph" w:customStyle="1" w:styleId="49">
    <w:name w:val="引文目录119fabfd819fabfd8"/>
    <w:basedOn w:val="44"/>
    <w:next w:val="1"/>
    <w:uiPriority w:val="0"/>
    <w:pPr>
      <w:ind w:left="200" w:leftChars="200"/>
    </w:pPr>
  </w:style>
  <w:style w:type="paragraph" w:customStyle="1" w:styleId="50">
    <w:name w:val="toc 5f7b8beeef7b8beee"/>
    <w:basedOn w:val="44"/>
    <w:next w:val="1"/>
    <w:uiPriority w:val="0"/>
    <w:pPr>
      <w:ind w:left="1680"/>
    </w:pPr>
  </w:style>
  <w:style w:type="paragraph" w:customStyle="1" w:styleId="51">
    <w:name w:val="toc 357e6b94557e6b945"/>
    <w:basedOn w:val="44"/>
    <w:next w:val="1"/>
    <w:uiPriority w:val="0"/>
    <w:pPr>
      <w:ind w:left="840"/>
    </w:pPr>
  </w:style>
  <w:style w:type="paragraph" w:customStyle="1" w:styleId="52">
    <w:name w:val="footerae4c6666ae4c6666"/>
    <w:basedOn w:val="44"/>
    <w:qFormat/>
    <w:uiPriority w:val="0"/>
    <w:pPr>
      <w:tabs>
        <w:tab w:val="center" w:pos="4153"/>
        <w:tab w:val="right" w:pos="8307"/>
      </w:tabs>
      <w:adjustRightInd/>
      <w:snapToGrid w:val="0"/>
      <w:contextualSpacing w:val="0"/>
      <w:jc w:val="left"/>
    </w:pPr>
    <w:rPr>
      <w:sz w:val="18"/>
    </w:rPr>
  </w:style>
  <w:style w:type="paragraph" w:customStyle="1" w:styleId="53">
    <w:name w:val="header0ebc53c70ebc53c7"/>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f4f8b44bf4f8b44"/>
    <w:basedOn w:val="44"/>
    <w:next w:val="1"/>
    <w:qFormat/>
    <w:uiPriority w:val="0"/>
  </w:style>
  <w:style w:type="paragraph" w:customStyle="1" w:styleId="55">
    <w:name w:val="toc 499b288b899b288b8"/>
    <w:basedOn w:val="44"/>
    <w:next w:val="1"/>
    <w:uiPriority w:val="0"/>
    <w:pPr>
      <w:ind w:left="1260"/>
    </w:pPr>
  </w:style>
  <w:style w:type="paragraph" w:customStyle="1" w:styleId="56">
    <w:name w:val="toc 28d1c92888d1c9288"/>
    <w:basedOn w:val="44"/>
    <w:next w:val="1"/>
    <w:uiPriority w:val="0"/>
    <w:pPr>
      <w:ind w:left="420"/>
    </w:pPr>
  </w:style>
  <w:style w:type="paragraph" w:customStyle="1" w:styleId="57">
    <w:name w:val="列出段落13b73eac53b73eac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14</Pages>
  <Words>24366</Words>
  <Characters>25314</Characters>
  <Lines>77</Lines>
  <Paragraphs>27</Paragraphs>
  <TotalTime>9</TotalTime>
  <ScaleCrop>false</ScaleCrop>
  <LinksUpToDate>false</LinksUpToDate>
  <CharactersWithSpaces>25544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2026-08-07T07:29:53Z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