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b25955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b25955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765016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765016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986170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南银理财珠联璧合鑫逸稳半年196期封闭式公募人民币理财产品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ZZ700322600250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Z7003226000237(投资者可依据该编码在中国理财网www.chinawealth.com.cn查询理财产品相关信息）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A份额：NYXY001317</w:t>
            </w:r>
          </w:p>
          <w:p>
            <w:pPr>
              <w:pStyle w:val="null10"/>
              <w:spacing w:lineRule="exact" w:line="200"/>
            </w:pPr>
            <w:r>
              <w:rPr>
                <w:rFonts w:ascii="方正黑体_GBK" w:hAnsi="方正黑体_GBK" w:cs="宋体" w:eastAsia="方正黑体_GBK"/>
                <w:sz w:val="18"/>
                <w:szCs w:val="18"/>
              </w:rPr>
              <w:t>B份额：NYXY001318</w:t>
            </w:r>
          </w:p>
          <w:p>
            <w:pPr>
              <w:pStyle w:val="null10"/>
              <w:spacing w:lineRule="exact" w:line="200"/>
            </w:pPr>
            <w:r>
              <w:rPr>
                <w:rFonts w:ascii="方正黑体_GBK" w:hAnsi="方正黑体_GBK" w:cs="宋体" w:eastAsia="方正黑体_GBK"/>
                <w:sz w:val="18"/>
                <w:szCs w:val="18"/>
              </w:rPr>
              <w:t>C份额：NYXY001319</w:t>
            </w:r>
          </w:p>
          <w:p>
            <w:pPr>
              <w:pStyle w:val="null10"/>
              <w:spacing w:lineRule="exact" w:line="200"/>
            </w:pPr>
            <w:r>
              <w:rPr>
                <w:rFonts w:ascii="方正黑体_GBK" w:hAnsi="方正黑体_GBK" w:cs="宋体" w:eastAsia="方正黑体_GBK"/>
                <w:sz w:val="18"/>
                <w:szCs w:val="18"/>
              </w:rPr>
              <w:t>F份额：NYXY001846</w:t>
            </w:r>
          </w:p>
          <w:p>
            <w:pPr>
              <w:pStyle w:val="null10"/>
              <w:spacing w:lineRule="exact" w:line="200"/>
            </w:pPr>
            <w:r>
              <w:rPr>
                <w:rFonts w:ascii="方正黑体_GBK" w:hAnsi="方正黑体_GBK" w:cs="宋体" w:eastAsia="方正黑体_GBK"/>
                <w:sz w:val="18"/>
                <w:szCs w:val="18"/>
              </w:rPr>
              <w:t>J份额：NYXY001320</w:t>
            </w:r>
          </w:p>
          <w:p>
            <w:pPr>
              <w:pStyle w:val="null10"/>
              <w:spacing w:lineRule="exact" w:line="200"/>
            </w:pPr>
            <w:r>
              <w:rPr>
                <w:rFonts w:ascii="方正黑体_GBK" w:hAnsi="方正黑体_GBK" w:cs="宋体" w:eastAsia="方正黑体_GBK"/>
                <w:sz w:val="18"/>
                <w:szCs w:val="18"/>
              </w:rPr>
              <w:t>L份额：NYXY001321</w:t>
            </w:r>
          </w:p>
          <w:p>
            <w:pPr>
              <w:pStyle w:val="null10"/>
              <w:spacing w:lineRule="exact" w:line="200"/>
            </w:pPr>
            <w:r>
              <w:rPr>
                <w:rFonts w:ascii="方正黑体_GBK" w:hAnsi="方正黑体_GBK" w:cs="宋体" w:eastAsia="方正黑体_GBK"/>
                <w:sz w:val="18"/>
                <w:szCs w:val="18"/>
              </w:rPr>
              <w:t>N份额：NYXY001847</w:t>
            </w:r>
          </w:p>
          <w:p>
            <w:pPr>
              <w:pStyle w:val="null10"/>
              <w:spacing w:lineRule="exact" w:line="200"/>
            </w:pPr>
            <w:r>
              <w:rPr>
                <w:rFonts w:ascii="方正黑体_GBK" w:hAnsi="方正黑体_GBK" w:cs="宋体" w:eastAsia="方正黑体_GBK"/>
                <w:sz w:val="18"/>
                <w:szCs w:val="18"/>
              </w:rPr>
              <w:t>O份额：NYXY001848</w:t>
            </w:r>
          </w:p>
          <w:p>
            <w:pPr>
              <w:pStyle w:val="null10"/>
              <w:spacing w:lineRule="exact" w:line="200"/>
            </w:pPr>
            <w:r>
              <w:rPr>
                <w:rFonts w:ascii="方正黑体_GBK" w:hAnsi="方正黑体_GBK" w:cs="宋体" w:eastAsia="方正黑体_GBK"/>
                <w:sz w:val="18"/>
                <w:szCs w:val="18"/>
              </w:rPr>
              <w:t>A2份额：NYXY001849</w:t>
            </w:r>
          </w:p>
          <w:p>
            <w:pPr>
              <w:pStyle w:val="null10"/>
              <w:spacing w:lineRule="exact" w:line="200"/>
            </w:pPr>
            <w:r>
              <w:rPr>
                <w:rFonts w:ascii="方正黑体_GBK" w:hAnsi="方正黑体_GBK" w:cs="宋体" w:eastAsia="方正黑体_GBK"/>
                <w:sz w:val="18"/>
                <w:szCs w:val="18"/>
              </w:rPr>
              <w:t>D2份额：NYXY001851</w:t>
            </w:r>
          </w:p>
          <w:p>
            <w:pPr>
              <w:pStyle w:val="null10"/>
              <w:spacing w:lineRule="exact" w:line="200"/>
            </w:pPr>
            <w:r>
              <w:rPr>
                <w:rFonts w:ascii="方正黑体_GBK" w:hAnsi="方正黑体_GBK" w:cs="宋体" w:eastAsia="方正黑体_GBK"/>
                <w:sz w:val="18"/>
                <w:szCs w:val="18"/>
              </w:rPr>
              <w:t>I2份额：NYXY001852</w:t>
            </w:r>
          </w:p>
          <w:p>
            <w:pPr>
              <w:pStyle w:val="null10"/>
              <w:spacing w:lineRule="exact" w:line="200"/>
            </w:pPr>
            <w:r>
              <w:rPr>
                <w:rFonts w:ascii="方正黑体_GBK" w:hAnsi="方正黑体_GBK" w:cs="宋体" w:eastAsia="方正黑体_GBK"/>
                <w:sz w:val="18"/>
                <w:szCs w:val="18"/>
              </w:rPr>
              <w:t>Q份额：NYXY001322</w:t>
            </w:r>
          </w:p>
          <w:p>
            <w:pPr>
              <w:pStyle w:val="null10"/>
              <w:spacing w:lineRule="exact" w:line="200"/>
            </w:pPr>
            <w:r>
              <w:rPr>
                <w:rFonts w:ascii="方正黑体_GBK" w:hAnsi="方正黑体_GBK" w:cs="宋体" w:eastAsia="方正黑体_GBK"/>
                <w:sz w:val="18"/>
                <w:szCs w:val="18"/>
              </w:rPr>
              <w:t>Q2份额：NYXY001850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拥军优属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手机银行版本为尊享家园版的个人客户）、宁夏银行股份有限公司、九江银行股份有限公司、湖北银行股份有限公司、海南银行股份有限公司、廊坊银行股份有限公司、乌鲁木齐银行股份有限公司、上海农村商业银行股份有限公司（除新客新资金外的其他客户）、湖州银行股份有限公司、桂林银行股份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新客户和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灌南农村商业银行股份有限公司、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齐商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云南红塔银行股份有限公司（时点资产较上月末提升5万元的个人客户）、兰州银行股份有限公司、甘肃银行股份有限公司、上海农村商业银行股份有限公司（新客新资金客户）、东营银行股份有限公司、桂林银行股份有限公司（财富客户）、海南农村商业银行股份有限公司、石嘴山银行股份有限公司（财富客户）、江苏高淳农村商业银行股份有限公司、江苏新沂农村商业银行股份有限公司（1元起购）、江苏阜宁农村商业银行股份有限公司、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L份额：天津农村商业银行股份有限公司(私钻客户)、江苏姜堰农村商业银行股份有限公司（代发客户）、江苏扬州农村商业银行股份有限公司（新客户）。</w:t>
            </w:r>
          </w:p>
          <w:p>
            <w:pPr>
              <w:pStyle w:val="null10"/>
              <w:spacing w:lineRule="exact" w:line="200"/>
            </w:pPr>
            <w:r>
              <w:rPr>
                <w:rFonts w:ascii="方正黑体_GBK" w:hAnsi="方正黑体_GBK" w:cs="宋体" w:eastAsia="方正黑体_GBK"/>
                <w:sz w:val="18"/>
                <w:szCs w:val="18"/>
              </w:rPr>
              <w:t>N份额：蒙商银行股份有限公司（除财富客户外的其他客户）。</w:t>
            </w:r>
          </w:p>
          <w:p>
            <w:pPr>
              <w:pStyle w:val="null10"/>
              <w:spacing w:lineRule="exact" w:line="200"/>
            </w:pPr>
            <w:r>
              <w:rPr>
                <w:rFonts w:ascii="方正黑体_GBK" w:hAnsi="方正黑体_GBK" w:cs="宋体" w:eastAsia="方正黑体_GBK"/>
                <w:sz w:val="18"/>
                <w:szCs w:val="18"/>
              </w:rPr>
              <w:t>O份额：蒙商银行股份有限公司（财富客户）。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szCs w:val="18"/>
              </w:rPr>
              <w:t>D2份额：成都银行股份有限公司。</w:t>
            </w:r>
          </w:p>
          <w:p>
            <w:pPr>
              <w:pStyle w:val="null10"/>
              <w:spacing w:lineRule="exact" w:line="200"/>
            </w:pPr>
            <w:r>
              <w:rPr>
                <w:rFonts w:ascii="方正黑体_GBK" w:hAnsi="方正黑体_GBK" w:cs="宋体" w:eastAsia="方正黑体_GBK"/>
                <w:sz w:val="18"/>
                <w:szCs w:val="18"/>
              </w:rPr>
              <w:t>I2份额：南京银行股份有限公司（拥军优属）。</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A份额/B份额/C份额/F份额/J份额/L份额/N份额/O份额/A2份额/D2份额/I2份额/Q份额/Q2份额：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2026年08月12日 09:00—2026年08月18日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2026年08月19日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2026年08月19日—实际到期日（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2027年03月03日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A份额：业绩比较基准为2.09%(年化)。</w:t>
            </w:r>
          </w:p>
          <w:p>
            <w:pPr>
              <w:pStyle w:val="null10"/>
              <w:spacing w:lineRule="exact" w:line="200"/>
            </w:pPr>
            <w:r>
              <w:rPr>
                <w:rFonts w:ascii="方正黑体_GBK" w:hAnsi="方正黑体_GBK" w:cs="宋体" w:eastAsia="方正黑体_GBK"/>
                <w:sz w:val="18"/>
                <w:szCs w:val="18"/>
              </w:rPr>
              <w:t>B份额：业绩比较基准为2.19%(年化)。</w:t>
            </w:r>
          </w:p>
          <w:p>
            <w:pPr>
              <w:pStyle w:val="null10"/>
              <w:spacing w:lineRule="exact" w:line="200"/>
            </w:pPr>
            <w:r>
              <w:rPr>
                <w:rFonts w:ascii="方正黑体_GBK" w:hAnsi="方正黑体_GBK" w:cs="宋体" w:eastAsia="方正黑体_GBK"/>
                <w:sz w:val="18"/>
                <w:szCs w:val="18"/>
              </w:rPr>
              <w:t>C份额：业绩比较基准为2.29%(年化)。</w:t>
            </w:r>
          </w:p>
          <w:p>
            <w:pPr>
              <w:pStyle w:val="null10"/>
              <w:spacing w:lineRule="exact" w:line="200"/>
            </w:pPr>
            <w:r>
              <w:rPr>
                <w:rFonts w:ascii="方正黑体_GBK" w:hAnsi="方正黑体_GBK" w:cs="宋体" w:eastAsia="方正黑体_GBK"/>
                <w:sz w:val="18"/>
                <w:szCs w:val="18"/>
              </w:rPr>
              <w:t>F份额：业绩比较基准为2.19%(年化)。</w:t>
            </w:r>
          </w:p>
          <w:p>
            <w:pPr>
              <w:pStyle w:val="null10"/>
              <w:spacing w:lineRule="exact" w:line="200"/>
            </w:pPr>
            <w:r>
              <w:rPr>
                <w:rFonts w:ascii="方正黑体_GBK" w:hAnsi="方正黑体_GBK" w:cs="宋体" w:eastAsia="方正黑体_GBK"/>
                <w:sz w:val="18"/>
                <w:szCs w:val="18"/>
              </w:rPr>
              <w:t>J份额：业绩比较基准为2.09%(年化)。</w:t>
            </w:r>
          </w:p>
          <w:p>
            <w:pPr>
              <w:pStyle w:val="null10"/>
              <w:spacing w:lineRule="exact" w:line="200"/>
            </w:pPr>
            <w:r>
              <w:rPr>
                <w:rFonts w:ascii="方正黑体_GBK" w:hAnsi="方正黑体_GBK" w:cs="宋体" w:eastAsia="方正黑体_GBK"/>
                <w:sz w:val="18"/>
                <w:szCs w:val="18"/>
              </w:rPr>
              <w:t>L份额：业绩比较基准为2.34%(年化)。</w:t>
            </w:r>
          </w:p>
          <w:p>
            <w:pPr>
              <w:pStyle w:val="null10"/>
              <w:spacing w:lineRule="exact" w:line="200"/>
            </w:pPr>
            <w:r>
              <w:rPr>
                <w:rFonts w:ascii="方正黑体_GBK" w:hAnsi="方正黑体_GBK" w:cs="宋体" w:eastAsia="方正黑体_GBK"/>
                <w:sz w:val="18"/>
                <w:szCs w:val="18"/>
              </w:rPr>
              <w:t>N份额：业绩比较基准为2.09%(年化)。</w:t>
            </w:r>
          </w:p>
          <w:p>
            <w:pPr>
              <w:pStyle w:val="null10"/>
              <w:spacing w:lineRule="exact" w:line="200"/>
            </w:pPr>
            <w:r>
              <w:rPr>
                <w:rFonts w:ascii="方正黑体_GBK" w:hAnsi="方正黑体_GBK" w:cs="宋体" w:eastAsia="方正黑体_GBK"/>
                <w:sz w:val="18"/>
                <w:szCs w:val="18"/>
              </w:rPr>
              <w:t>O份额：业绩比较基准为2.29%(年化)。</w:t>
            </w:r>
          </w:p>
          <w:p>
            <w:pPr>
              <w:pStyle w:val="null10"/>
              <w:spacing w:lineRule="exact" w:line="200"/>
            </w:pPr>
            <w:r>
              <w:rPr>
                <w:rFonts w:ascii="方正黑体_GBK" w:hAnsi="方正黑体_GBK" w:cs="宋体" w:eastAsia="方正黑体_GBK"/>
                <w:sz w:val="18"/>
                <w:szCs w:val="18"/>
              </w:rPr>
              <w:t>A2份额：业绩比较基准为2.09%(年化)。</w:t>
            </w:r>
          </w:p>
          <w:p>
            <w:pPr>
              <w:pStyle w:val="null10"/>
              <w:spacing w:lineRule="exact" w:line="200"/>
            </w:pPr>
            <w:r>
              <w:rPr>
                <w:rFonts w:ascii="方正黑体_GBK" w:hAnsi="方正黑体_GBK" w:cs="宋体" w:eastAsia="方正黑体_GBK"/>
                <w:sz w:val="18"/>
                <w:szCs w:val="18"/>
              </w:rPr>
              <w:t>D2份额：业绩比较基准为2.24%(年化)。</w:t>
            </w:r>
          </w:p>
          <w:p>
            <w:pPr>
              <w:pStyle w:val="null10"/>
              <w:spacing w:lineRule="exact" w:line="200"/>
            </w:pPr>
            <w:r>
              <w:rPr>
                <w:rFonts w:ascii="方正黑体_GBK" w:hAnsi="方正黑体_GBK" w:cs="宋体" w:eastAsia="方正黑体_GBK"/>
                <w:sz w:val="18"/>
                <w:szCs w:val="18"/>
              </w:rPr>
              <w:t>I2份额：业绩比较基准为2.19%(年化)。</w:t>
            </w:r>
          </w:p>
          <w:p>
            <w:pPr>
              <w:pStyle w:val="null10"/>
              <w:spacing w:lineRule="exact" w:line="200"/>
            </w:pPr>
            <w:r>
              <w:rPr>
                <w:rFonts w:ascii="方正黑体_GBK" w:hAnsi="方正黑体_GBK" w:cs="宋体" w:eastAsia="方正黑体_GBK"/>
                <w:sz w:val="18"/>
                <w:szCs w:val="18"/>
              </w:rPr>
              <w:t>Q份额：业绩比较基准为2.24%(年化)。</w:t>
            </w:r>
          </w:p>
          <w:p>
            <w:pPr>
              <w:pStyle w:val="null10"/>
              <w:spacing w:lineRule="exact" w:line="200"/>
            </w:pPr>
            <w:r>
              <w:rPr>
                <w:rFonts w:ascii="方正黑体_GBK" w:hAnsi="方正黑体_GBK" w:cs="宋体" w:eastAsia="方正黑体_GBK"/>
                <w:sz w:val="18"/>
                <w:szCs w:val="18"/>
              </w:rPr>
              <w:t>Q2份额：业绩比较基准为2.3%(年化)。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A份额，F份额，J份额：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B份额，I2份额：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C份额，L份额，Q2份额：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w:t>
            </w:r>
          </w:p>
          <w:p>
            <w:pPr>
              <w:pStyle w:val="null10"/>
              <w:spacing w:lineRule="exact" w:line="200"/>
            </w:pPr>
            <w:r>
              <w:rPr>
                <w:rFonts w:ascii="方正黑体_GBK" w:hAnsi="方正黑体_GBK" w:cs="宋体" w:eastAsia="方正黑体_GBK"/>
                <w:sz w:val="18"/>
                <w:b/>
                <w:szCs w:val="18"/>
              </w:rPr>
              <w:t>本理财产品按前一日理财产品资产净值收取年化0.3%的销售费，按日计提。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D2份额，Q份额：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N份额：固定管理费年化0.01%</w:t>
            </w:r>
          </w:p>
          <w:p>
            <w:pPr>
              <w:pStyle w:val="null10"/>
              <w:spacing w:lineRule="exact" w:line="200"/>
            </w:pPr>
            <w:r>
              <w:rPr>
                <w:rFonts w:ascii="方正黑体_GBK" w:hAnsi="方正黑体_GBK" w:cs="宋体" w:eastAsia="方正黑体_GBK"/>
                <w:sz w:val="18"/>
                <w:b/>
                <w:szCs w:val="18"/>
              </w:rPr>
              <w:t>O份额：固定管理费年化0.01%</w:t>
            </w:r>
          </w:p>
          <w:p>
            <w:pPr>
              <w:pStyle w:val="null10"/>
              <w:spacing w:lineRule="exact" w:line="200"/>
            </w:pPr>
            <w:r>
              <w:rPr>
                <w:rFonts w:ascii="方正黑体_GBK" w:hAnsi="方正黑体_GBK" w:cs="宋体" w:eastAsia="方正黑体_GBK"/>
                <w:sz w:val="18"/>
                <w:b/>
                <w:szCs w:val="18"/>
              </w:rPr>
              <w:t>A2份额：固定管理费年化0.01%</w:t>
            </w:r>
          </w:p>
          <w:p>
            <w:pPr>
              <w:pStyle w:val="null10"/>
              <w:spacing w:lineRule="exact" w:line="200"/>
            </w:pPr>
            <w:r>
              <w:rPr>
                <w:rFonts w:ascii="方正黑体_GBK" w:hAnsi="方正黑体_GBK" w:cs="宋体" w:eastAsia="方正黑体_GBK"/>
                <w:sz w:val="18"/>
                <w:b/>
                <w:szCs w:val="18"/>
              </w:rPr>
              <w:t>D2份额：固定管理费年化0.06%</w:t>
            </w:r>
          </w:p>
          <w:p>
            <w:pPr>
              <w:pStyle w:val="null10"/>
              <w:spacing w:lineRule="exact" w:line="200"/>
            </w:pPr>
            <w:r>
              <w:rPr>
                <w:rFonts w:ascii="方正黑体_GBK" w:hAnsi="方正黑体_GBK" w:cs="宋体" w:eastAsia="方正黑体_GBK"/>
                <w:sz w:val="18"/>
                <w:b/>
                <w:szCs w:val="18"/>
              </w:rPr>
              <w:t>I2份额：固定管理费年化0.06%</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O份额：到期兑付时，当期产品投资的实际资产组合收益（扣除销售费、固定管理费、托管费等相关费用）超过2.29%（年化，即产品该份额对应的业绩报酬计提基准）时，超过部分管理人将按60%收取业绩报酬。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D2份额：到期兑付时，当期产品投资的实际资产组合收益（扣除销售费、固定管理费、托管费等相关费用）超过2.24%（年化，即产品该份额对应的业绩报酬计提基准）时，超过部分管理人将按60%收取业绩报酬。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I2份额：到期兑付时，当期产品投资的实际资产组合收益（扣除销售费、固定管理费、托管费等相关费用）超过2.19%（年化，即产品该份额对应的业绩报酬计提基准）时，超过部分管理人将按60%收取业绩报酬。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pPr>
              <w:pStyle w:val="null10"/>
              <w:spacing w:lineRule="exact" w:line="200"/>
              <w:jc w:val="left"/>
            </w:pPr>
            <w:r>
              <w:rPr>
                <w:rFonts w:ascii="方正黑体_GBK" w:hAnsi="方正黑体_GBK" w:cs="宋体" w:eastAsia="方正黑体_GBK"/>
                <w:sz w:val="18"/>
                <w:szCs w:val="18"/>
              </w:rPr>
              <w:t xml:space="preserve">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阜宁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江苏灌南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成都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765016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fb1e4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fb1e47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fb1e4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fb1e47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fb1e4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fb1e4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fb1e4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fb1e47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南银理财珠联璧合鑫逸稳半年196期封闭式公募人民币理财产品</w:t>
      </w:r>
      <w:r>
        <w:rPr>
          <w:rFonts w:ascii="方正黑体_GBK" w:eastAsia="方正黑体_GBK" w:hint="eastAsia" w:hAnsi="方正黑体_GBK"/>
          <w:vanish w:val="0"/>
          <w:color w:val="3D3D3D"/>
          <w:kern w:val="0"/>
          <w:sz w:val="15"/>
          <w:szCs w:val="15"/>
        </w:rPr>
        <w:t>。</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fb1e47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fb1e47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fb1e47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fb1e4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8a5f83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fb1e4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fb1e47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fb1e47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8a5f83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7650168"/>
        <w:keepNext w:val="0"/>
        <w:keepLines w:val="0"/>
        <w:pageBreakBefore w:val="0"/>
        <w:widowControl/>
        <w:suppressLineNumbers w:val="0"/>
        <w:suppressAutoHyphens w:val="0"/>
        <w:spacing w:line="200" w:lineRule="exact"/>
        <w:ind w:firstLineChars="200" w:firstLine="300"/>
        <w:rPr>
          <w:rStyle w:val="68a5f83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7650168"/>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c765016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兴业银行股份有限公司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福建省福州市台江区江滨中大道398号兴业银行大厦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江苏太仓农村商业银行股份有限公司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太仓市娄东街道上海东路198号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4001840060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九江银行股份有限公司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江西省九江市濂溪区长虹大道619号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常州市武进区延政中路9号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0519-96005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江苏省无锡市锡山区延庆街11号、丹山路66-3、 66-1301、 66-1401号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0510-96058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江苏阜宁农村商业银行股份有限公司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江苏省阜宁县城南新区上海路459号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广东顺德农村商业银行股份有限公司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广东省佛山市顺德区大良街道德和社区兴业路8号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0757-22223388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枣庄银行股份有限公司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山东省枣庄市薛城区光明大道1666号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徽商银行股份有限公司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安徽省合肥市云谷路1699号徽银大厦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江苏省连云港市灌南县人民路29号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交通银行股份有限公司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上海市浦东新区银城中路188号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95559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中国银行股份有限公司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北京市西城区复兴门内大街 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浙江省台州市路桥区南官大道92号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95371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浙江民泰商业银行股份有限公司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浙江省温岭市太平街道三星大道168号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昆山市玉山镇前进西路1899号1号房</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0512-962077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成都银行股份有限公司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四川省成都市青羊区西御街 16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95507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武汉市武昌区水果湖街中北路86号汉街总部国际8栋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400-85-96599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西安市高新区高新四路13号1幢1单元10101室</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029-96669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江苏省海安市长江中路88号(东楼 )</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江苏启东农村商业银行股份有限公司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江苏省启东市汇龙镇金沙江路1688号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bl>
    <w:p>
      <w:pPr>
        <w:pStyle w:val="c765016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c765016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c7650168"/>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765016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765016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765016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765016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765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765016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b259554">
    <w:name w:val="Normal5b25955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1e08a1e">
    <w:name w:val="heading 151e08a1e"/>
    <w:basedOn w:val="5b25955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4876a53">
    <w:name w:val="heading 234876a53"/>
    <w:basedOn w:val="5b25955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dcadb08">
    <w:name w:val="heading 37dcadb08"/>
    <w:basedOn w:val="5b25955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a92370e">
    <w:name w:val="Default Paragraph Font5a92370e"/>
  </w:style>
  <w:style xmlns:r="http://schemas.openxmlformats.org/officeDocument/2006/relationships" w:type="paragraph" w:styleId="b89099aa">
    <w:name w:val="toc 1b89099aa"/>
    <w:basedOn w:val="5b259554"/>
    <w:autoRedefine/>
    <w:next w:val="0"/>
  </w:style>
  <w:style xmlns:r="http://schemas.openxmlformats.org/officeDocument/2006/relationships" w:type="paragraph" w:styleId="ebc85efd">
    <w:name w:val="toc 2ebc85efd"/>
    <w:basedOn w:val="5b259554"/>
    <w:autoRedefine/>
    <w:next w:val="0"/>
    <w:pPr>
      <w:ind w:left="420"/>
    </w:pPr>
  </w:style>
  <w:style xmlns:r="http://schemas.openxmlformats.org/officeDocument/2006/relationships" w:type="paragraph" w:styleId="8f719d52">
    <w:name w:val="toc 38f719d52"/>
    <w:basedOn w:val="5b259554"/>
    <w:autoRedefine/>
    <w:next w:val="0"/>
    <w:pPr>
      <w:ind w:left="840"/>
    </w:pPr>
  </w:style>
  <w:style xmlns:r="http://schemas.openxmlformats.org/officeDocument/2006/relationships" w:type="paragraph" w:styleId="180155db">
    <w:name w:val="toc 4180155db"/>
    <w:basedOn w:val="5b259554"/>
    <w:autoRedefine/>
    <w:next w:val="0"/>
    <w:pPr>
      <w:ind w:left="1260"/>
    </w:pPr>
  </w:style>
  <w:style xmlns:r="http://schemas.openxmlformats.org/officeDocument/2006/relationships" w:type="paragraph" w:styleId="555d62af">
    <w:name w:val="toc 5555d62af"/>
    <w:basedOn w:val="5b259554"/>
    <w:autoRedefine/>
    <w:next w:val="0"/>
    <w:pPr>
      <w:ind w:left="1680"/>
    </w:pPr>
  </w:style>
  <w:style xmlns:r="http://schemas.openxmlformats.org/officeDocument/2006/relationships" w:type="paragraph" w:styleId="c477c7c0">
    <w:name w:val="headerc477c7c0"/>
    <w:basedOn w:val="5b25955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7147456">
    <w:name w:val="footerd7147456"/>
    <w:basedOn w:val="5b259554"/>
    <w:pPr>
      <w:tabs>
        <w:tab w:val="center" w:pos="4153"/>
        <w:tab w:val="right" w:pos="8307"/>
      </w:tabs>
      <w:adjustRightInd/>
      <w:snapToGrid w:val="0"/>
      <w:contextualSpacing w:val="0"/>
      <w:jc w:val="left"/>
    </w:pPr>
    <w:rPr>
      <w:sz w:val="18"/>
    </w:rPr>
  </w:style>
  <w:style xmlns:r="http://schemas.openxmlformats.org/officeDocument/2006/relationships" w:type="character" w:styleId="14ea6e83">
    <w:name w:val="Strong14ea6e8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7650168">
    <w:name w:val="Normalc765016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664cbf1">
    <w:name w:val="heading 16664cbf1"/>
    <w:basedOn w:val="c765016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352fb01">
    <w:name w:val="heading 23352fb01"/>
    <w:basedOn w:val="c765016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edc59a1">
    <w:name w:val="heading 30edc59a1"/>
    <w:basedOn w:val="c765016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3ce5ab">
    <w:name w:val="Default Paragraph Fontcd3ce5ab"/>
  </w:style>
  <w:style xmlns:r="http://schemas.openxmlformats.org/officeDocument/2006/relationships" w:type="paragraph" w:styleId="38e578b1">
    <w:name w:val="Normal Indent38e578b1"/>
    <w:basedOn w:val="c7650168"/>
    <w:pPr>
      <w:ind w:firstLineChars="200" w:firstLine="200"/>
    </w:pPr>
  </w:style>
  <w:style xmlns:r="http://schemas.openxmlformats.org/officeDocument/2006/relationships" w:type="paragraph" w:styleId="f7d21bce">
    <w:name w:val="toc 5f7d21bce"/>
    <w:basedOn w:val="c7650168"/>
    <w:next w:val="0"/>
    <w:pPr>
      <w:ind w:left="1680"/>
    </w:pPr>
  </w:style>
  <w:style xmlns:r="http://schemas.openxmlformats.org/officeDocument/2006/relationships" w:type="paragraph" w:styleId="06b1b93d">
    <w:name w:val="toc 306b1b93d"/>
    <w:basedOn w:val="c7650168"/>
    <w:next w:val="0"/>
    <w:pPr>
      <w:ind w:left="840"/>
    </w:pPr>
  </w:style>
  <w:style xmlns:r="http://schemas.openxmlformats.org/officeDocument/2006/relationships" w:type="paragraph" w:styleId="e694ea02">
    <w:name w:val="footere694ea02"/>
    <w:basedOn w:val="c7650168"/>
    <w:pPr>
      <w:tabs>
        <w:tab w:val="center" w:pos="4153"/>
        <w:tab w:val="right" w:pos="8307"/>
      </w:tabs>
      <w:adjustRightInd/>
      <w:snapToGrid w:val="0"/>
      <w:contextualSpacing w:val="0"/>
      <w:jc w:val="left"/>
    </w:pPr>
    <w:rPr>
      <w:sz w:val="18"/>
    </w:rPr>
  </w:style>
  <w:style xmlns:r="http://schemas.openxmlformats.org/officeDocument/2006/relationships" w:type="paragraph" w:styleId="284f32af">
    <w:name w:val="header284f32af"/>
    <w:basedOn w:val="c765016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86c949a">
    <w:name w:val="toc 1c86c949a"/>
    <w:basedOn w:val="c7650168"/>
    <w:next w:val="0"/>
  </w:style>
  <w:style xmlns:r="http://schemas.openxmlformats.org/officeDocument/2006/relationships" w:type="paragraph" w:styleId="14dbf8ff">
    <w:name w:val="toc 414dbf8ff"/>
    <w:basedOn w:val="c7650168"/>
    <w:next w:val="0"/>
    <w:pPr>
      <w:ind w:left="1260"/>
    </w:pPr>
  </w:style>
  <w:style xmlns:r="http://schemas.openxmlformats.org/officeDocument/2006/relationships" w:type="paragraph" w:styleId="9ce2efd6">
    <w:name w:val="toc 29ce2efd6"/>
    <w:basedOn w:val="c7650168"/>
    <w:next w:val="0"/>
    <w:pPr>
      <w:ind w:left="420"/>
    </w:pPr>
  </w:style>
  <w:style xmlns:r="http://schemas.openxmlformats.org/officeDocument/2006/relationships" w:type="paragraph" w:styleId="09861703">
    <w:name w:val="Normal (Web)0986170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fb1e47e">
    <w:name w:val="Normalffb1e47effb1e47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c70f946">
    <w:name w:val="heading 1cc70f946cc70f946"/>
    <w:basedOn w:val="ffb1e47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4d3633b">
    <w:name w:val="heading 2e4d3633be4d3633b"/>
    <w:basedOn w:val="ffb1e47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eb88b2c">
    <w:name w:val="heading 38eb88b2c8eb88b2c"/>
    <w:basedOn w:val="ffb1e47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715dd83">
    <w:name w:val="Default Paragraph Font8715dd838715dd83"/>
  </w:style>
  <w:style xmlns:r="http://schemas.openxmlformats.org/officeDocument/2006/relationships" w:type="paragraph" w:customStyle="1" w:styleId="6d7ed2e8">
    <w:name w:val="引文目录16d7ed2e86d7ed2e8"/>
    <w:basedOn w:val="ffb1e47e"/>
    <w:next w:val="0"/>
    <w:pPr>
      <w:ind w:leftChars="200" w:left="200"/>
    </w:pPr>
  </w:style>
  <w:style xmlns:r="http://schemas.openxmlformats.org/officeDocument/2006/relationships" w:type="paragraph" w:styleId="e72ae6de">
    <w:name w:val="toc 5e72ae6dee72ae6de"/>
    <w:basedOn w:val="ffb1e47e"/>
    <w:next w:val="0"/>
    <w:pPr>
      <w:ind w:left="1680"/>
    </w:pPr>
  </w:style>
  <w:style xmlns:r="http://schemas.openxmlformats.org/officeDocument/2006/relationships" w:type="paragraph" w:styleId="0e80494f">
    <w:name w:val="toc 30e80494f0e80494f"/>
    <w:basedOn w:val="ffb1e47e"/>
    <w:next w:val="0"/>
    <w:pPr>
      <w:ind w:left="840"/>
    </w:pPr>
  </w:style>
  <w:style xmlns:r="http://schemas.openxmlformats.org/officeDocument/2006/relationships" w:type="paragraph" w:styleId="e5aee893">
    <w:name w:val="footere5aee893e5aee893"/>
    <w:basedOn w:val="ffb1e47e"/>
    <w:pPr>
      <w:tabs>
        <w:tab w:val="center" w:pos="4153"/>
        <w:tab w:val="right" w:pos="8307"/>
      </w:tabs>
      <w:adjustRightInd/>
      <w:snapToGrid w:val="0"/>
      <w:contextualSpacing w:val="0"/>
      <w:jc w:val="left"/>
    </w:pPr>
    <w:rPr>
      <w:sz w:val="18"/>
    </w:rPr>
  </w:style>
  <w:style xmlns:r="http://schemas.openxmlformats.org/officeDocument/2006/relationships" w:type="paragraph" w:styleId="96e2be4b">
    <w:name w:val="header96e2be4b96e2be4b"/>
    <w:basedOn w:val="ffb1e47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d008e84">
    <w:name w:val="toc 1ad008e84ad008e84"/>
    <w:basedOn w:val="ffb1e47e"/>
    <w:next w:val="0"/>
  </w:style>
  <w:style xmlns:r="http://schemas.openxmlformats.org/officeDocument/2006/relationships" w:type="paragraph" w:styleId="744e3ada">
    <w:name w:val="toc 4744e3ada744e3ada"/>
    <w:basedOn w:val="ffb1e47e"/>
    <w:next w:val="0"/>
    <w:pPr>
      <w:ind w:left="1260"/>
    </w:pPr>
  </w:style>
  <w:style xmlns:r="http://schemas.openxmlformats.org/officeDocument/2006/relationships" w:type="paragraph" w:styleId="c93b8ede">
    <w:name w:val="toc 2c93b8edec93b8ede"/>
    <w:basedOn w:val="ffb1e47e"/>
    <w:next w:val="0"/>
    <w:pPr>
      <w:ind w:left="420"/>
    </w:pPr>
  </w:style>
  <w:style xmlns:r="http://schemas.openxmlformats.org/officeDocument/2006/relationships" w:type="paragraph" w:customStyle="1" w:styleId="68a5f83b">
    <w:name w:val="列出段落168a5f83b68a5f83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