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5d3a4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35d3a4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5d3a4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5d3a4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5d3a4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5d3a4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5d3a4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5d3a4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5d3a4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5d3a4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5d3a40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f198c0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f198c0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632568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南银理财珠联璧合鑫逸稳两年182期封闭式公募人民币理财产品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ZZ700322600252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Z7003226000238(投资者可依据该编码在中国理财网www.chinawealth.com.cn查询理财产品相关信息）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A份额：NYXY001330</w:t>
            </w:r>
          </w:p>
          <w:p>
            <w:pPr>
              <w:pStyle w:val="null10"/>
              <w:spacing w:lineRule="exact" w:line="200"/>
            </w:pPr>
            <w:r>
              <w:rPr>
                <w:rFonts w:ascii="方正黑体_GBK" w:hAnsi="方正黑体_GBK" w:cs="宋体" w:eastAsia="方正黑体_GBK"/>
                <w:sz w:val="18"/>
                <w:szCs w:val="18"/>
              </w:rPr>
              <w:t>B份额：NYXY001331</w:t>
            </w:r>
          </w:p>
          <w:p>
            <w:pPr>
              <w:pStyle w:val="null10"/>
              <w:spacing w:lineRule="exact" w:line="200"/>
            </w:pPr>
            <w:r>
              <w:rPr>
                <w:rFonts w:ascii="方正黑体_GBK" w:hAnsi="方正黑体_GBK" w:cs="宋体" w:eastAsia="方正黑体_GBK"/>
                <w:sz w:val="18"/>
                <w:szCs w:val="18"/>
              </w:rPr>
              <w:t>C份额：NYXY001332</w:t>
            </w:r>
          </w:p>
          <w:p>
            <w:pPr>
              <w:pStyle w:val="null10"/>
              <w:spacing w:lineRule="exact" w:line="200"/>
            </w:pPr>
            <w:r>
              <w:rPr>
                <w:rFonts w:ascii="方正黑体_GBK" w:hAnsi="方正黑体_GBK" w:cs="宋体" w:eastAsia="方正黑体_GBK"/>
                <w:sz w:val="18"/>
                <w:szCs w:val="18"/>
              </w:rPr>
              <w:t>E份额：NYXY001842</w:t>
            </w:r>
          </w:p>
          <w:p>
            <w:pPr>
              <w:pStyle w:val="null10"/>
              <w:spacing w:lineRule="exact" w:line="200"/>
            </w:pPr>
            <w:r>
              <w:rPr>
                <w:rFonts w:ascii="方正黑体_GBK" w:hAnsi="方正黑体_GBK" w:cs="宋体" w:eastAsia="方正黑体_GBK"/>
                <w:sz w:val="18"/>
                <w:szCs w:val="18"/>
              </w:rPr>
              <w:t>N份额：NYXY001844</w:t>
            </w:r>
          </w:p>
          <w:p>
            <w:pPr>
              <w:pStyle w:val="null10"/>
              <w:spacing w:lineRule="exact" w:line="200"/>
            </w:pPr>
            <w:r>
              <w:rPr>
                <w:rFonts w:ascii="方正黑体_GBK" w:hAnsi="方正黑体_GBK" w:cs="宋体" w:eastAsia="方正黑体_GBK"/>
                <w:sz w:val="18"/>
                <w:szCs w:val="18"/>
              </w:rPr>
              <w:t>O份额：NYXY001843</w:t>
            </w:r>
          </w:p>
          <w:p>
            <w:pPr>
              <w:pStyle w:val="null10"/>
              <w:spacing w:lineRule="exact" w:line="200"/>
            </w:pPr>
            <w:r>
              <w:rPr>
                <w:rFonts w:ascii="方正黑体_GBK" w:hAnsi="方正黑体_GBK" w:cs="宋体" w:eastAsia="方正黑体_GBK"/>
                <w:sz w:val="18"/>
                <w:szCs w:val="18"/>
              </w:rPr>
              <w:t>F2份额：NYXY001845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及代发客户外的其他客户）、青岛银行股份有限公司、江苏张家港农村商业银行股份有限公司、江苏常熟农村商业银行股份有限公司、广东顺德农村商业银行股份有限公司、江苏苏州农村商业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海南农村商业银行股份有限公司、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齐商银行股份有限公司、河北银行股份有限公司、广州银行股份有限公司、长沙银行股份有限公司、秦皇岛银行股份有限公司、齐鲁银行股份有限公司(白金/私行客户)、天津农村商业银行股份有限公司(新客户)、兰州银行股份有限公司、甘肃银行股份有限公司、乌鲁木齐银行股份有限公司、东营银行股份有限公司、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pPr>
              <w:pStyle w:val="null10"/>
              <w:spacing w:lineRule="exact" w:line="200"/>
            </w:pPr>
            <w:r>
              <w:rPr>
                <w:rFonts w:ascii="方正黑体_GBK" w:hAnsi="方正黑体_GBK" w:cs="宋体" w:eastAsia="方正黑体_GBK"/>
                <w:sz w:val="18"/>
                <w:szCs w:val="18"/>
              </w:rPr>
              <w:t>C份额：郑州银行股份有限公司、泰安银行股份有限公司、天津农村商业银行股份有限公司(私钻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财富客户）。</w:t>
            </w:r>
          </w:p>
          <w:p>
            <w:pPr>
              <w:pStyle w:val="null10"/>
              <w:spacing w:lineRule="exact" w:line="200"/>
            </w:pPr>
            <w:r>
              <w:rPr>
                <w:rFonts w:ascii="方正黑体_GBK" w:hAnsi="方正黑体_GBK" w:cs="宋体" w:eastAsia="方正黑体_GBK"/>
                <w:sz w:val="18"/>
                <w:szCs w:val="18"/>
              </w:rPr>
              <w:t>E份额：天津农村商业银行股份有限公司(私行客户)。</w:t>
            </w:r>
          </w:p>
          <w:p>
            <w:pPr>
              <w:pStyle w:val="null10"/>
              <w:spacing w:lineRule="exact" w:line="200"/>
            </w:pPr>
            <w:r>
              <w:rPr>
                <w:rFonts w:ascii="方正黑体_GBK" w:hAnsi="方正黑体_GBK" w:cs="宋体" w:eastAsia="方正黑体_GBK"/>
                <w:sz w:val="18"/>
                <w:szCs w:val="18"/>
              </w:rPr>
              <w:t>N份额：蒙商银行股份有限公司（代发工资客户）。</w:t>
            </w:r>
          </w:p>
          <w:p>
            <w:pPr>
              <w:pStyle w:val="null10"/>
              <w:spacing w:lineRule="exact" w:line="200"/>
            </w:pPr>
            <w:r>
              <w:rPr>
                <w:rFonts w:ascii="方正黑体_GBK" w:hAnsi="方正黑体_GBK" w:cs="宋体" w:eastAsia="方正黑体_GBK"/>
                <w:sz w:val="18"/>
                <w:szCs w:val="18"/>
              </w:rPr>
              <w:t>O份额：吉林银行股份有限公司、蒙商银行股份有限公司（除代发工资客户外的其他客户）。</w:t>
            </w:r>
          </w:p>
          <w:p>
            <w:pPr>
              <w:pStyle w:val="null10"/>
              <w:spacing w:lineRule="exact" w:line="200"/>
            </w:pPr>
            <w:r>
              <w:rPr>
                <w:rFonts w:ascii="方正黑体_GBK" w:hAnsi="方正黑体_GBK" w:cs="宋体" w:eastAsia="方正黑体_GBK"/>
                <w:sz w:val="18"/>
                <w:szCs w:val="18"/>
              </w:rPr>
              <w:t>F2份额：温州银行股份有限公司。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A份额/B份额/C份额/E份额/N份额/O份额/F2份额：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2026年08月12日 09:00—2026年08月18日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2026年08月19日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2026年08月19日—实际到期日（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2028年09月06日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   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3.   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4.   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szCs w:val="18"/>
              </w:rPr>
              <w:t>5.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14.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15.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17.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22.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pPr>
            <w:r>
              <w:rPr>
                <w:rFonts w:ascii="方正黑体_GBK" w:hAnsi="方正黑体_GBK" w:cs="宋体" w:eastAsia="方正黑体_GBK"/>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25.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28.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A份额：业绩比较基准为年化2.55%-2.8% 。</w:t>
            </w:r>
          </w:p>
          <w:p>
            <w:pPr>
              <w:pStyle w:val="null10"/>
              <w:spacing w:lineRule="exact" w:line="200"/>
            </w:pPr>
            <w:r>
              <w:rPr>
                <w:rFonts w:ascii="方正黑体_GBK" w:hAnsi="方正黑体_GBK" w:cs="宋体" w:eastAsia="方正黑体_GBK"/>
                <w:sz w:val="18"/>
                <w:szCs w:val="18"/>
              </w:rPr>
              <w:t>B份额：业绩比较基准为年化2.65%-2.9% 。</w:t>
            </w:r>
          </w:p>
          <w:p>
            <w:pPr>
              <w:pStyle w:val="null10"/>
              <w:spacing w:lineRule="exact" w:line="200"/>
            </w:pPr>
            <w:r>
              <w:rPr>
                <w:rFonts w:ascii="方正黑体_GBK" w:hAnsi="方正黑体_GBK" w:cs="宋体" w:eastAsia="方正黑体_GBK"/>
                <w:sz w:val="18"/>
                <w:szCs w:val="18"/>
              </w:rPr>
              <w:t>C份额：业绩比较基准为年化2.75%-3% 。</w:t>
            </w:r>
          </w:p>
          <w:p>
            <w:pPr>
              <w:pStyle w:val="null10"/>
              <w:spacing w:lineRule="exact" w:line="200"/>
            </w:pPr>
            <w:r>
              <w:rPr>
                <w:rFonts w:ascii="方正黑体_GBK" w:hAnsi="方正黑体_GBK" w:cs="宋体" w:eastAsia="方正黑体_GBK"/>
                <w:sz w:val="18"/>
                <w:szCs w:val="18"/>
              </w:rPr>
              <w:t>E份额：业绩比较基准为年化2.6%-2.85% 。</w:t>
            </w:r>
          </w:p>
          <w:p>
            <w:pPr>
              <w:pStyle w:val="null10"/>
              <w:spacing w:lineRule="exact" w:line="200"/>
            </w:pPr>
            <w:r>
              <w:rPr>
                <w:rFonts w:ascii="方正黑体_GBK" w:hAnsi="方正黑体_GBK" w:cs="宋体" w:eastAsia="方正黑体_GBK"/>
                <w:sz w:val="18"/>
                <w:szCs w:val="18"/>
              </w:rPr>
              <w:t>N份额：业绩比较基准为年化2.65%-2.9%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F2份额：业绩比较基准为年化2.6%-2.85%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E份额，F2份额：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N份额：</w:t>
            </w:r>
          </w:p>
          <w:p>
            <w:pPr>
              <w:pStyle w:val="null10"/>
              <w:spacing w:lineRule="exact" w:line="200"/>
            </w:pPr>
            <w:r>
              <w:rPr>
                <w:rFonts w:ascii="方正黑体_GBK" w:hAnsi="方正黑体_GBK" w:cs="宋体" w:eastAsia="方正黑体_GBK"/>
                <w:sz w:val="18"/>
                <w:b/>
                <w:szCs w:val="18"/>
              </w:rPr>
              <w:t>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N份额：固定管理费年化0.1%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F2份额：固定管理费年化0.1%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F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亿元人民币。住所：江苏省南京市建邺区庐山路242号2号楼14-16层，联系方式：025-83642111。</w:t>
            </w:r>
          </w:p>
          <w:p>
            <w:pPr>
              <w:pStyle w:val="null10"/>
              <w:spacing w:lineRule="exact" w:line="200"/>
              <w:jc w:val="left"/>
            </w:pPr>
            <w:r>
              <w:rPr>
                <w:rFonts w:ascii="方正黑体_GBK" w:hAnsi="方正黑体_GBK" w:cs="宋体" w:eastAsia="方正黑体_GBK"/>
                <w:sz w:val="18"/>
                <w:szCs w:val="18"/>
              </w:rPr>
              <w:t>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海南农村商业银行股份有限公司、广州农村商业银行股份有限公司、江苏泰州农村商业银行股份有限公司。销售机构基本信息详见第五条。</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本理财产品托管人为南京银行股份有限公司，住所：南京市建邺区江山大街88号，联系方式：95302。</w:t>
            </w:r>
          </w:p>
          <w:p>
            <w:pPr>
              <w:pStyle w:val="null10"/>
              <w:spacing w:lineRule="exact" w:line="200"/>
            </w:pPr>
            <w:r>
              <w:rPr>
                <w:rFonts w:ascii="方正黑体_GBK" w:hAnsi="方正黑体_GBK" w:cs="宋体" w:eastAsia="方正黑体_GBK"/>
                <w:sz w:val="18"/>
                <w:szCs w:val="18"/>
              </w:rPr>
              <w:t>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f198c0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8b3d2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8b3d2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8b3d22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8b3d22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8b3d22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8b3d22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8b3d22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8b3d22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南银理财珠联璧合鑫逸稳两年182期封闭式公募人民币理财产品</w:t>
      </w:r>
      <w:r>
        <w:rPr>
          <w:rFonts w:ascii="方正黑体_GBK" w:eastAsia="方正黑体_GBK" w:hint="eastAsia" w:hAnsi="方正黑体_GBK"/>
          <w:vanish w:val="0"/>
          <w:color w:val="3D3D3D"/>
          <w:kern w:val="0"/>
          <w:sz w:val="15"/>
          <w:szCs w:val="15"/>
        </w:rPr>
        <w:t>。</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8b3d22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8b3d2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8b3d22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8b3d22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b73ea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b73ea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b73ea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b73ea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b73ea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b73ea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8b3d22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8b3d22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8b3d22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b73eac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f198c06"/>
        <w:keepNext w:val="0"/>
        <w:keepLines w:val="0"/>
        <w:pageBreakBefore w:val="0"/>
        <w:widowControl/>
        <w:suppressLineNumbers w:val="0"/>
        <w:suppressAutoHyphens w:val="0"/>
        <w:spacing w:line="200" w:lineRule="exact"/>
        <w:ind w:firstLineChars="200" w:firstLine="300"/>
        <w:rPr>
          <w:rStyle w:val="3b73eac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5"/>
          <w:szCs w:val="20"/>
        </w:rPr>
        <w:t>1.银行存款、回购等货币市场工具</w:t>
      </w:r>
    </w:p>
    <w:p>
      <w:pPr>
        <w:pStyle w:val="null10"/>
        <w:spacing w:lineRule="exact" w:line="200"/>
        <w:ind w:firstLine="440"/>
      </w:pPr>
      <w:r>
        <w:rPr>
          <w:rFonts w:ascii="方正黑体_GBK" w:hAnsi="方正黑体_GBK" w:cs="宋体" w:eastAsia="方正黑体_GBK"/>
          <w:sz w:val="15"/>
          <w:szCs w:val="20"/>
        </w:rPr>
        <w:t>以本金列示，逐日计提利息。</w:t>
      </w:r>
    </w:p>
    <w:p>
      <w:pPr>
        <w:pStyle w:val="null10"/>
        <w:spacing w:lineRule="exact" w:line="200"/>
        <w:ind w:firstLine="440"/>
      </w:pPr>
      <w:r>
        <w:rPr>
          <w:rFonts w:ascii="方正黑体_GBK" w:hAnsi="方正黑体_GBK" w:cs="宋体" w:eastAsia="方正黑体_GBK"/>
          <w:sz w:val="15"/>
          <w:szCs w:val="20"/>
        </w:rPr>
        <w:t>2.债券类资产</w:t>
      </w:r>
    </w:p>
    <w:p>
      <w:pPr>
        <w:pStyle w:val="null10"/>
        <w:spacing w:lineRule="exact" w:line="200"/>
        <w:ind w:firstLine="44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5"/>
          <w:szCs w:val="20"/>
        </w:rPr>
        <w:t>3.非标准化债权类资产</w:t>
      </w:r>
    </w:p>
    <w:p>
      <w:pPr>
        <w:pStyle w:val="null10"/>
        <w:spacing w:lineRule="exact" w:line="200"/>
        <w:ind w:firstLine="44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5"/>
          <w:szCs w:val="20"/>
        </w:rPr>
        <w:t>4.证券投资基金、资管计划、信托计划等资产</w:t>
      </w:r>
    </w:p>
    <w:p>
      <w:pPr>
        <w:pStyle w:val="null10"/>
        <w:spacing w:lineRule="exact" w:line="200"/>
        <w:ind w:firstLine="44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5"/>
          <w:szCs w:val="20"/>
        </w:rPr>
        <w:t>5.股权类及其他资产</w:t>
      </w:r>
    </w:p>
    <w:p>
      <w:pPr>
        <w:pStyle w:val="null10"/>
        <w:spacing w:lineRule="exact" w:line="200"/>
        <w:ind w:firstLine="440"/>
      </w:pPr>
      <w:r>
        <w:rPr>
          <w:rFonts w:ascii="方正黑体_GBK" w:hAnsi="方正黑体_GBK" w:cs="宋体" w:eastAsia="方正黑体_GBK"/>
          <w:sz w:val="15"/>
          <w:szCs w:val="20"/>
        </w:rPr>
        <w:t>按照公允价值估值，优先采用市值法估值。</w:t>
      </w:r>
    </w:p>
    <w:p>
      <w:pPr>
        <w:pStyle w:val="null10"/>
        <w:spacing w:lineRule="exact" w:line="200"/>
        <w:ind w:firstLine="44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f198c06"/>
        <w:pBdr>
          <w:top w:val="none" w:sz="0" w:space="0" w:color="auto"/>
          <w:left w:val="none" w:sz="0" w:space="0" w:color="auto"/>
          <w:bottom w:val="none" w:sz="0" w:space="0" w:color="auto"/>
          <w:right w:val="none" w:sz="0" w:space="0" w:color="auto"/>
        </w:pBdr>
        <w:spacing w:line="200" w:lineRule="exact"/>
        <w:rPr>
          <w:rFonts w:ascii="方正黑体_GBK" w:eastAsia="方正黑体_GBK" w:cs="宋体" w:hint="eastAsia" w:hAnsi="方正黑体_GBK"/>
          <w:b/>
          <w:bCs/>
          <w:vanish w:val="0"/>
          <w:sz w:val="15"/>
          <w:szCs w:val="15"/>
        </w:rPr>
      </w:pPr>
      <w:r>
        <w:rPr>
          <w:rFonts w:ascii="方正黑体_GBK" w:eastAsia="方正黑体_GBK" w:cs="宋体" w:hint="eastAsia" w:hAnsi="方正黑体_GBK"/>
          <w:b/>
          <w:bCs/>
          <w:vanish w:val="0"/>
          <w:sz w:val="15"/>
          <w:szCs w:val="15"/>
        </w:rPr>
        <w:t>第五条 主体机构</w:t>
      </w:r>
    </w:p>
    <w:p>
      <w:pPr>
        <w:pStyle w:val="ef198c06"/>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（一）销售机构基本信息</w:t>
      </w:r>
      <w:bookmarkStart w:id="0" w:name="_GoBack"/>
      <w:bookmarkEnd w:id="0"/>
    </w:p>
    <w:tbl>
      <w:tblPr>
        <w:tblInd w:w="360" w:type="dxa"/>
        <w:tblW w:w="0" w:type="auto"/>
        <w:tblBorders>
          <w:top w:val="single"/>
          <w:left w:val="single"/>
          <w:bottom w:val="single"/>
          <w:right w:val="single"/>
          <w:insideH w:val="single"/>
          <w:insideV w:val="single"/>
        </w:tblBorders>
      </w:tblPr>
      <w:tblGrid>
        <w:gridCol w:w="2100"/>
        <w:gridCol w:w="4050"/>
        <w:gridCol w:w="1350"/>
      </w:tblGrid>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b/>
                <w:szCs w:val="20"/>
              </w:rPr>
              <w:t>销售机构名称</w:t>
            </w:r>
          </w:p>
        </w:tc>
        <w:tc>
          <w:tcPr>
            <w:tcW w:type="dxa" w:w="4050"/>
            <w:tcMar>
              <w:left w:type="dxa" w:w="120"/>
            </w:tcMar>
            <w:vAlign w:val="center"/>
          </w:tcPr>
          <w:p>
            <w:pPr>
              <w:pStyle w:val="null10"/>
              <w:spacing w:lineRule="exact" w:line="200"/>
            </w:pPr>
            <w:r>
              <w:rPr>
                <w:rFonts w:ascii="方正黑体_GBK" w:hAnsi="方正黑体_GBK" w:cs="宋体" w:eastAsia="方正黑体_GBK"/>
                <w:sz w:val="15"/>
                <w:b/>
                <w:szCs w:val="20"/>
              </w:rPr>
              <w:t>住所</w:t>
            </w:r>
          </w:p>
        </w:tc>
        <w:tc>
          <w:tcPr>
            <w:tcW w:type="dxa" w:w="1350"/>
            <w:tcMar>
              <w:left w:type="dxa" w:w="120"/>
            </w:tcMar>
            <w:vAlign w:val="center"/>
          </w:tcPr>
          <w:p>
            <w:pPr>
              <w:pStyle w:val="null10"/>
              <w:spacing w:lineRule="exact" w:line="200"/>
            </w:pPr>
            <w:r>
              <w:rPr>
                <w:rFonts w:ascii="方正黑体_GBK" w:hAnsi="方正黑体_GBK" w:cs="宋体" w:eastAsia="方正黑体_GBK"/>
                <w:sz w:val="15"/>
                <w:b/>
                <w:szCs w:val="20"/>
              </w:rPr>
              <w:t>联系方式</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江苏省南京市建邺区庐山路242号2号楼14-16层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025-83642111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南京市建邺区江山大街88号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95302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青岛银行股份有限公司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山东省青岛市崂山区秦岭路6号3号楼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4006696588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杭州银行股份有限公司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浙江省杭州市上城区解放东路168号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95398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山东省淄博市张店区人民西路212号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0533-2163939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江苏常熟农村商业银行股份有限公司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江苏省常熟市新世纪大道58号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956020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江苏苏州农村商业银行股份有限公司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江苏省苏州市吴江区中山南路1777号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长沙银行股份有限公司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湖南省长沙市岳麓区滨江路53号楷林商务中心B座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0731-89934772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秦皇岛银行股份有限公司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河北省秦皇岛市海港区河北大街西段 560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0335-96336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泰安银行股份有限公司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山东省泰安市长城路3号圣地大厦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齐鲁银行股份有限公司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山东省济南市历下区经十路10817号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4006096588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贵阳银行股份有限公司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贵州省贵阳市观山湖区长岭北路中天·会展城B区金融商务区东区1-6栋</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0851-86859053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云南红塔银行股份有限公司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云南省玉溪市东风南路2号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96522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宁夏银行股份有限公司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宁夏回族自治区银川市北京中路 157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400-809-6558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天津农村商业银行股份有限公司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天津市河西区友谊路32号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022-96155、400-80-96155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江苏紫金农村商业银行股份有限公司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南京市建邺区江东中路381号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温州银行股份有限公司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浙江省温州市鹿城区会展路1316号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江苏滨海农村商业银行股份有限公司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滨海县城迎宾中路1号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江苏金湖农村商业银行股份有限公司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江苏省金湖县黎城街道神华大道299号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苏州银行股份有限公司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中国（江苏）自由贸易试验区苏州片区苏州工业园区钟园路728号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0512-96067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蒙商银行股份有限公司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内蒙古自治区包头市九原区赛汗街道办事处建华南路2号A座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0472-2658888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桂林银行股份有限公司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广西壮族自治区桂林市临桂区公园北路 8 号桂林金融大厦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400-86-96299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宁波通商银行股份有限公司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浙江省宁波市鄞州区民安东路337号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400-916-6666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广州市天河区珠江东路30号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400-83-96699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石嘴山银行股份有限公司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宁夏回族自治区石嘴山市大武口区朝阳西街 39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0951-96789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无锡锡商银行股份有限公司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江苏省无锡市锡山区安镇街道东翔路578号红豆财富广场1-2层、5-11层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400-888-0555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镇江市丹阳金陵西路152号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江苏宜兴农村商业银行股份有限公司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江苏省宜兴市宜城街道解放东路579号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南京市高淳区淳溪镇宝塔路123号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泰兴市国庆东路166号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江苏响水农村商业银行股份有限公司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江苏省响水县双园东路北侧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江苏靖江农村商业银行股份有限公司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江苏省靖江市南环西路12号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江苏新沂农村商业银行股份有限公司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江苏省新沂市钟吾路163号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江苏邳州农村商业银行股份有限公司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江苏省邳州市建设中路16号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江苏民丰农村商业银行股份有限公司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江苏省宿迁市宿城区高宝湖路1号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江苏盐城农村商业银行股份有限公司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盐城市盐南高新区新都西路8号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江苏建湖农村商业银行股份有限公司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江苏省建湖县湖中南路958号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东台市东城大道10号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江苏溧水农村商业银行股份有限公司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南京市溧水区永阳街道中山路22号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江苏南通农村商业银行股份有限公司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南通市崇川区工农南路89号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江苏扬州农村商业银行股份有限公司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江苏省扬州市同泰路107号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江苏江都农村商业银行股份有限公司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扬州市江都区龙城路21号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江苏淮安农村商业银行股份有限公司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江苏省淮安市清江浦区水渡口大道20号金融中心B1号楼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江苏大丰农村商业银行股份有限公司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江苏省盐城市大丰区常新中路9号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江苏涟水农村商业银行股份有限公司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淮安市涟水县涟城镇涟州路5号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江苏兴化农村商业银行股份有限公司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江苏省兴化市长安南路999号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江苏镇江农村商业银行股份有限公司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江苏省镇江市润州区长江路97号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江苏如皋农村商业银行股份有限公司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如皋市如城街道海阳南路999号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江苏宝应农村商业银行股份有限公司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江苏省宝应县文津路1号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徐州农村商业银行股份有限公司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徐州市铜山区北京南路26号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广东顺德农村商业银行股份有限公司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广东省佛山市顺德区大良街道德和社区兴业路8号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0757-22223388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海南省海口市龙华区海秀东路31号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0898-66505978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江苏丰县农村商业银行股份有限公司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江苏省丰县人民中路9号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江苏射阳农村商业银行股份有限公司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射阳县合德镇解放路385号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江苏句容农村商业银行股份有限公司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江苏省句容市福地东路66号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江苏泗洪农村商业银行股份有限公司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江苏省宿迁市泗洪县长江东路17号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宿迁市泗阳县众兴镇北京中路21号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江苏张家港农村商业银行股份有限公司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张家港市杨舍镇人民中路66号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96065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江阴市澄江中路1号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连云港市东海县牛山镇海陵东路8号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江苏高邮农村商业银行股份有限公司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高邮市文游中路28号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廊坊银行股份有限公司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河北省廊坊市广阳区广阳道 31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400-620-0099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乌鲁木齐银行股份有限公司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新疆乌鲁木齐市水磨沟区会展大道 599 号新疆财富中心 A 座 4-31 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0991-96518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河北银行股份有限公司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河北省石家庄市平安北大街 28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400-612-9999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郑州银行股份有限公司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郑州市郑东新区商务外环路22号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95097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山西银行股份有限公司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山西转型综合改革示范区学府产业园高新街15号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0351-96588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江苏如东农村商业银行股份有限公司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江苏省如东县掘港镇钟山路66号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北京市西城区金融大街甲17号首层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010-66426500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江苏赣榆农村商业银行股份有限公司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连云港市赣榆区黄海东路304号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江苏盱眙农村商业银行股份有限公司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江苏省盱眙县合欢大道2号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兰州银行股份有限公司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甘肃省兰州市城关区酒泉路 211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96799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东营银行股份有限公司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山东省东营市东营区府前大街87-1号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0546-96588/400-6296588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江苏沛县农村商业银行股份有限公司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江苏省沛县汤沐路中段11号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甘肃银行股份有限公司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甘肃省兰州市城关区东岗西路 525-1 号甘肃银行大厦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江苏仪征农村商业银行股份有限公司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江苏省仪征市真州镇解放东路818号金融集聚区1座801-811，901-911，1001-1011，2座101</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吉林银行股份有限公司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吉林省长春市南关区人民大街10666号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0431-84999543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连云港东方农村商业银行股份有限公司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江苏省连云港市海州区郁洲南路10号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上海农村商业银行股份有限公司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上海市黄浦区中山东二路70号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江苏沭阳农村商业银行股份有限公司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沭阳县沭城镇苏州东路与台州南路交汇处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海南省海口市美兰区国兴大道5号海南大厦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65200533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广州市黄埔区映日路9号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泰州市海陵区西仓路36号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bl>
    <w:p>
      <w:pPr>
        <w:pStyle w:val="ef198c06"/>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（二）关联关系信息</w:t>
      </w:r>
    </w:p>
    <w:p>
      <w:pPr>
        <w:pStyle w:val="ef198c06"/>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（1）与管理人有关联关系的机构信息如下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w:t>
            </w:r>
          </w:p>
        </w:tc>
      </w:tr>
    </w:tbl>
    <w:p>
      <w:pPr>
        <w:pStyle w:val="ef198c06"/>
        <w:spacing w:line="200" w:lineRule="exact"/>
        <w:ind w:firstLineChars="200" w:firstLine="300"/>
        <w:rPr>
          <w:rFonts w:ascii="方正黑体_GBK" w:eastAsia="方正黑体_GBK" w:cs="宋体" w:hAnsi="方正黑体_GBK"/>
          <w:vanish w:val="0"/>
          <w:sz w:val="15"/>
          <w:szCs w:val="15"/>
        </w:rPr>
      </w:pPr>
      <w:r>
        <w:rPr>
          <w:rFonts w:ascii="方正黑体_GBK" w:eastAsia="方正黑体_GBK" w:cs="宋体" w:hint="eastAsia" w:hAnsi="方正黑体_GBK"/>
          <w:vanish w:val="0"/>
          <w:sz w:val="15"/>
          <w:szCs w:val="15"/>
        </w:rPr>
        <w:t>（2）与托管人有关联关系的机构信息如下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bl>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f198c0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f198c0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f198c0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f198c0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九</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f198c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f198c0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1"/>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5d3a405">
    <w:name w:val="Normal35d3a40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8e758f2">
    <w:name w:val="heading 158e758f2"/>
    <w:basedOn w:val="35d3a40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befeecd">
    <w:name w:val="heading 22befeecd"/>
    <w:basedOn w:val="35d3a40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c9b2c01">
    <w:name w:val="heading 33c9b2c01"/>
    <w:basedOn w:val="35d3a40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3606bac">
    <w:name w:val="Default Paragraph Fonta3606bac"/>
  </w:style>
  <w:style xmlns:r="http://schemas.openxmlformats.org/officeDocument/2006/relationships" w:type="paragraph" w:styleId="18457883">
    <w:name w:val="toc 118457883"/>
    <w:basedOn w:val="35d3a405"/>
    <w:autoRedefine/>
    <w:next w:val="0"/>
  </w:style>
  <w:style xmlns:r="http://schemas.openxmlformats.org/officeDocument/2006/relationships" w:type="paragraph" w:styleId="8325c86c">
    <w:name w:val="toc 28325c86c"/>
    <w:basedOn w:val="35d3a405"/>
    <w:autoRedefine/>
    <w:next w:val="0"/>
    <w:pPr>
      <w:ind w:left="420"/>
    </w:pPr>
  </w:style>
  <w:style xmlns:r="http://schemas.openxmlformats.org/officeDocument/2006/relationships" w:type="paragraph" w:styleId="55676429">
    <w:name w:val="toc 355676429"/>
    <w:basedOn w:val="35d3a405"/>
    <w:autoRedefine/>
    <w:next w:val="0"/>
    <w:pPr>
      <w:ind w:left="840"/>
    </w:pPr>
  </w:style>
  <w:style xmlns:r="http://schemas.openxmlformats.org/officeDocument/2006/relationships" w:type="paragraph" w:styleId="da276133">
    <w:name w:val="toc 4da276133"/>
    <w:basedOn w:val="35d3a405"/>
    <w:autoRedefine/>
    <w:next w:val="0"/>
    <w:pPr>
      <w:ind w:left="1260"/>
    </w:pPr>
  </w:style>
  <w:style xmlns:r="http://schemas.openxmlformats.org/officeDocument/2006/relationships" w:type="paragraph" w:styleId="58e6e0e6">
    <w:name w:val="toc 558e6e0e6"/>
    <w:basedOn w:val="35d3a405"/>
    <w:autoRedefine/>
    <w:next w:val="0"/>
    <w:pPr>
      <w:ind w:left="1680"/>
    </w:pPr>
  </w:style>
  <w:style xmlns:r="http://schemas.openxmlformats.org/officeDocument/2006/relationships" w:type="paragraph" w:styleId="21f504ab">
    <w:name w:val="header21f504ab"/>
    <w:basedOn w:val="35d3a40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7610d56">
    <w:name w:val="footer97610d56"/>
    <w:basedOn w:val="35d3a405"/>
    <w:pPr>
      <w:tabs>
        <w:tab w:val="center" w:pos="4153"/>
        <w:tab w:val="right" w:pos="8307"/>
      </w:tabs>
      <w:adjustRightInd/>
      <w:snapToGrid w:val="0"/>
      <w:contextualSpacing w:val="0"/>
      <w:jc w:val="left"/>
    </w:pPr>
    <w:rPr>
      <w:sz w:val="18"/>
    </w:rPr>
  </w:style>
  <w:style xmlns:r="http://schemas.openxmlformats.org/officeDocument/2006/relationships" w:type="character" w:styleId="3613b6a0">
    <w:name w:val="Strong3613b6a0"/>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f198c06">
    <w:name w:val="Normalef198c0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3baa1a2">
    <w:name w:val="heading 133baa1a2"/>
    <w:basedOn w:val="ef198c0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981d2e4">
    <w:name w:val="heading 2b981d2e4"/>
    <w:basedOn w:val="ef198c0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94175a3">
    <w:name w:val="heading 3a94175a3"/>
    <w:basedOn w:val="ef198c0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bc25a09">
    <w:name w:val="Default Paragraph Font0bc25a09"/>
  </w:style>
  <w:style xmlns:r="http://schemas.openxmlformats.org/officeDocument/2006/relationships" w:type="paragraph" w:styleId="0101e6f2">
    <w:name w:val="Normal Indent0101e6f2"/>
    <w:basedOn w:val="ef198c06"/>
    <w:pPr>
      <w:ind w:firstLineChars="200" w:firstLine="200"/>
    </w:pPr>
  </w:style>
  <w:style xmlns:r="http://schemas.openxmlformats.org/officeDocument/2006/relationships" w:type="paragraph" w:styleId="38a36ce0">
    <w:name w:val="toc 538a36ce0"/>
    <w:basedOn w:val="ef198c06"/>
    <w:next w:val="0"/>
    <w:pPr>
      <w:ind w:left="1680"/>
    </w:pPr>
  </w:style>
  <w:style xmlns:r="http://schemas.openxmlformats.org/officeDocument/2006/relationships" w:type="paragraph" w:styleId="ce5f53d7">
    <w:name w:val="toc 3ce5f53d7"/>
    <w:basedOn w:val="ef198c06"/>
    <w:next w:val="0"/>
    <w:pPr>
      <w:ind w:left="840"/>
    </w:pPr>
  </w:style>
  <w:style xmlns:r="http://schemas.openxmlformats.org/officeDocument/2006/relationships" w:type="paragraph" w:styleId="7e00e6d8">
    <w:name w:val="footer7e00e6d8"/>
    <w:basedOn w:val="ef198c06"/>
    <w:pPr>
      <w:tabs>
        <w:tab w:val="center" w:pos="4153"/>
        <w:tab w:val="right" w:pos="8307"/>
      </w:tabs>
      <w:adjustRightInd/>
      <w:snapToGrid w:val="0"/>
      <w:contextualSpacing w:val="0"/>
      <w:jc w:val="left"/>
    </w:pPr>
    <w:rPr>
      <w:sz w:val="18"/>
    </w:rPr>
  </w:style>
  <w:style xmlns:r="http://schemas.openxmlformats.org/officeDocument/2006/relationships" w:type="paragraph" w:styleId="2a6d694c">
    <w:name w:val="header2a6d694c"/>
    <w:basedOn w:val="ef198c0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cc9a2ce">
    <w:name w:val="toc 11cc9a2ce"/>
    <w:basedOn w:val="ef198c06"/>
    <w:next w:val="0"/>
  </w:style>
  <w:style xmlns:r="http://schemas.openxmlformats.org/officeDocument/2006/relationships" w:type="paragraph" w:styleId="85149633">
    <w:name w:val="toc 485149633"/>
    <w:basedOn w:val="ef198c06"/>
    <w:next w:val="0"/>
    <w:pPr>
      <w:ind w:left="1260"/>
    </w:pPr>
  </w:style>
  <w:style xmlns:r="http://schemas.openxmlformats.org/officeDocument/2006/relationships" w:type="paragraph" w:styleId="9bb2a13a">
    <w:name w:val="toc 29bb2a13a"/>
    <w:basedOn w:val="ef198c06"/>
    <w:next w:val="0"/>
    <w:pPr>
      <w:ind w:left="420"/>
    </w:pPr>
  </w:style>
  <w:style xmlns:r="http://schemas.openxmlformats.org/officeDocument/2006/relationships" w:type="paragraph" w:styleId="c6325685">
    <w:name w:val="Normal (Web)c632568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8b3d228">
    <w:name w:val="Normalf8b3d228f8b3d22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ecbaebd">
    <w:name w:val="heading 1aecbaebdaecbaebd"/>
    <w:basedOn w:val="f8b3d22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03a7bdb">
    <w:name w:val="heading 2803a7bdb803a7bdb"/>
    <w:basedOn w:val="f8b3d22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92a78a8">
    <w:name w:val="heading 3c92a78a8c92a78a8"/>
    <w:basedOn w:val="f8b3d22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a165c0f">
    <w:name w:val="Default Paragraph Fontaa165c0faa165c0f"/>
  </w:style>
  <w:style xmlns:r="http://schemas.openxmlformats.org/officeDocument/2006/relationships" w:type="paragraph" w:customStyle="1" w:styleId="19fabfd8">
    <w:name w:val="引文目录119fabfd819fabfd8"/>
    <w:basedOn w:val="f8b3d228"/>
    <w:next w:val="0"/>
    <w:pPr>
      <w:ind w:leftChars="200" w:left="200"/>
    </w:pPr>
  </w:style>
  <w:style xmlns:r="http://schemas.openxmlformats.org/officeDocument/2006/relationships" w:type="paragraph" w:styleId="f7b8beee">
    <w:name w:val="toc 5f7b8beeef7b8beee"/>
    <w:basedOn w:val="f8b3d228"/>
    <w:next w:val="0"/>
    <w:pPr>
      <w:ind w:left="1680"/>
    </w:pPr>
  </w:style>
  <w:style xmlns:r="http://schemas.openxmlformats.org/officeDocument/2006/relationships" w:type="paragraph" w:styleId="57e6b945">
    <w:name w:val="toc 357e6b94557e6b945"/>
    <w:basedOn w:val="f8b3d228"/>
    <w:next w:val="0"/>
    <w:pPr>
      <w:ind w:left="840"/>
    </w:pPr>
  </w:style>
  <w:style xmlns:r="http://schemas.openxmlformats.org/officeDocument/2006/relationships" w:type="paragraph" w:styleId="ae4c6666">
    <w:name w:val="footerae4c6666ae4c6666"/>
    <w:basedOn w:val="f8b3d228"/>
    <w:pPr>
      <w:tabs>
        <w:tab w:val="center" w:pos="4153"/>
        <w:tab w:val="right" w:pos="8307"/>
      </w:tabs>
      <w:adjustRightInd/>
      <w:snapToGrid w:val="0"/>
      <w:contextualSpacing w:val="0"/>
      <w:jc w:val="left"/>
    </w:pPr>
    <w:rPr>
      <w:sz w:val="18"/>
    </w:rPr>
  </w:style>
  <w:style xmlns:r="http://schemas.openxmlformats.org/officeDocument/2006/relationships" w:type="paragraph" w:styleId="0ebc53c7">
    <w:name w:val="header0ebc53c70ebc53c7"/>
    <w:basedOn w:val="f8b3d22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f4f8b44">
    <w:name w:val="toc 1bf4f8b44bf4f8b44"/>
    <w:basedOn w:val="f8b3d228"/>
    <w:next w:val="0"/>
  </w:style>
  <w:style xmlns:r="http://schemas.openxmlformats.org/officeDocument/2006/relationships" w:type="paragraph" w:styleId="99b288b8">
    <w:name w:val="toc 499b288b899b288b8"/>
    <w:basedOn w:val="f8b3d228"/>
    <w:next w:val="0"/>
    <w:pPr>
      <w:ind w:left="1260"/>
    </w:pPr>
  </w:style>
  <w:style xmlns:r="http://schemas.openxmlformats.org/officeDocument/2006/relationships" w:type="paragraph" w:styleId="8d1c9288">
    <w:name w:val="toc 28d1c92888d1c9288"/>
    <w:basedOn w:val="f8b3d228"/>
    <w:next w:val="0"/>
    <w:pPr>
      <w:ind w:left="420"/>
    </w:pPr>
  </w:style>
  <w:style xmlns:r="http://schemas.openxmlformats.org/officeDocument/2006/relationships" w:type="paragraph" w:customStyle="1" w:styleId="3b73eac5">
    <w:name w:val="列出段落13b73eac53b73eac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