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b0393c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b0393c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b0393c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b0393c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b0393c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b0393c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b0393c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b0393c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b0393c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b0393c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b0393c73"/>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cb3a47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cb3a47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a8c9ce8"/>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南银理财珠联璧合鑫逸稳三个月147期封闭式公募人民币理财产品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ZZ700322600249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Z7003226000239(投资者可依据该编码在中国理财网www.chinawealth.com.cn查询理财产品相关信息）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A份额：NYXY001310</w:t>
            </w:r>
          </w:p>
          <w:p>
            <w:pPr>
              <w:pStyle w:val="null10"/>
              <w:spacing w:lineRule="exact" w:line="200"/>
            </w:pPr>
            <w:r>
              <w:rPr>
                <w:rFonts w:ascii="方正黑体_GBK" w:hAnsi="方正黑体_GBK" w:cs="宋体" w:eastAsia="方正黑体_GBK"/>
                <w:sz w:val="18"/>
                <w:szCs w:val="18"/>
              </w:rPr>
              <w:t>B份额：NYXY001311</w:t>
            </w:r>
          </w:p>
          <w:p>
            <w:pPr>
              <w:pStyle w:val="null10"/>
              <w:spacing w:lineRule="exact" w:line="200"/>
            </w:pPr>
            <w:r>
              <w:rPr>
                <w:rFonts w:ascii="方正黑体_GBK" w:hAnsi="方正黑体_GBK" w:cs="宋体" w:eastAsia="方正黑体_GBK"/>
                <w:sz w:val="18"/>
                <w:szCs w:val="18"/>
              </w:rPr>
              <w:t>C份额：NYXY001312</w:t>
            </w:r>
          </w:p>
          <w:p>
            <w:pPr>
              <w:pStyle w:val="null10"/>
              <w:spacing w:lineRule="exact" w:line="200"/>
            </w:pPr>
            <w:r>
              <w:rPr>
                <w:rFonts w:ascii="方正黑体_GBK" w:hAnsi="方正黑体_GBK" w:cs="宋体" w:eastAsia="方正黑体_GBK"/>
                <w:sz w:val="18"/>
                <w:szCs w:val="18"/>
              </w:rPr>
              <w:t>E份额：NYXY001313</w:t>
            </w:r>
          </w:p>
          <w:p>
            <w:pPr>
              <w:pStyle w:val="null10"/>
              <w:spacing w:lineRule="exact" w:line="200"/>
            </w:pPr>
            <w:r>
              <w:rPr>
                <w:rFonts w:ascii="方正黑体_GBK" w:hAnsi="方正黑体_GBK" w:cs="宋体" w:eastAsia="方正黑体_GBK"/>
                <w:sz w:val="18"/>
                <w:szCs w:val="18"/>
              </w:rPr>
              <w:t>J份额：NYXY001314</w:t>
            </w:r>
          </w:p>
          <w:p>
            <w:pPr>
              <w:pStyle w:val="null10"/>
              <w:spacing w:lineRule="exact" w:line="200"/>
            </w:pPr>
            <w:r>
              <w:rPr>
                <w:rFonts w:ascii="方正黑体_GBK" w:hAnsi="方正黑体_GBK" w:cs="宋体" w:eastAsia="方正黑体_GBK"/>
                <w:sz w:val="18"/>
                <w:szCs w:val="18"/>
              </w:rPr>
              <w:t>K份额：NYXY001315</w:t>
            </w:r>
          </w:p>
          <w:p>
            <w:pPr>
              <w:pStyle w:val="null10"/>
              <w:spacing w:lineRule="exact" w:line="200"/>
            </w:pPr>
            <w:r>
              <w:rPr>
                <w:rFonts w:ascii="方正黑体_GBK" w:hAnsi="方正黑体_GBK" w:cs="宋体" w:eastAsia="方正黑体_GBK"/>
                <w:sz w:val="18"/>
                <w:szCs w:val="18"/>
              </w:rPr>
              <w:t>L份额：NYXY001316</w:t>
            </w:r>
          </w:p>
          <w:p>
            <w:pPr>
              <w:pStyle w:val="null10"/>
              <w:spacing w:lineRule="exact" w:line="200"/>
            </w:pPr>
            <w:r>
              <w:rPr>
                <w:rFonts w:ascii="方正黑体_GBK" w:hAnsi="方正黑体_GBK" w:cs="宋体" w:eastAsia="方正黑体_GBK"/>
                <w:sz w:val="18"/>
                <w:szCs w:val="18"/>
              </w:rPr>
              <w:t>N份额：NYXY001826</w:t>
            </w:r>
          </w:p>
          <w:p>
            <w:pPr>
              <w:pStyle w:val="null10"/>
              <w:spacing w:lineRule="exact" w:line="200"/>
            </w:pPr>
            <w:r>
              <w:rPr>
                <w:rFonts w:ascii="方正黑体_GBK" w:hAnsi="方正黑体_GBK" w:cs="宋体" w:eastAsia="方正黑体_GBK"/>
                <w:sz w:val="18"/>
                <w:szCs w:val="18"/>
              </w:rPr>
              <w:t>O份额：NYXY001827</w:t>
            </w:r>
          </w:p>
          <w:p>
            <w:pPr>
              <w:pStyle w:val="null10"/>
              <w:spacing w:lineRule="exact" w:line="200"/>
            </w:pPr>
            <w:r>
              <w:rPr>
                <w:rFonts w:ascii="方正黑体_GBK" w:hAnsi="方正黑体_GBK" w:cs="宋体" w:eastAsia="方正黑体_GBK"/>
                <w:sz w:val="18"/>
                <w:szCs w:val="18"/>
              </w:rPr>
              <w:t>A2份额：NYXY001828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及对公客户外的其他客户）、北京农村商业银行股份有限公司、青岛银行股份有限公司（除私行客户外的其他客户）、河北银行股份有限公司（除分行财富客户外的其他客户）、江苏常熟农村商业银行股份有限公司（1元起购）、江苏苏州农村商业银行股份有限公司、金华银行股份有限公司、江苏江南农村商业银行股份有限公司（除财富、代发薪客户和新资金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朝阳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江苏张家港农村商业银行股份有限公司、河北银行股份有限公司(分行财富客户)、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兰州银行股份有限公司、甘肃银行股份有限公司(除财富客户外的其他客户)、东营银行股份有限公司、富邦华一银行有限公司、桂林银行股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江苏昆山农村商业银行股份有限公司（代发客户）、湖州银行股份有限公司(代发工资客户)。</w:t>
            </w:r>
          </w:p>
          <w:p>
            <w:pPr>
              <w:pStyle w:val="null10"/>
              <w:spacing w:lineRule="exact" w:line="200"/>
            </w:pPr>
            <w:r>
              <w:rPr>
                <w:rFonts w:ascii="方正黑体_GBK" w:hAnsi="方正黑体_GBK" w:cs="宋体" w:eastAsia="方正黑体_GBK"/>
                <w:sz w:val="18"/>
                <w:szCs w:val="18"/>
              </w:rPr>
              <w:t>C份额：江苏江南农村商业银行股份有限公司(代发薪客户和新资金客户)、郑州银行股份有限公司、泰安银行股份有限公司（除贵宾客户外的其他客户）、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江苏昆山农村商业银行股份有限公司（私行客户）。</w:t>
            </w:r>
          </w:p>
          <w:p>
            <w:pPr>
              <w:pStyle w:val="null10"/>
              <w:spacing w:lineRule="exact" w:line="200"/>
            </w:pPr>
            <w:r>
              <w:rPr>
                <w:rFonts w:ascii="方正黑体_GBK" w:hAnsi="方正黑体_GBK" w:cs="宋体" w:eastAsia="方正黑体_GBK"/>
                <w:sz w:val="18"/>
                <w:szCs w:val="18"/>
              </w:rPr>
              <w:t>E份额：南京银行股份有限公司（对公客户）。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L份额：天津农村商业银行股份有限公司(私钻客户)、泰安银行股份有限公司（私行客户）。</w:t>
            </w:r>
          </w:p>
          <w:p>
            <w:pPr>
              <w:pStyle w:val="null10"/>
              <w:spacing w:lineRule="exact" w:line="200"/>
            </w:pPr>
            <w:r>
              <w:rPr>
                <w:rFonts w:ascii="方正黑体_GBK" w:hAnsi="方正黑体_GBK" w:cs="宋体" w:eastAsia="方正黑体_GBK"/>
                <w:sz w:val="18"/>
                <w:szCs w:val="18"/>
              </w:rPr>
              <w:t>N份额：蒙商银行股份有限公司（除财富客户外的其他客户）。</w:t>
            </w:r>
          </w:p>
          <w:p>
            <w:pPr>
              <w:pStyle w:val="null10"/>
              <w:spacing w:lineRule="exact" w:line="200"/>
            </w:pPr>
            <w:r>
              <w:rPr>
                <w:rFonts w:ascii="方正黑体_GBK" w:hAnsi="方正黑体_GBK" w:cs="宋体" w:eastAsia="方正黑体_GBK"/>
                <w:sz w:val="18"/>
                <w:szCs w:val="18"/>
              </w:rPr>
              <w:t>O份额：蒙商银行股份有限公司（财富客户）。</w:t>
            </w:r>
          </w:p>
          <w:p>
            <w:pPr>
              <w:pStyle w:val="null10"/>
              <w:spacing w:lineRule="exact" w:line="200"/>
            </w:pPr>
            <w:r>
              <w:rPr>
                <w:rFonts w:ascii="方正黑体_GBK" w:hAnsi="方正黑体_GBK" w:cs="宋体" w:eastAsia="方正黑体_GBK"/>
                <w:sz w:val="18"/>
                <w:szCs w:val="18"/>
              </w:rPr>
              <w:t>A2份额：广东顺德农村商业银行股份有限公司。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A份额/B份额/C份额/J份额/K份额/L份额/N份额/O份额/A2份额：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2026年08月12日 09:00—2026年08月18日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2026年08月19日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2026年08月19日—实际到期日（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2026年11月26日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b/>
                <w:color w:val="000000"/>
                <w:shd w:fill="FAFAFA" w:val="clear"/>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   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3.   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4.   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szCs w:val="18"/>
              </w:rPr>
              <w:t>5.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6.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7.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8.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9.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10.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11.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12.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13.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14.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15.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16.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17.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18.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19.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22.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23.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pPr>
            <w:r>
              <w:rPr>
                <w:rFonts w:ascii="方正黑体_GBK" w:hAnsi="方正黑体_GBK" w:cs="宋体" w:eastAsia="方正黑体_GBK"/>
                <w:sz w:val="18"/>
                <w:szCs w:val="18"/>
              </w:rPr>
              <w:t>24.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25.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26.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27.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28.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A份额：业绩比较基准为1.73%(年化)。</w:t>
            </w:r>
          </w:p>
          <w:p>
            <w:pPr>
              <w:pStyle w:val="null10"/>
              <w:spacing w:lineRule="exact" w:line="200"/>
            </w:pPr>
            <w:r>
              <w:rPr>
                <w:rFonts w:ascii="方正黑体_GBK" w:hAnsi="方正黑体_GBK" w:cs="宋体" w:eastAsia="方正黑体_GBK"/>
                <w:sz w:val="18"/>
                <w:szCs w:val="18"/>
              </w:rPr>
              <w:t>B份额：业绩比较基准为1.83%(年化)。</w:t>
            </w:r>
          </w:p>
          <w:p>
            <w:pPr>
              <w:pStyle w:val="null10"/>
              <w:spacing w:lineRule="exact" w:line="200"/>
            </w:pPr>
            <w:r>
              <w:rPr>
                <w:rFonts w:ascii="方正黑体_GBK" w:hAnsi="方正黑体_GBK" w:cs="宋体" w:eastAsia="方正黑体_GBK"/>
                <w:sz w:val="18"/>
                <w:szCs w:val="18"/>
              </w:rPr>
              <w:t>C份额：业绩比较基准为1.93%(年化)。</w:t>
            </w:r>
          </w:p>
          <w:p>
            <w:pPr>
              <w:pStyle w:val="null10"/>
              <w:spacing w:lineRule="exact" w:line="200"/>
            </w:pPr>
            <w:r>
              <w:rPr>
                <w:rFonts w:ascii="方正黑体_GBK" w:hAnsi="方正黑体_GBK" w:cs="宋体" w:eastAsia="方正黑体_GBK"/>
                <w:sz w:val="18"/>
                <w:szCs w:val="18"/>
              </w:rPr>
              <w:t>E份额：业绩比较基准为1.88%(年化)。</w:t>
            </w:r>
          </w:p>
          <w:p>
            <w:pPr>
              <w:pStyle w:val="null10"/>
              <w:spacing w:lineRule="exact" w:line="200"/>
            </w:pPr>
            <w:r>
              <w:rPr>
                <w:rFonts w:ascii="方正黑体_GBK" w:hAnsi="方正黑体_GBK" w:cs="宋体" w:eastAsia="方正黑体_GBK"/>
                <w:sz w:val="18"/>
                <w:szCs w:val="18"/>
              </w:rPr>
              <w:t>J份额：业绩比较基准为1.73%(年化)。</w:t>
            </w:r>
          </w:p>
          <w:p>
            <w:pPr>
              <w:pStyle w:val="null10"/>
              <w:spacing w:lineRule="exact" w:line="200"/>
            </w:pPr>
            <w:r>
              <w:rPr>
                <w:rFonts w:ascii="方正黑体_GBK" w:hAnsi="方正黑体_GBK" w:cs="宋体" w:eastAsia="方正黑体_GBK"/>
                <w:sz w:val="18"/>
                <w:szCs w:val="18"/>
              </w:rPr>
              <w:t>K份额：业绩比较基准为1.98%(年化)。</w:t>
            </w:r>
          </w:p>
          <w:p>
            <w:pPr>
              <w:pStyle w:val="null10"/>
              <w:spacing w:lineRule="exact" w:line="200"/>
            </w:pPr>
            <w:r>
              <w:rPr>
                <w:rFonts w:ascii="方正黑体_GBK" w:hAnsi="方正黑体_GBK" w:cs="宋体" w:eastAsia="方正黑体_GBK"/>
                <w:sz w:val="18"/>
                <w:szCs w:val="18"/>
              </w:rPr>
              <w:t>L份额：业绩比较基准为1.98%(年化)。</w:t>
            </w:r>
          </w:p>
          <w:p>
            <w:pPr>
              <w:pStyle w:val="null10"/>
              <w:spacing w:lineRule="exact" w:line="200"/>
            </w:pPr>
            <w:r>
              <w:rPr>
                <w:rFonts w:ascii="方正黑体_GBK" w:hAnsi="方正黑体_GBK" w:cs="宋体" w:eastAsia="方正黑体_GBK"/>
                <w:sz w:val="18"/>
                <w:szCs w:val="18"/>
              </w:rPr>
              <w:t>N份额：业绩比较基准为1.73%(年化)。</w:t>
            </w:r>
          </w:p>
          <w:p>
            <w:pPr>
              <w:pStyle w:val="null10"/>
              <w:spacing w:lineRule="exact" w:line="200"/>
            </w:pPr>
            <w:r>
              <w:rPr>
                <w:rFonts w:ascii="方正黑体_GBK" w:hAnsi="方正黑体_GBK" w:cs="宋体" w:eastAsia="方正黑体_GBK"/>
                <w:sz w:val="18"/>
                <w:szCs w:val="18"/>
              </w:rPr>
              <w:t>O份额：业绩比较基准为1.93%(年化)。</w:t>
            </w:r>
          </w:p>
          <w:p>
            <w:pPr>
              <w:pStyle w:val="null10"/>
              <w:spacing w:lineRule="exact" w:line="200"/>
            </w:pPr>
            <w:r>
              <w:rPr>
                <w:rFonts w:ascii="方正黑体_GBK" w:hAnsi="方正黑体_GBK" w:cs="宋体" w:eastAsia="方正黑体_GBK"/>
                <w:sz w:val="18"/>
                <w:szCs w:val="18"/>
              </w:rPr>
              <w:t>A2份额：业绩比较基准为1.73%(年化)。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A份额，J份额：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C份额，K份额，L份额：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N份额：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本理财产品一次性收取年化0.1%的销售费，按日摊销。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A2份额：</w:t>
            </w:r>
          </w:p>
          <w:p>
            <w:pPr>
              <w:pStyle w:val="null10"/>
              <w:spacing w:lineRule="exact" w:line="200"/>
            </w:pPr>
            <w:r>
              <w:rPr>
                <w:rFonts w:ascii="方正黑体_GBK" w:hAnsi="方正黑体_GBK" w:cs="宋体" w:eastAsia="方正黑体_GBK"/>
                <w:sz w:val="18"/>
                <w:b/>
                <w:szCs w:val="18"/>
              </w:rPr>
              <w:t>本理财产品按前一日理财产品资产净值收取年化0.3%的销售费，按日计提。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N份额：固定管理费年化0.05%</w:t>
            </w:r>
          </w:p>
          <w:p>
            <w:pPr>
              <w:pStyle w:val="null10"/>
              <w:spacing w:lineRule="exact" w:line="200"/>
            </w:pPr>
            <w:r>
              <w:rPr>
                <w:rFonts w:ascii="方正黑体_GBK" w:hAnsi="方正黑体_GBK" w:cs="宋体" w:eastAsia="方正黑体_GBK"/>
                <w:sz w:val="18"/>
                <w:b/>
                <w:szCs w:val="18"/>
              </w:rPr>
              <w:t>O份额：固定管理费年化0.05%</w:t>
            </w:r>
          </w:p>
          <w:p>
            <w:pPr>
              <w:pStyle w:val="null10"/>
              <w:spacing w:lineRule="exact" w:line="200"/>
            </w:pPr>
            <w:r>
              <w:rPr>
                <w:rFonts w:ascii="方正黑体_GBK" w:hAnsi="方正黑体_GBK" w:cs="宋体" w:eastAsia="方正黑体_GBK"/>
                <w:sz w:val="18"/>
                <w:b/>
                <w:szCs w:val="18"/>
              </w:rPr>
              <w:t>A2份额：固定管理费年化0.05%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A2份额：到期兑付时，当期产品投资的实际资产组合收益（扣除销售费、固定管理费、托管费等相关费用）超过1.73%（年化，即产品该份额对应的业绩报酬计提基准）时，超过部分管理人将按60%收取业绩报酬。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亿元人民币。住所：江苏省南京市建邺区庐山路242号2号楼14-16层，联系方式：025-83642111。</w:t>
            </w:r>
          </w:p>
          <w:p>
            <w:pPr>
              <w:pStyle w:val="null10"/>
              <w:spacing w:lineRule="exact" w:line="200"/>
              <w:jc w:val="left"/>
            </w:pPr>
            <w:r>
              <w:rPr>
                <w:rFonts w:ascii="方正黑体_GBK" w:hAnsi="方正黑体_GBK" w:cs="宋体" w:eastAsia="方正黑体_GBK"/>
                <w:sz w:val="18"/>
                <w:szCs w:val="18"/>
              </w:rPr>
              <w:t>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广东顺德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兰州银行股份有限公司、东营银行股份有限公司、江苏沛县农村商业银行股份有限公司、甘肃银行股份有限公司、江苏仪征农村商业银行股份有限公司、金华银行股份有限公司、昆山鹿城村镇银行股份有限公司、吉林银行股份有限公司、连云港东方农村商业银行股份有限公司、德州银行股份有限公司、北京农村商业银行股份有限公司、上海农村商业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销售机构基本信息详见第五条。</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本理财产品托管人为南京银行股份有限公司，住所：南京市建邺区江山大街88号，联系方式：95302。</w:t>
            </w:r>
          </w:p>
          <w:p>
            <w:pPr>
              <w:pStyle w:val="null10"/>
              <w:spacing w:lineRule="exact" w:line="200"/>
            </w:pPr>
            <w:r>
              <w:rPr>
                <w:rFonts w:ascii="方正黑体_GBK" w:hAnsi="方正黑体_GBK" w:cs="宋体" w:eastAsia="方正黑体_GBK"/>
                <w:sz w:val="18"/>
                <w:szCs w:val="18"/>
              </w:rPr>
              <w:t>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cb3a47c"/>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42a10fd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42a10fd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42a10fd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42a10fd3"/>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42a10fd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42a10fd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42a10fd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42a10fd3"/>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南银理财珠联璧合鑫逸稳三个月147期封闭式公募人民币理财产品</w:t>
      </w:r>
      <w:r>
        <w:rPr>
          <w:rFonts w:ascii="方正黑体_GBK" w:eastAsia="方正黑体_GBK" w:hint="eastAsia" w:hAnsi="方正黑体_GBK"/>
          <w:vanish w:val="0"/>
          <w:color w:val="3D3D3D"/>
          <w:kern w:val="0"/>
          <w:sz w:val="15"/>
          <w:szCs w:val="15"/>
        </w:rPr>
        <w:t>。</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42a10fd3"/>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42a10fd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42a10fd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42a10fd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dc0c69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dc0c69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dc0c69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dc0c69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dc0c69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dc0c69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42a10fd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42a10fd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42a10fd3"/>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cb3a4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cb3a4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dc0c691"/>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cb3a47c"/>
        <w:keepNext w:val="0"/>
        <w:keepLines w:val="0"/>
        <w:pageBreakBefore w:val="0"/>
        <w:widowControl/>
        <w:suppressLineNumbers w:val="0"/>
        <w:suppressAutoHyphens w:val="0"/>
        <w:spacing w:line="200" w:lineRule="exact"/>
        <w:ind w:firstLineChars="200" w:firstLine="300"/>
        <w:rPr>
          <w:rStyle w:val="4dc0c691"/>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cb3a4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5"/>
          <w:szCs w:val="20"/>
        </w:rPr>
        <w:t>1.银行存款、回购等货币市场工具</w:t>
      </w:r>
    </w:p>
    <w:p>
      <w:pPr>
        <w:pStyle w:val="null10"/>
        <w:spacing w:lineRule="exact" w:line="200"/>
        <w:ind w:firstLine="440"/>
      </w:pPr>
      <w:r>
        <w:rPr>
          <w:rFonts w:ascii="方正黑体_GBK" w:hAnsi="方正黑体_GBK" w:cs="宋体" w:eastAsia="方正黑体_GBK"/>
          <w:sz w:val="15"/>
          <w:szCs w:val="20"/>
        </w:rPr>
        <w:t>以本金列示，逐日计提利息。</w:t>
      </w:r>
    </w:p>
    <w:p>
      <w:pPr>
        <w:pStyle w:val="null10"/>
        <w:spacing w:lineRule="exact" w:line="200"/>
        <w:ind w:firstLine="440"/>
      </w:pPr>
      <w:r>
        <w:rPr>
          <w:rFonts w:ascii="方正黑体_GBK" w:hAnsi="方正黑体_GBK" w:cs="宋体" w:eastAsia="方正黑体_GBK"/>
          <w:sz w:val="15"/>
          <w:szCs w:val="20"/>
        </w:rPr>
        <w:t>2.债券类资产</w:t>
      </w:r>
    </w:p>
    <w:p>
      <w:pPr>
        <w:pStyle w:val="null10"/>
        <w:spacing w:lineRule="exact" w:line="200"/>
        <w:ind w:firstLine="44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5"/>
          <w:szCs w:val="20"/>
        </w:rPr>
        <w:t>3.非标准化债权类资产</w:t>
      </w:r>
    </w:p>
    <w:p>
      <w:pPr>
        <w:pStyle w:val="null10"/>
        <w:spacing w:lineRule="exact" w:line="200"/>
        <w:ind w:firstLine="44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5"/>
          <w:szCs w:val="20"/>
        </w:rPr>
        <w:t>4.证券投资基金、资管计划、信托计划等资产</w:t>
      </w:r>
    </w:p>
    <w:p>
      <w:pPr>
        <w:pStyle w:val="null10"/>
        <w:spacing w:lineRule="exact" w:line="200"/>
        <w:ind w:firstLine="44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5"/>
          <w:szCs w:val="20"/>
        </w:rPr>
        <w:t>5.股权类及其他资产</w:t>
      </w:r>
    </w:p>
    <w:p>
      <w:pPr>
        <w:pStyle w:val="null10"/>
        <w:spacing w:lineRule="exact" w:line="200"/>
        <w:ind w:firstLine="440"/>
      </w:pPr>
      <w:r>
        <w:rPr>
          <w:rFonts w:ascii="方正黑体_GBK" w:hAnsi="方正黑体_GBK" w:cs="宋体" w:eastAsia="方正黑体_GBK"/>
          <w:sz w:val="15"/>
          <w:szCs w:val="20"/>
        </w:rPr>
        <w:t>按照公允价值估值，优先采用市值法估值。</w:t>
      </w:r>
    </w:p>
    <w:p>
      <w:pPr>
        <w:pStyle w:val="null10"/>
        <w:spacing w:lineRule="exact" w:line="200"/>
        <w:ind w:firstLine="44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cb3a47c"/>
        <w:pBdr>
          <w:top w:val="none" w:sz="0" w:space="0" w:color="auto"/>
          <w:left w:val="none" w:sz="0" w:space="0" w:color="auto"/>
          <w:bottom w:val="none" w:sz="0" w:space="0" w:color="auto"/>
          <w:right w:val="none" w:sz="0" w:space="0" w:color="auto"/>
        </w:pBdr>
        <w:spacing w:line="200" w:lineRule="exact"/>
        <w:rPr>
          <w:rFonts w:ascii="方正黑体_GBK" w:eastAsia="方正黑体_GBK" w:cs="宋体" w:hint="eastAsia" w:hAnsi="方正黑体_GBK"/>
          <w:b/>
          <w:bCs/>
          <w:vanish w:val="0"/>
          <w:sz w:val="15"/>
          <w:szCs w:val="15"/>
        </w:rPr>
      </w:pPr>
      <w:r>
        <w:rPr>
          <w:rFonts w:ascii="方正黑体_GBK" w:eastAsia="方正黑体_GBK" w:cs="宋体" w:hint="eastAsia" w:hAnsi="方正黑体_GBK"/>
          <w:b/>
          <w:bCs/>
          <w:vanish w:val="0"/>
          <w:sz w:val="15"/>
          <w:szCs w:val="15"/>
        </w:rPr>
        <w:t>第五条 主体机构</w:t>
      </w:r>
    </w:p>
    <w:p>
      <w:pPr>
        <w:pStyle w:val="0cb3a47c"/>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（一）销售机构基本信息</w:t>
      </w:r>
      <w:bookmarkStart w:id="0" w:name="_GoBack"/>
      <w:bookmarkEnd w:id="0"/>
    </w:p>
    <w:tbl>
      <w:tblPr>
        <w:tblInd w:w="360" w:type="dxa"/>
        <w:tblW w:w="0" w:type="auto"/>
        <w:tblBorders>
          <w:top w:val="single"/>
          <w:left w:val="single"/>
          <w:bottom w:val="single"/>
          <w:right w:val="single"/>
          <w:insideH w:val="single"/>
          <w:insideV w:val="single"/>
        </w:tblBorders>
      </w:tblPr>
      <w:tblGrid>
        <w:gridCol w:w="2100"/>
        <w:gridCol w:w="4050"/>
        <w:gridCol w:w="1350"/>
      </w:tblGrid>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b/>
                <w:szCs w:val="20"/>
              </w:rPr>
              <w:t>销售机构名称</w:t>
            </w:r>
          </w:p>
        </w:tc>
        <w:tc>
          <w:tcPr>
            <w:tcW w:type="dxa" w:w="4050"/>
            <w:tcMar>
              <w:left w:type="dxa" w:w="120"/>
            </w:tcMar>
            <w:vAlign w:val="center"/>
          </w:tcPr>
          <w:p>
            <w:pPr>
              <w:pStyle w:val="null10"/>
              <w:spacing w:lineRule="exact" w:line="200"/>
            </w:pPr>
            <w:r>
              <w:rPr>
                <w:rFonts w:ascii="方正黑体_GBK" w:hAnsi="方正黑体_GBK" w:cs="宋体" w:eastAsia="方正黑体_GBK"/>
                <w:sz w:val="15"/>
                <w:b/>
                <w:szCs w:val="20"/>
              </w:rPr>
              <w:t>住所</w:t>
            </w:r>
          </w:p>
        </w:tc>
        <w:tc>
          <w:tcPr>
            <w:tcW w:type="dxa" w:w="1350"/>
            <w:tcMar>
              <w:left w:type="dxa" w:w="120"/>
            </w:tcMar>
            <w:vAlign w:val="center"/>
          </w:tcPr>
          <w:p>
            <w:pPr>
              <w:pStyle w:val="null10"/>
              <w:spacing w:lineRule="exact" w:line="200"/>
            </w:pPr>
            <w:r>
              <w:rPr>
                <w:rFonts w:ascii="方正黑体_GBK" w:hAnsi="方正黑体_GBK" w:cs="宋体" w:eastAsia="方正黑体_GBK"/>
                <w:sz w:val="15"/>
                <w:b/>
                <w:szCs w:val="20"/>
              </w:rPr>
              <w:t>联系方式</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江苏省南京市建邺区庐山路242号2号楼14-16层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025-83642111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南京市建邺区江山大街88号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95302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江苏太仓农村商业银行股份有限公司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太仓市娄东街道上海东路198号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4001840060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青岛银行股份有限公司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山东省青岛市崂山区秦岭路6号3号楼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4006696588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江苏苏州农村商业银行股份有限公司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江苏省苏州市吴江区中山南路1777号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福建海峡银行股份有限公司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福建省福州市台江区江滨中大道358号海峡银行大厦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0591-4008939999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秦皇岛银行股份有限公司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河北省秦皇岛市海港区河北大街西段 560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0335-96336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泰安银行股份有限公司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山东省泰安市长城路3号圣地大厦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0538-96588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宁波东海银行股份有限公司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浙江省宁波高新区新晖南路113-127号（单号），扬帆路515号2-10层，高新宝龙商业广场13-19号、22号、29号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400-8866-345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齐鲁银行股份有限公司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山东省济南市历下区经十路10817号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4006096588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贵阳银行股份有限公司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贵州省贵阳市观山湖区长岭北路中天·会展城B区金融商务区东区1-6栋</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0851-86859053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云南红塔银行股份有限公司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云南省玉溪市东风南路2号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96522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天津农村商业银行股份有限公司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天津市河西区友谊路32号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022-96155、400-80-96155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江苏紫金农村商业银行股份有限公司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南京市建邺区江东中路381号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温州银行股份有限公司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浙江省温州市鹿城区会展路1316号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96699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江苏滨海农村商业银行股份有限公司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滨海县城迎宾中路1号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江苏金湖农村商业银行股份有限公司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江苏省金湖县黎城街道神华大道299号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苏州银行股份有限公司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中国（江苏）自由贸易试验区苏州片区苏州工业园区钟园路728号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0512-96067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蒙商银行股份有限公司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内蒙古自治区包头市九原区赛汗街道办事处建华南路2号A座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0472-2658888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江苏江南农村商业银行股份有限公司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常州市武进区延政中路9号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0519-96005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桂林银行股份有限公司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广西壮族自治区桂林市临桂区公园北路 8 号桂林金融大厦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400-86-96299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富邦华一银行有限公司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中国（上海）自由贸易试验区世纪大道1168号A座101室、18楼、19楼及20楼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021-962811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广州市天河区珠江东路30号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400-83-96699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无锡农村商业银行股份有限公司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江苏省无锡市锡山区延庆街11号、丹山路66-3、 66-1301、 66-1401号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0510-96058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石嘴山银行股份有限公司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宁夏回族自治区石嘴山市大武口区朝阳西街 39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0951-96789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无锡锡商银行股份有限公司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江苏省无锡市锡山区安镇街道东翔路578号红豆财富广场1-2层、5-11层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400-888-0555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镇江市丹阳金陵西路152号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江苏宜兴农村商业银行股份有限公司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江苏省宜兴市宜城街道解放东路579号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南京市高淳区淳溪镇宝塔路123号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江苏泰兴农村商业银行股份有限公司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泰兴市国庆东路166号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江苏响水农村商业银行股份有限公司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江苏省响水县双园东路北侧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江苏靖江农村商业银行股份有限公司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江苏省靖江市南环西路12号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江苏新沂农村商业银行股份有限公司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江苏省新沂市钟吾路163号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江苏邳州农村商业银行股份有限公司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江苏省邳州市建设中路16号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江苏民丰农村商业银行股份有限公司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江苏省宿迁市宿城区高宝湖路1号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江苏建湖农村商业银行股份有限公司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江苏省建湖县湖中南路958号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江苏东台农村商业银行股份有限公司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东台市东城大道10号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江苏溧水农村商业银行股份有限公司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南京市溧水区永阳街道中山路22号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江苏南通农村商业银行股份有限公司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南通市崇川区工农南路89号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江苏扬州农村商业银行股份有限公司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江苏省扬州市同泰路107号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江苏江都农村商业银行股份有限公司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扬州市江都区龙城路21号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江苏淮安农村商业银行股份有限公司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江苏省淮安市清江浦区水渡口大道20号金融中心B1号楼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江苏大丰农村商业银行股份有限公司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江苏省盐城市大丰区常新中路9号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江苏涟水农村商业银行股份有限公司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淮安市涟水县涟城镇涟州路5号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江苏兴化农村商业银行股份有限公司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江苏省兴化市长安南路999号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江苏镇江农村商业银行股份有限公司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江苏省镇江市润州区长江路97号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江苏如皋农村商业银行股份有限公司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如皋市如城街道海阳南路999号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江苏宝应农村商业银行股份有限公司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江苏省宝应县文津路1号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徐州农村商业银行股份有限公司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徐州市铜山区北京南路26号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广东顺德农村商业银行股份有限公司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广东省佛山市顺德区大良街道德和社区兴业路8号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0757-22223388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海南银行股份有限公司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海南省海口市龙华区海秀东路31号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0898-66505978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江苏丰县农村商业银行股份有限公司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江苏省丰县人民中路9号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江苏射阳农村商业银行股份有限公司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射阳县合德镇解放路385号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江苏句容农村商业银行股份有限公司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江苏省句容市福地东路66号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江苏泗洪农村商业银行股份有限公司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江苏省宿迁市泗洪县长江东路17号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江苏泗阳农村商业银行股份有限公司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宿迁市泗阳县众兴镇北京中路21号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江苏张家港农村商业银行股份有限公司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张家港市杨舍镇人民中路66号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96065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江阴市澄江中路1号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江苏东海农村商业银行股份有限公司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连云港市东海县牛山镇海陵东路8号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江苏高邮农村商业银行股份有限公司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高邮市文游中路28号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乌鲁木齐银行股份有限公司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新疆乌鲁木齐市水磨沟区会展大道 599 号新疆财富中心 A 座 4-31 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0991-96518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河北银行股份有限公司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河北省石家庄市平安北大街 28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400-612-9999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郑州银行股份有限公司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郑州市郑东新区商务外环路22号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95097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江苏姜堰农村商业银行股份有限公司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泰州市姜堰区姜堰大道128号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山西银行股份有限公司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山西转型综合改革示范区学府产业园高新街15号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0351-96588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江苏如东农村商业银行股份有限公司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江苏省如东县掘港镇钟山路66号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北京市西城区金融大街甲17号首层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010-66426500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哈密市商业银行股份有限公司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新疆哈密市伊州区天山北路 52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0902-2365320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江苏赣榆农村商业银行股份有限公司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连云港市赣榆区黄海东路304号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江苏盱眙农村商业银行股份有限公司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江苏省盱眙县合欢大道2号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兰州银行股份有限公司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甘肃省兰州市城关区酒泉路 211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96799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东营银行股份有限公司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山东省东营市东营区府前大街87-1号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0546-96588/400-6296588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江苏沛县农村商业银行股份有限公司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江苏省沛县汤沐路中段11号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甘肃银行股份有限公司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甘肃省兰州市城关区东岗西路 525-1 号甘肃银行大厦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96666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江苏仪征农村商业银行股份有限公司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江苏省仪征市真州镇解放东路818号金融集聚区1座801-811，901-911，1001-1011，2座101</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金华银行股份有限公司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浙江省金华市丹溪路1388号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0579-96528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昆山鹿城村镇银行股份有限公司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昆山市玉山镇前进西路1899号1号房</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0512-962077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吉林银行股份有限公司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吉林省长春市南关区人民大街10666号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0431-84999543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连云港东方农村商业银行股份有限公司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江苏省连云港市海州区郁洲南路10号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德州银行股份有限公司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山东省德州市三八东路1266号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0534-2291695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北京农村商业银行股份有限公司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北京市西城区月坛南街1号院2号楼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010-96198、4008896198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上海农村商业银行股份有限公司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上海市黄浦区中山东二路70号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021-962999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长安银行股份有限公司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西安市高新区高新四路13号1幢1单元10101室</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029-96669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江苏沭阳农村商业银行股份有限公司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沭阳县沭城镇苏州东路与台州南路交汇处</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湖州银行股份有限公司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浙江省湖州市红旗路268号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40080-96528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江苏灌云农村商业银行股份有限公司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江苏省灌云县伊山镇水利路东侧（人民路与水利路交汇处）</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江苏海安农村商业银行股份有限公司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江苏省海安市长江中路88号(东楼 )</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江苏昆山农村商业银行股份有限公司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江苏省昆山市前进东路828号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0512-96079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广州市黄埔区映日路9号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95313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江苏泰州农村商业银行股份有限公司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泰州市海陵区西仓路36号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朝阳银行股份有限公司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朝阳市双塔区朝阳大街三段4号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0421-2632275</w:t>
            </w:r>
          </w:p>
        </w:tc>
      </w:tr>
    </w:tbl>
    <w:p>
      <w:pPr>
        <w:pStyle w:val="0cb3a47c"/>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（二）关联关系信息</w:t>
      </w:r>
    </w:p>
    <w:p>
      <w:pPr>
        <w:pStyle w:val="0cb3a47c"/>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（1）与管理人有关联关系的机构信息如下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发行机构的董事、高管及其近亲属控制的法人或非法人组织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江苏江南农村商业银行股份有限公司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发行机构的董事、高管及其近亲属控制的法人或非法人组织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昆山鹿城村镇银行股份有限公司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发行机构股东控制或可施加重大影响的法人或非法人组织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w:t>
            </w:r>
          </w:p>
        </w:tc>
      </w:tr>
    </w:tbl>
    <w:p>
      <w:pPr>
        <w:pStyle w:val="0cb3a47c"/>
        <w:spacing w:line="200" w:lineRule="exact"/>
        <w:ind w:firstLineChars="200" w:firstLine="300"/>
        <w:rPr>
          <w:rFonts w:ascii="方正黑体_GBK" w:eastAsia="方正黑体_GBK" w:cs="宋体" w:hAnsi="方正黑体_GBK"/>
          <w:vanish w:val="0"/>
          <w:sz w:val="15"/>
          <w:szCs w:val="15"/>
        </w:rPr>
      </w:pPr>
      <w:r>
        <w:rPr>
          <w:rFonts w:ascii="方正黑体_GBK" w:eastAsia="方正黑体_GBK" w:cs="宋体" w:hint="eastAsia" w:hAnsi="方正黑体_GBK"/>
          <w:vanish w:val="0"/>
          <w:sz w:val="15"/>
          <w:szCs w:val="15"/>
        </w:rPr>
        <w:t>（2）与托管人有关联关系的机构信息如下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昆山鹿城村镇银行股份有限公司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托管机构的控股机构</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托管机构的控股机构</w:t>
            </w:r>
          </w:p>
        </w:tc>
      </w:tr>
    </w:tbl>
    <w:p>
      <w:pPr>
        <w:pStyle w:val="0cb3a4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cb3a47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cb3a47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0cb3a4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cb3a4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cb3a4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cb3a47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cb3a4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cb3a47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cb3a4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九</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cb3a4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cb3a4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cb3a4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cb3a4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cb3a4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cb3a47c"/>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2"/>
  </w:num>
  <w:num w:numId="2">
    <w:abstractNumId w:val="3"/>
  </w:num>
  <w:num w:numId="3">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b0393c73">
    <w:name w:val="Normalb0393c7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7c3200d">
    <w:name w:val="heading 137c3200d"/>
    <w:basedOn w:val="b0393c7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a08fa62">
    <w:name w:val="heading 25a08fa62"/>
    <w:basedOn w:val="b0393c7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2a526fc">
    <w:name w:val="heading 322a526fc"/>
    <w:basedOn w:val="b0393c7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0362e8b">
    <w:name w:val="Default Paragraph Fontc0362e8b"/>
  </w:style>
  <w:style xmlns:r="http://schemas.openxmlformats.org/officeDocument/2006/relationships" w:type="paragraph" w:styleId="7b12c3a8">
    <w:name w:val="toc 17b12c3a8"/>
    <w:basedOn w:val="b0393c73"/>
    <w:autoRedefine/>
    <w:next w:val="0"/>
  </w:style>
  <w:style xmlns:r="http://schemas.openxmlformats.org/officeDocument/2006/relationships" w:type="paragraph" w:styleId="89bb600f">
    <w:name w:val="toc 289bb600f"/>
    <w:basedOn w:val="b0393c73"/>
    <w:autoRedefine/>
    <w:next w:val="0"/>
    <w:pPr>
      <w:ind w:left="420"/>
    </w:pPr>
  </w:style>
  <w:style xmlns:r="http://schemas.openxmlformats.org/officeDocument/2006/relationships" w:type="paragraph" w:styleId="ae6a0472">
    <w:name w:val="toc 3ae6a0472"/>
    <w:basedOn w:val="b0393c73"/>
    <w:autoRedefine/>
    <w:next w:val="0"/>
    <w:pPr>
      <w:ind w:left="840"/>
    </w:pPr>
  </w:style>
  <w:style xmlns:r="http://schemas.openxmlformats.org/officeDocument/2006/relationships" w:type="paragraph" w:styleId="cc14c57c">
    <w:name w:val="toc 4cc14c57c"/>
    <w:basedOn w:val="b0393c73"/>
    <w:autoRedefine/>
    <w:next w:val="0"/>
    <w:pPr>
      <w:ind w:left="1260"/>
    </w:pPr>
  </w:style>
  <w:style xmlns:r="http://schemas.openxmlformats.org/officeDocument/2006/relationships" w:type="paragraph" w:styleId="f7d162f1">
    <w:name w:val="toc 5f7d162f1"/>
    <w:basedOn w:val="b0393c73"/>
    <w:autoRedefine/>
    <w:next w:val="0"/>
    <w:pPr>
      <w:ind w:left="1680"/>
    </w:pPr>
  </w:style>
  <w:style xmlns:r="http://schemas.openxmlformats.org/officeDocument/2006/relationships" w:type="paragraph" w:styleId="5535cb68">
    <w:name w:val="header5535cb68"/>
    <w:basedOn w:val="b0393c7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d74150f">
    <w:name w:val="footer1d74150f"/>
    <w:basedOn w:val="b0393c73"/>
    <w:pPr>
      <w:tabs>
        <w:tab w:val="center" w:pos="4153"/>
        <w:tab w:val="right" w:pos="8307"/>
      </w:tabs>
      <w:adjustRightInd/>
      <w:snapToGrid w:val="0"/>
      <w:contextualSpacing w:val="0"/>
      <w:jc w:val="left"/>
    </w:pPr>
    <w:rPr>
      <w:sz w:val="18"/>
    </w:rPr>
  </w:style>
  <w:style xmlns:r="http://schemas.openxmlformats.org/officeDocument/2006/relationships" w:type="character" w:styleId="512289ea">
    <w:name w:val="Strong512289ea"/>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cb3a47c">
    <w:name w:val="Normal0cb3a47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cc6baa3">
    <w:name w:val="heading 16cc6baa3"/>
    <w:basedOn w:val="0cb3a47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b28649f">
    <w:name w:val="heading 2cb28649f"/>
    <w:basedOn w:val="0cb3a47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0650be1">
    <w:name w:val="heading 330650be1"/>
    <w:basedOn w:val="0cb3a47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39429d4">
    <w:name w:val="Default Paragraph Fontd39429d4"/>
  </w:style>
  <w:style xmlns:r="http://schemas.openxmlformats.org/officeDocument/2006/relationships" w:type="paragraph" w:styleId="2484f828">
    <w:name w:val="Normal Indent2484f828"/>
    <w:basedOn w:val="0cb3a47c"/>
    <w:pPr>
      <w:ind w:firstLineChars="200" w:firstLine="200"/>
    </w:pPr>
  </w:style>
  <w:style xmlns:r="http://schemas.openxmlformats.org/officeDocument/2006/relationships" w:type="paragraph" w:styleId="64470a11">
    <w:name w:val="toc 564470a11"/>
    <w:basedOn w:val="0cb3a47c"/>
    <w:next w:val="0"/>
    <w:pPr>
      <w:ind w:left="1680"/>
    </w:pPr>
  </w:style>
  <w:style xmlns:r="http://schemas.openxmlformats.org/officeDocument/2006/relationships" w:type="paragraph" w:styleId="d2d77cc8">
    <w:name w:val="toc 3d2d77cc8"/>
    <w:basedOn w:val="0cb3a47c"/>
    <w:next w:val="0"/>
    <w:pPr>
      <w:ind w:left="840"/>
    </w:pPr>
  </w:style>
  <w:style xmlns:r="http://schemas.openxmlformats.org/officeDocument/2006/relationships" w:type="paragraph" w:styleId="d225f87d">
    <w:name w:val="footerd225f87d"/>
    <w:basedOn w:val="0cb3a47c"/>
    <w:pPr>
      <w:tabs>
        <w:tab w:val="center" w:pos="4153"/>
        <w:tab w:val="right" w:pos="8307"/>
      </w:tabs>
      <w:adjustRightInd/>
      <w:snapToGrid w:val="0"/>
      <w:contextualSpacing w:val="0"/>
      <w:jc w:val="left"/>
    </w:pPr>
    <w:rPr>
      <w:sz w:val="18"/>
    </w:rPr>
  </w:style>
  <w:style xmlns:r="http://schemas.openxmlformats.org/officeDocument/2006/relationships" w:type="paragraph" w:styleId="94e84d9b">
    <w:name w:val="header94e84d9b"/>
    <w:basedOn w:val="0cb3a47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a4d7ccf">
    <w:name w:val="toc 11a4d7ccf"/>
    <w:basedOn w:val="0cb3a47c"/>
    <w:next w:val="0"/>
  </w:style>
  <w:style xmlns:r="http://schemas.openxmlformats.org/officeDocument/2006/relationships" w:type="paragraph" w:styleId="1431ecd8">
    <w:name w:val="toc 41431ecd8"/>
    <w:basedOn w:val="0cb3a47c"/>
    <w:next w:val="0"/>
    <w:pPr>
      <w:ind w:left="1260"/>
    </w:pPr>
  </w:style>
  <w:style xmlns:r="http://schemas.openxmlformats.org/officeDocument/2006/relationships" w:type="paragraph" w:styleId="172eb95b">
    <w:name w:val="toc 2172eb95b"/>
    <w:basedOn w:val="0cb3a47c"/>
    <w:next w:val="0"/>
    <w:pPr>
      <w:ind w:left="420"/>
    </w:pPr>
  </w:style>
  <w:style xmlns:r="http://schemas.openxmlformats.org/officeDocument/2006/relationships" w:type="paragraph" w:styleId="ea8c9ce8">
    <w:name w:val="Normal (Web)ea8c9ce8"/>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2a10fd3">
    <w:name w:val="Normal42a10fd342a10fd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ae29c38">
    <w:name w:val="heading 14ae29c384ae29c38"/>
    <w:basedOn w:val="42a10fd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f4d8c1b">
    <w:name w:val="heading 21f4d8c1b1f4d8c1b"/>
    <w:basedOn w:val="42a10fd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e5f1de0">
    <w:name w:val="heading 32e5f1de02e5f1de0"/>
    <w:basedOn w:val="42a10fd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7776e7a">
    <w:name w:val="Default Paragraph Font97776e7a97776e7a"/>
  </w:style>
  <w:style xmlns:r="http://schemas.openxmlformats.org/officeDocument/2006/relationships" w:type="paragraph" w:customStyle="1" w:styleId="0e519fca">
    <w:name w:val="引文目录10e519fca0e519fca"/>
    <w:basedOn w:val="42a10fd3"/>
    <w:next w:val="0"/>
    <w:pPr>
      <w:ind w:leftChars="200" w:left="200"/>
    </w:pPr>
  </w:style>
  <w:style xmlns:r="http://schemas.openxmlformats.org/officeDocument/2006/relationships" w:type="paragraph" w:styleId="e74768e9">
    <w:name w:val="toc 5e74768e9e74768e9"/>
    <w:basedOn w:val="42a10fd3"/>
    <w:next w:val="0"/>
    <w:pPr>
      <w:ind w:left="1680"/>
    </w:pPr>
  </w:style>
  <w:style xmlns:r="http://schemas.openxmlformats.org/officeDocument/2006/relationships" w:type="paragraph" w:styleId="a89726c0">
    <w:name w:val="toc 3a89726c0a89726c0"/>
    <w:basedOn w:val="42a10fd3"/>
    <w:next w:val="0"/>
    <w:pPr>
      <w:ind w:left="840"/>
    </w:pPr>
  </w:style>
  <w:style xmlns:r="http://schemas.openxmlformats.org/officeDocument/2006/relationships" w:type="paragraph" w:styleId="ad5c646e">
    <w:name w:val="footerad5c646ead5c646e"/>
    <w:basedOn w:val="42a10fd3"/>
    <w:pPr>
      <w:tabs>
        <w:tab w:val="center" w:pos="4153"/>
        <w:tab w:val="right" w:pos="8307"/>
      </w:tabs>
      <w:adjustRightInd/>
      <w:snapToGrid w:val="0"/>
      <w:contextualSpacing w:val="0"/>
      <w:jc w:val="left"/>
    </w:pPr>
    <w:rPr>
      <w:sz w:val="18"/>
    </w:rPr>
  </w:style>
  <w:style xmlns:r="http://schemas.openxmlformats.org/officeDocument/2006/relationships" w:type="paragraph" w:styleId="07489a1a">
    <w:name w:val="header07489a1a07489a1a"/>
    <w:basedOn w:val="42a10fd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8df52fe">
    <w:name w:val="toc 188df52fe88df52fe"/>
    <w:basedOn w:val="42a10fd3"/>
    <w:next w:val="0"/>
  </w:style>
  <w:style xmlns:r="http://schemas.openxmlformats.org/officeDocument/2006/relationships" w:type="paragraph" w:styleId="bf4d9e5a">
    <w:name w:val="toc 4bf4d9e5abf4d9e5a"/>
    <w:basedOn w:val="42a10fd3"/>
    <w:next w:val="0"/>
    <w:pPr>
      <w:ind w:left="1260"/>
    </w:pPr>
  </w:style>
  <w:style xmlns:r="http://schemas.openxmlformats.org/officeDocument/2006/relationships" w:type="paragraph" w:styleId="6d24d10d">
    <w:name w:val="toc 26d24d10d6d24d10d"/>
    <w:basedOn w:val="42a10fd3"/>
    <w:next w:val="0"/>
    <w:pPr>
      <w:ind w:left="420"/>
    </w:pPr>
  </w:style>
  <w:style xmlns:r="http://schemas.openxmlformats.org/officeDocument/2006/relationships" w:type="paragraph" w:customStyle="1" w:styleId="4dc0c691">
    <w:name w:val="列出段落14dc0c6914dc0c691"/>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