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0e4811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0e48111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d39a1d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d39a1d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0b2360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南银理财珠联璧合鑫逸稳一年290期封闭式公募人民币理财产品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ZZ700322600251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Z7003226000240(投资者可依据该编码在中国理财网www.chinawealth.com.cn查询理财产品相关信息）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A份额：NYXY001323</w:t>
            </w:r>
          </w:p>
          <w:p>
            <w:pPr>
              <w:pStyle w:val="null10"/>
              <w:spacing w:lineRule="exact" w:line="200"/>
            </w:pPr>
            <w:r>
              <w:rPr>
                <w:rFonts w:ascii="方正黑体_GBK" w:hAnsi="方正黑体_GBK" w:cs="宋体" w:eastAsia="方正黑体_GBK"/>
                <w:sz w:val="18"/>
                <w:szCs w:val="18"/>
              </w:rPr>
              <w:t>B份额：NYXY001324</w:t>
            </w:r>
          </w:p>
          <w:p>
            <w:pPr>
              <w:pStyle w:val="null10"/>
              <w:spacing w:lineRule="exact" w:line="200"/>
            </w:pPr>
            <w:r>
              <w:rPr>
                <w:rFonts w:ascii="方正黑体_GBK" w:hAnsi="方正黑体_GBK" w:cs="宋体" w:eastAsia="方正黑体_GBK"/>
                <w:sz w:val="18"/>
                <w:szCs w:val="18"/>
              </w:rPr>
              <w:t>C份额：NYXY001325</w:t>
            </w:r>
          </w:p>
          <w:p>
            <w:pPr>
              <w:pStyle w:val="null10"/>
              <w:spacing w:lineRule="exact" w:line="200"/>
            </w:pPr>
            <w:r>
              <w:rPr>
                <w:rFonts w:ascii="方正黑体_GBK" w:hAnsi="方正黑体_GBK" w:cs="宋体" w:eastAsia="方正黑体_GBK"/>
                <w:sz w:val="18"/>
                <w:szCs w:val="18"/>
              </w:rPr>
              <w:t>L份额：NYXY001326</w:t>
            </w:r>
          </w:p>
          <w:p>
            <w:pPr>
              <w:pStyle w:val="null10"/>
              <w:spacing w:lineRule="exact" w:line="200"/>
            </w:pPr>
            <w:r>
              <w:rPr>
                <w:rFonts w:ascii="方正黑体_GBK" w:hAnsi="方正黑体_GBK" w:cs="宋体" w:eastAsia="方正黑体_GBK"/>
                <w:sz w:val="18"/>
                <w:szCs w:val="18"/>
              </w:rPr>
              <w:t>M份额：NYXY001835</w:t>
            </w:r>
          </w:p>
          <w:p>
            <w:pPr>
              <w:pStyle w:val="null10"/>
              <w:spacing w:lineRule="exact" w:line="200"/>
            </w:pPr>
            <w:r>
              <w:rPr>
                <w:rFonts w:ascii="方正黑体_GBK" w:hAnsi="方正黑体_GBK" w:cs="宋体" w:eastAsia="方正黑体_GBK"/>
                <w:sz w:val="18"/>
                <w:szCs w:val="18"/>
              </w:rPr>
              <w:t>N份额：NYXY001836</w:t>
            </w:r>
          </w:p>
          <w:p>
            <w:pPr>
              <w:pStyle w:val="null10"/>
              <w:spacing w:lineRule="exact" w:line="200"/>
            </w:pPr>
            <w:r>
              <w:rPr>
                <w:rFonts w:ascii="方正黑体_GBK" w:hAnsi="方正黑体_GBK" w:cs="宋体" w:eastAsia="方正黑体_GBK"/>
                <w:sz w:val="18"/>
                <w:szCs w:val="18"/>
              </w:rPr>
              <w:t>O份额：NYXY001327</w:t>
            </w:r>
          </w:p>
          <w:p>
            <w:pPr>
              <w:pStyle w:val="null10"/>
              <w:spacing w:lineRule="exact" w:line="200"/>
            </w:pPr>
            <w:r>
              <w:rPr>
                <w:rFonts w:ascii="方正黑体_GBK" w:hAnsi="方正黑体_GBK" w:cs="宋体" w:eastAsia="方正黑体_GBK"/>
                <w:sz w:val="18"/>
                <w:szCs w:val="18"/>
              </w:rPr>
              <w:t>A2份额：NYXY001837</w:t>
            </w:r>
          </w:p>
          <w:p>
            <w:pPr>
              <w:pStyle w:val="null10"/>
              <w:spacing w:lineRule="exact" w:line="200"/>
            </w:pPr>
            <w:r>
              <w:rPr>
                <w:rFonts w:ascii="方正黑体_GBK" w:hAnsi="方正黑体_GBK" w:cs="宋体" w:eastAsia="方正黑体_GBK"/>
                <w:sz w:val="18"/>
                <w:szCs w:val="18"/>
              </w:rPr>
              <w:t>E2份额：NYXY001838</w:t>
            </w:r>
          </w:p>
          <w:p>
            <w:pPr>
              <w:pStyle w:val="null10"/>
              <w:spacing w:lineRule="exact" w:line="200"/>
            </w:pPr>
            <w:r>
              <w:rPr>
                <w:rFonts w:ascii="方正黑体_GBK" w:hAnsi="方正黑体_GBK" w:cs="宋体" w:eastAsia="方正黑体_GBK"/>
                <w:sz w:val="18"/>
                <w:szCs w:val="18"/>
              </w:rPr>
              <w:t>F2份额：NYXY001839</w:t>
            </w:r>
          </w:p>
          <w:p>
            <w:pPr>
              <w:pStyle w:val="null10"/>
              <w:spacing w:lineRule="exact" w:line="200"/>
            </w:pPr>
            <w:r>
              <w:rPr>
                <w:rFonts w:ascii="方正黑体_GBK" w:hAnsi="方正黑体_GBK" w:cs="宋体" w:eastAsia="方正黑体_GBK"/>
                <w:sz w:val="18"/>
                <w:szCs w:val="18"/>
              </w:rPr>
              <w:t>G2份额：NYXY001840</w:t>
            </w:r>
          </w:p>
          <w:p>
            <w:pPr>
              <w:pStyle w:val="null10"/>
              <w:spacing w:lineRule="exact" w:line="200"/>
            </w:pPr>
            <w:r>
              <w:rPr>
                <w:rFonts w:ascii="方正黑体_GBK" w:hAnsi="方正黑体_GBK" w:cs="宋体" w:eastAsia="方正黑体_GBK"/>
                <w:sz w:val="18"/>
                <w:szCs w:val="18"/>
              </w:rPr>
              <w:t>H2份额：NYXY001841</w:t>
            </w:r>
          </w:p>
          <w:p>
            <w:pPr>
              <w:pStyle w:val="null10"/>
              <w:spacing w:lineRule="exact" w:line="200"/>
            </w:pPr>
            <w:r>
              <w:rPr>
                <w:rFonts w:ascii="方正黑体_GBK" w:hAnsi="方正黑体_GBK" w:cs="宋体" w:eastAsia="方正黑体_GBK"/>
                <w:sz w:val="18"/>
                <w:szCs w:val="18"/>
              </w:rPr>
              <w:t>I2份额：NYXY001853</w:t>
            </w:r>
          </w:p>
          <w:p>
            <w:pPr>
              <w:pStyle w:val="null10"/>
              <w:spacing w:lineRule="exact" w:line="200"/>
            </w:pPr>
            <w:r>
              <w:rPr>
                <w:rFonts w:ascii="方正黑体_GBK" w:hAnsi="方正黑体_GBK" w:cs="宋体" w:eastAsia="方正黑体_GBK"/>
                <w:sz w:val="18"/>
                <w:szCs w:val="18"/>
              </w:rPr>
              <w:t>Q份额：NYXY001328</w:t>
            </w:r>
          </w:p>
          <w:p>
            <w:pPr>
              <w:pStyle w:val="null10"/>
              <w:spacing w:lineRule="exact" w:line="200"/>
            </w:pPr>
            <w:r>
              <w:rPr>
                <w:rFonts w:ascii="方正黑体_GBK" w:hAnsi="方正黑体_GBK" w:cs="宋体" w:eastAsia="方正黑体_GBK"/>
                <w:sz w:val="18"/>
                <w:szCs w:val="18"/>
              </w:rPr>
              <w:t>Q1份额：NYXY001329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拥军优属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德州银行股份有限公司、云南红塔银行股份有限公司、宁夏银行股份有限公司（1元起购）、九江银行股份有限公司、海南银行股份有限公司、廊坊银行股份有限公司、上海农村商业银行股份有限公司、富邦华一银行有限公司、湖州银行股份有限公司、海南农村商业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和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新资金5万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拥军优享客户）、东营银行股份有限公司、宁波通商银行股份有限公司（除新客户外的其他客户）、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郑州银行股份有限公司、日照银行股份有限公司（除私行客户外的其他客户）、齐鲁银行股份有限公司(财富客户)、天津农村商业银行股份有限公司(个人新客)、山西银行股份有限公司（新客户）、江苏泰兴农村商业银行股份有限公司（除代发客户外的其他客户）、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L份额：日照银行股份有限公司（私行客户）、潍坊银行股份有限公司、泰安银行股份有限公司、天津农村商业银行股份有限公司(私钻客户)、宁波通商银行股份有限公司（新客户）、江苏兴化农村商业银行股份有限公司(人民医院职工客户)、江苏泰兴农村商业银行股份有限公司（代发客户）。</w:t>
            </w:r>
          </w:p>
          <w:p>
            <w:pPr>
              <w:pStyle w:val="null10"/>
              <w:spacing w:lineRule="exact" w:line="200"/>
            </w:pPr>
            <w:r>
              <w:rPr>
                <w:rFonts w:ascii="方正黑体_GBK" w:hAnsi="方正黑体_GBK" w:cs="宋体" w:eastAsia="方正黑体_GBK"/>
                <w:sz w:val="18"/>
                <w:szCs w:val="18"/>
              </w:rPr>
              <w:t>M份额：蒙商银行股份有限公司（除代发工资客户外的其他客户）。</w:t>
            </w:r>
          </w:p>
          <w:p>
            <w:pPr>
              <w:pStyle w:val="null10"/>
              <w:spacing w:lineRule="exact" w:line="200"/>
            </w:pPr>
            <w:r>
              <w:rPr>
                <w:rFonts w:ascii="方正黑体_GBK" w:hAnsi="方正黑体_GBK" w:cs="宋体" w:eastAsia="方正黑体_GBK"/>
                <w:sz w:val="18"/>
                <w:szCs w:val="18"/>
              </w:rPr>
              <w:t>N份额：蒙商银行股份有限公司（代发工资客户）、吉林银行股份有限公司（新客户）。</w:t>
            </w:r>
          </w:p>
          <w:p>
            <w:pPr>
              <w:pStyle w:val="null10"/>
              <w:spacing w:lineRule="exact" w:line="200"/>
            </w:pPr>
            <w:r>
              <w:rPr>
                <w:rFonts w:ascii="方正黑体_GBK" w:hAnsi="方正黑体_GBK" w:cs="宋体" w:eastAsia="方正黑体_GBK"/>
                <w:sz w:val="18"/>
                <w:szCs w:val="18"/>
              </w:rPr>
              <w:t>O份额：吉林银行股份有限公司（除新客户外的其他客户）。</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E2份额：南京银行股份有限公司徐州分行（新客或新资金或代发客户）。</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szCs w:val="18"/>
              </w:rPr>
              <w:t>G2份额：宁夏银行股份有限公司（20万元起购）。</w:t>
            </w:r>
          </w:p>
          <w:p>
            <w:pPr>
              <w:pStyle w:val="null10"/>
              <w:spacing w:lineRule="exact" w:line="200"/>
            </w:pPr>
            <w:r>
              <w:rPr>
                <w:rFonts w:ascii="方正黑体_GBK" w:hAnsi="方正黑体_GBK" w:cs="宋体" w:eastAsia="方正黑体_GBK"/>
                <w:sz w:val="18"/>
                <w:szCs w:val="18"/>
              </w:rPr>
              <w:t>H2份额：南京银行股份有限公司(新客新资金 10 万客户)。</w:t>
            </w:r>
          </w:p>
          <w:p>
            <w:pPr>
              <w:pStyle w:val="null10"/>
              <w:spacing w:lineRule="exact" w:line="200"/>
            </w:pPr>
            <w:r>
              <w:rPr>
                <w:rFonts w:ascii="方正黑体_GBK" w:hAnsi="方正黑体_GBK" w:cs="宋体" w:eastAsia="方正黑体_GBK"/>
                <w:sz w:val="18"/>
                <w:szCs w:val="18"/>
              </w:rPr>
              <w:t>I2份额：南京银行股份有限公司（拥军优属）。</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新资金（10万）是指金融资产余额较上月月日均增长10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A份额/B份额/C份额/L份额/M份额/N份额/O份额/A2份额/E2份额/F2份额/H2份额/I2份额/Q份额/Q1份额：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G2份额：</w:t>
            </w:r>
          </w:p>
          <w:p>
            <w:pPr>
              <w:pStyle w:val="null10"/>
              <w:spacing w:lineRule="exact" w:line="200"/>
            </w:pPr>
            <w:r>
              <w:rPr>
                <w:rFonts w:ascii="方正黑体_GBK" w:hAnsi="方正黑体_GBK" w:cs="宋体" w:eastAsia="方正黑体_GBK"/>
                <w:sz w:val="18"/>
                <w:szCs w:val="18"/>
              </w:rPr>
              <w:t>个人投资者投资起点金额20万元人民币，以1元的整数倍递增；</w:t>
            </w:r>
          </w:p>
          <w:p>
            <w:pPr>
              <w:pStyle w:val="null10"/>
              <w:spacing w:lineRule="exact" w:line="200"/>
            </w:pPr>
            <w:r>
              <w:rPr>
                <w:rFonts w:ascii="方正黑体_GBK" w:hAnsi="方正黑体_GBK" w:cs="宋体" w:eastAsia="方正黑体_GBK"/>
                <w:sz w:val="18"/>
                <w:szCs w:val="18"/>
              </w:rPr>
              <w:t>机构投资者投资起点金额20万元人民币，以1元的整数倍递增；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2026年08月12日 09:00—2026年08月18日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2027年09月22日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M份额：业绩比较基准为年化2.4%-2.65% 。</w:t>
            </w:r>
          </w:p>
          <w:p>
            <w:pPr>
              <w:pStyle w:val="null10"/>
              <w:spacing w:lineRule="exact" w:line="200"/>
            </w:pPr>
            <w:r>
              <w:rPr>
                <w:rFonts w:ascii="方正黑体_GBK" w:hAnsi="方正黑体_GBK" w:cs="宋体" w:eastAsia="方正黑体_GBK"/>
                <w:sz w:val="18"/>
                <w:szCs w:val="18"/>
              </w:rPr>
              <w:t>N份额：业绩比较基准为年化2.6%-2.85% 。</w:t>
            </w:r>
          </w:p>
          <w:p>
            <w:pPr>
              <w:pStyle w:val="null10"/>
              <w:spacing w:lineRule="exact" w:line="200"/>
            </w:pPr>
            <w:r>
              <w:rPr>
                <w:rFonts w:ascii="方正黑体_GBK" w:hAnsi="方正黑体_GBK" w:cs="宋体" w:eastAsia="方正黑体_GBK"/>
                <w:sz w:val="18"/>
                <w:szCs w:val="18"/>
              </w:rPr>
              <w:t>O份额：业绩比较基准为年化2.5%-2.75%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E2份额：业绩比较基准为年化2.6%-2.85% 。</w:t>
            </w:r>
          </w:p>
          <w:p>
            <w:pPr>
              <w:pStyle w:val="null10"/>
              <w:spacing w:lineRule="exact" w:line="200"/>
            </w:pPr>
            <w:r>
              <w:rPr>
                <w:rFonts w:ascii="方正黑体_GBK" w:hAnsi="方正黑体_GBK" w:cs="宋体" w:eastAsia="方正黑体_GBK"/>
                <w:sz w:val="18"/>
                <w:szCs w:val="18"/>
              </w:rPr>
              <w:t>F2份额：业绩比较基准为年化2.45%-2.7% 。</w:t>
            </w:r>
          </w:p>
          <w:p>
            <w:pPr>
              <w:pStyle w:val="null10"/>
              <w:spacing w:lineRule="exact" w:line="200"/>
            </w:pPr>
            <w:r>
              <w:rPr>
                <w:rFonts w:ascii="方正黑体_GBK" w:hAnsi="方正黑体_GBK" w:cs="宋体" w:eastAsia="方正黑体_GBK"/>
                <w:sz w:val="18"/>
                <w:szCs w:val="18"/>
              </w:rPr>
              <w:t>G2份额：业绩比较基准为年化2.6%-2.85% 。</w:t>
            </w:r>
          </w:p>
          <w:p>
            <w:pPr>
              <w:pStyle w:val="null10"/>
              <w:spacing w:lineRule="exact" w:line="200"/>
            </w:pPr>
            <w:r>
              <w:rPr>
                <w:rFonts w:ascii="方正黑体_GBK" w:hAnsi="方正黑体_GBK" w:cs="宋体" w:eastAsia="方正黑体_GBK"/>
                <w:sz w:val="18"/>
                <w:szCs w:val="18"/>
              </w:rPr>
              <w:t>H2份额：业绩比较基准为年化2.6%-2.85% 。</w:t>
            </w:r>
          </w:p>
          <w:p>
            <w:pPr>
              <w:pStyle w:val="null10"/>
              <w:spacing w:lineRule="exact" w:line="200"/>
            </w:pPr>
            <w:r>
              <w:rPr>
                <w:rFonts w:ascii="方正黑体_GBK" w:hAnsi="方正黑体_GBK" w:cs="宋体" w:eastAsia="方正黑体_GBK"/>
                <w:sz w:val="18"/>
                <w:szCs w:val="18"/>
              </w:rPr>
              <w:t>I2份额：业绩比较基准为年化2.5%-2.75%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B份额，I2份额：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C份额，L份额，G2份额：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M份额：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本理财产品一次性收取年化0.1%的销售费，按日摊销。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A2份额，F2份额：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E2份额，H2份额，Q份额：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M份额：固定管理费年化0.1%</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E2份额：固定管理费年化0.1%</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G2份额：固定管理费年化0.15%</w:t>
            </w:r>
          </w:p>
          <w:p>
            <w:pPr>
              <w:pStyle w:val="null10"/>
              <w:spacing w:lineRule="exact" w:line="200"/>
            </w:pPr>
            <w:r>
              <w:rPr>
                <w:rFonts w:ascii="方正黑体_GBK" w:hAnsi="方正黑体_GBK" w:cs="宋体" w:eastAsia="方正黑体_GBK"/>
                <w:sz w:val="18"/>
                <w:b/>
                <w:szCs w:val="18"/>
              </w:rPr>
              <w:t>H2份额：固定管理费年化0.1%</w:t>
            </w:r>
          </w:p>
          <w:p>
            <w:pPr>
              <w:pStyle w:val="null10"/>
              <w:spacing w:lineRule="exact" w:line="200"/>
            </w:pPr>
            <w:r>
              <w:rPr>
                <w:rFonts w:ascii="方正黑体_GBK" w:hAnsi="方正黑体_GBK" w:cs="宋体" w:eastAsia="方正黑体_GBK"/>
                <w:sz w:val="18"/>
                <w:b/>
                <w:szCs w:val="18"/>
              </w:rPr>
              <w:t>I2份额：固定管理费年化0.15%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G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H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I2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d39a1d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98e85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98e85f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98e85f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98e85f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98e85f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98e85f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98e85f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98e85f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南银理财珠联璧合鑫逸稳一年290期封闭式公募人民币理财产品</w:t>
      </w:r>
      <w:r>
        <w:rPr>
          <w:rFonts w:ascii="方正黑体_GBK" w:eastAsia="方正黑体_GBK" w:hint="eastAsia" w:hAnsi="方正黑体_GBK"/>
          <w:vanish w:val="0"/>
          <w:color w:val="3D3D3D"/>
          <w:kern w:val="0"/>
          <w:sz w:val="15"/>
          <w:szCs w:val="15"/>
        </w:rPr>
        <w:t>。</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98e85f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98e85f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98e85f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98e85f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b8fd3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b8fd3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b8fd3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b8fd3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b8fd3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b8fd3d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98e85f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98e85f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98e85f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b8fd3d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d39a1d2"/>
        <w:keepNext w:val="0"/>
        <w:keepLines w:val="0"/>
        <w:pageBreakBefore w:val="0"/>
        <w:widowControl/>
        <w:suppressLineNumbers w:val="0"/>
        <w:suppressAutoHyphens w:val="0"/>
        <w:spacing w:line="200" w:lineRule="exact"/>
        <w:ind w:firstLineChars="200" w:firstLine="300"/>
        <w:rPr>
          <w:rStyle w:val="db8fd3d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5"/>
          <w:szCs w:val="20"/>
        </w:rPr>
        <w:t>1.银行存款、回购等货币市场工具</w:t>
      </w:r>
    </w:p>
    <w:p>
      <w:pPr>
        <w:pStyle w:val="null10"/>
        <w:spacing w:lineRule="exact" w:line="200"/>
        <w:ind w:firstLine="440"/>
      </w:pPr>
      <w:r>
        <w:rPr>
          <w:rFonts w:ascii="方正黑体_GBK" w:hAnsi="方正黑体_GBK" w:cs="宋体" w:eastAsia="方正黑体_GBK"/>
          <w:sz w:val="15"/>
          <w:szCs w:val="20"/>
        </w:rPr>
        <w:t>以本金列示，逐日计提利息。</w:t>
      </w:r>
    </w:p>
    <w:p>
      <w:pPr>
        <w:pStyle w:val="null10"/>
        <w:spacing w:lineRule="exact" w:line="200"/>
        <w:ind w:firstLine="440"/>
      </w:pPr>
      <w:r>
        <w:rPr>
          <w:rFonts w:ascii="方正黑体_GBK" w:hAnsi="方正黑体_GBK" w:cs="宋体" w:eastAsia="方正黑体_GBK"/>
          <w:sz w:val="15"/>
          <w:szCs w:val="20"/>
        </w:rPr>
        <w:t>2.债券类资产</w:t>
      </w:r>
    </w:p>
    <w:p>
      <w:pPr>
        <w:pStyle w:val="null10"/>
        <w:spacing w:lineRule="exact" w:line="200"/>
        <w:ind w:firstLine="44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5"/>
          <w:szCs w:val="20"/>
        </w:rPr>
        <w:t>3.非标准化债权类资产</w:t>
      </w:r>
    </w:p>
    <w:p>
      <w:pPr>
        <w:pStyle w:val="null10"/>
        <w:spacing w:lineRule="exact" w:line="200"/>
        <w:ind w:firstLine="44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5"/>
          <w:szCs w:val="20"/>
        </w:rPr>
        <w:t>4.证券投资基金、资管计划、信托计划等资产</w:t>
      </w:r>
    </w:p>
    <w:p>
      <w:pPr>
        <w:pStyle w:val="null10"/>
        <w:spacing w:lineRule="exact" w:line="200"/>
        <w:ind w:firstLine="44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5"/>
          <w:szCs w:val="20"/>
        </w:rPr>
        <w:t>5.股权类及其他资产</w:t>
      </w:r>
    </w:p>
    <w:p>
      <w:pPr>
        <w:pStyle w:val="null10"/>
        <w:spacing w:lineRule="exact" w:line="200"/>
        <w:ind w:firstLine="440"/>
      </w:pPr>
      <w:r>
        <w:rPr>
          <w:rFonts w:ascii="方正黑体_GBK" w:hAnsi="方正黑体_GBK" w:cs="宋体" w:eastAsia="方正黑体_GBK"/>
          <w:sz w:val="15"/>
          <w:szCs w:val="20"/>
        </w:rPr>
        <w:t>按照公允价值估值，优先采用市值法估值。</w:t>
      </w:r>
    </w:p>
    <w:p>
      <w:pPr>
        <w:pStyle w:val="null10"/>
        <w:spacing w:lineRule="exact" w:line="200"/>
        <w:ind w:firstLine="44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d39a1d2"/>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0d39a1d2"/>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山东省淄博市张店区人民西路212号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0533-2163939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嘉兴银行股份有限公司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浙江省嘉兴市昌盛南路1001号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0573-96528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长沙银行股份有限公司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湖南省长沙市岳麓区滨江路53号楷林商务中心B座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0731-89934772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宁波东海银行股份有限公司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浙江省宁波高新区新晖南路113-127号（单号），扬帆路515号2-10层，高新宝龙商业广场13-19号、22号、29号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400-8866-345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九江银行股份有限公司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江西省九江市濂溪区长虹大道619号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宁夏银行股份有限公司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宁夏回族自治区银川市北京中路 157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富邦华一银行有限公司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中国（上海）自由贸易试验区世纪大道1168号A座101室、18楼、19楼及20楼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021-962811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日照市烟台路197号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0633-8081110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江苏盐城农村商业银行股份有限公司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盐城市盐南高新区新都西路8号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枣庄银行股份有限公司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山东省枣庄市薛城区光明大道1666号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烟台银行股份有限公司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烟台市芝罘区海港路25号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0535-6691305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徽商银行股份有限公司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安徽省合肥市云谷路1699号徽银大厦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江苏姜堰农村商业银行股份有限公司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泰州市姜堰区姜堰大道128号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潍坊银行股份有限公司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潍坊市奎文区胜利东街5139号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0536-8106161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金华银行股份有限公司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浙江省金华市丹溪路1388号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0579-96528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吉林银行股份有限公司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吉林省长春市南关区人民大街10666号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0431-84999543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德州银行股份有限公司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山东省德州市三八东路1266号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0534-2291695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北京市西城区月坛南街1号院2号楼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010-96198、4008896198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海南省海口市美兰区国兴大道5号海南大厦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65200533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浙江省湖州市红旗路268号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江苏省灌云县伊山镇水利路东侧（人民路与水利路交汇处）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朝阳银行股份有限公司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朝阳市双塔区朝阳大街三段4号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0421-2632275</w:t>
            </w:r>
          </w:p>
        </w:tc>
      </w:tr>
    </w:tbl>
    <w:p>
      <w:pPr>
        <w:pStyle w:val="0d39a1d2"/>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0d39a1d2"/>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bl>
    <w:p>
      <w:pPr>
        <w:pStyle w:val="0d39a1d2"/>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与托管机构存在重大利害关系</w:t>
            </w:r>
          </w:p>
        </w:tc>
      </w:tr>
    </w:tbl>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d39a1d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d39a1d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d39a1d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d39a1d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d39a1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d39a1d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0e481112">
    <w:name w:val="Normal0e48111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3e7532e">
    <w:name w:val="heading 183e7532e"/>
    <w:basedOn w:val="0e48111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a0df4aa">
    <w:name w:val="heading 21a0df4aa"/>
    <w:basedOn w:val="0e48111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dc2f710">
    <w:name w:val="heading 35dc2f710"/>
    <w:basedOn w:val="0e48111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db9c17f">
    <w:name w:val="Default Paragraph Fontadb9c17f"/>
  </w:style>
  <w:style xmlns:r="http://schemas.openxmlformats.org/officeDocument/2006/relationships" w:type="paragraph" w:styleId="658a5ea6">
    <w:name w:val="toc 1658a5ea6"/>
    <w:basedOn w:val="0e481112"/>
    <w:autoRedefine/>
    <w:next w:val="0"/>
  </w:style>
  <w:style xmlns:r="http://schemas.openxmlformats.org/officeDocument/2006/relationships" w:type="paragraph" w:styleId="98a89465">
    <w:name w:val="toc 298a89465"/>
    <w:basedOn w:val="0e481112"/>
    <w:autoRedefine/>
    <w:next w:val="0"/>
    <w:pPr>
      <w:ind w:left="420"/>
    </w:pPr>
  </w:style>
  <w:style xmlns:r="http://schemas.openxmlformats.org/officeDocument/2006/relationships" w:type="paragraph" w:styleId="ad04e296">
    <w:name w:val="toc 3ad04e296"/>
    <w:basedOn w:val="0e481112"/>
    <w:autoRedefine/>
    <w:next w:val="0"/>
    <w:pPr>
      <w:ind w:left="840"/>
    </w:pPr>
  </w:style>
  <w:style xmlns:r="http://schemas.openxmlformats.org/officeDocument/2006/relationships" w:type="paragraph" w:styleId="1af2b0ef">
    <w:name w:val="toc 41af2b0ef"/>
    <w:basedOn w:val="0e481112"/>
    <w:autoRedefine/>
    <w:next w:val="0"/>
    <w:pPr>
      <w:ind w:left="1260"/>
    </w:pPr>
  </w:style>
  <w:style xmlns:r="http://schemas.openxmlformats.org/officeDocument/2006/relationships" w:type="paragraph" w:styleId="7aa33299">
    <w:name w:val="toc 57aa33299"/>
    <w:basedOn w:val="0e481112"/>
    <w:autoRedefine/>
    <w:next w:val="0"/>
    <w:pPr>
      <w:ind w:left="1680"/>
    </w:pPr>
  </w:style>
  <w:style xmlns:r="http://schemas.openxmlformats.org/officeDocument/2006/relationships" w:type="paragraph" w:styleId="df44bac8">
    <w:name w:val="headerdf44bac8"/>
    <w:basedOn w:val="0e48111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27f1560">
    <w:name w:val="footer427f1560"/>
    <w:basedOn w:val="0e481112"/>
    <w:pPr>
      <w:tabs>
        <w:tab w:val="center" w:pos="4153"/>
        <w:tab w:val="right" w:pos="8307"/>
      </w:tabs>
      <w:adjustRightInd/>
      <w:snapToGrid w:val="0"/>
      <w:contextualSpacing w:val="0"/>
      <w:jc w:val="left"/>
    </w:pPr>
    <w:rPr>
      <w:sz w:val="18"/>
    </w:rPr>
  </w:style>
  <w:style xmlns:r="http://schemas.openxmlformats.org/officeDocument/2006/relationships" w:type="character" w:styleId="6e73ac9f">
    <w:name w:val="Strong6e73ac9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d39a1d2">
    <w:name w:val="Normal0d39a1d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49c426d">
    <w:name w:val="heading 1049c426d"/>
    <w:basedOn w:val="0d39a1d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23a646f">
    <w:name w:val="heading 2423a646f"/>
    <w:basedOn w:val="0d39a1d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db1c51c">
    <w:name w:val="heading 37db1c51c"/>
    <w:basedOn w:val="0d39a1d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1ae17d5">
    <w:name w:val="Default Paragraph Font51ae17d5"/>
  </w:style>
  <w:style xmlns:r="http://schemas.openxmlformats.org/officeDocument/2006/relationships" w:type="paragraph" w:styleId="4abaeafd">
    <w:name w:val="Normal Indent4abaeafd"/>
    <w:basedOn w:val="0d39a1d2"/>
    <w:pPr>
      <w:ind w:firstLineChars="200" w:firstLine="200"/>
    </w:pPr>
  </w:style>
  <w:style xmlns:r="http://schemas.openxmlformats.org/officeDocument/2006/relationships" w:type="paragraph" w:styleId="d4d6710d">
    <w:name w:val="toc 5d4d6710d"/>
    <w:basedOn w:val="0d39a1d2"/>
    <w:next w:val="0"/>
    <w:pPr>
      <w:ind w:left="1680"/>
    </w:pPr>
  </w:style>
  <w:style xmlns:r="http://schemas.openxmlformats.org/officeDocument/2006/relationships" w:type="paragraph" w:styleId="d9183a09">
    <w:name w:val="toc 3d9183a09"/>
    <w:basedOn w:val="0d39a1d2"/>
    <w:next w:val="0"/>
    <w:pPr>
      <w:ind w:left="840"/>
    </w:pPr>
  </w:style>
  <w:style xmlns:r="http://schemas.openxmlformats.org/officeDocument/2006/relationships" w:type="paragraph" w:styleId="da022df5">
    <w:name w:val="footerda022df5"/>
    <w:basedOn w:val="0d39a1d2"/>
    <w:pPr>
      <w:tabs>
        <w:tab w:val="center" w:pos="4153"/>
        <w:tab w:val="right" w:pos="8307"/>
      </w:tabs>
      <w:adjustRightInd/>
      <w:snapToGrid w:val="0"/>
      <w:contextualSpacing w:val="0"/>
      <w:jc w:val="left"/>
    </w:pPr>
    <w:rPr>
      <w:sz w:val="18"/>
    </w:rPr>
  </w:style>
  <w:style xmlns:r="http://schemas.openxmlformats.org/officeDocument/2006/relationships" w:type="paragraph" w:styleId="5b092ac4">
    <w:name w:val="header5b092ac4"/>
    <w:basedOn w:val="0d39a1d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88a66c9">
    <w:name w:val="toc 1588a66c9"/>
    <w:basedOn w:val="0d39a1d2"/>
    <w:next w:val="0"/>
  </w:style>
  <w:style xmlns:r="http://schemas.openxmlformats.org/officeDocument/2006/relationships" w:type="paragraph" w:styleId="ab3ae7c7">
    <w:name w:val="toc 4ab3ae7c7"/>
    <w:basedOn w:val="0d39a1d2"/>
    <w:next w:val="0"/>
    <w:pPr>
      <w:ind w:left="1260"/>
    </w:pPr>
  </w:style>
  <w:style xmlns:r="http://schemas.openxmlformats.org/officeDocument/2006/relationships" w:type="paragraph" w:styleId="bff70b0b">
    <w:name w:val="toc 2bff70b0b"/>
    <w:basedOn w:val="0d39a1d2"/>
    <w:next w:val="0"/>
    <w:pPr>
      <w:ind w:left="420"/>
    </w:pPr>
  </w:style>
  <w:style xmlns:r="http://schemas.openxmlformats.org/officeDocument/2006/relationships" w:type="paragraph" w:styleId="30b23605">
    <w:name w:val="Normal (Web)30b2360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98e85fd">
    <w:name w:val="Normal898e85fd898e85f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d9b7c4c">
    <w:name w:val="heading 1bd9b7c4cbd9b7c4c"/>
    <w:basedOn w:val="898e85f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ed400b7">
    <w:name w:val="heading 27ed400b77ed400b7"/>
    <w:basedOn w:val="898e85f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06a1328">
    <w:name w:val="heading 3806a1328806a1328"/>
    <w:basedOn w:val="898e85f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c17d0cf">
    <w:name w:val="Default Paragraph Font6c17d0cf6c17d0cf"/>
  </w:style>
  <w:style xmlns:r="http://schemas.openxmlformats.org/officeDocument/2006/relationships" w:type="paragraph" w:customStyle="1" w:styleId="d3af61f5">
    <w:name w:val="引文目录1d3af61f5d3af61f5"/>
    <w:basedOn w:val="898e85fd"/>
    <w:next w:val="0"/>
    <w:pPr>
      <w:ind w:leftChars="200" w:left="200"/>
    </w:pPr>
  </w:style>
  <w:style xmlns:r="http://schemas.openxmlformats.org/officeDocument/2006/relationships" w:type="paragraph" w:styleId="b6673833">
    <w:name w:val="toc 5b6673833b6673833"/>
    <w:basedOn w:val="898e85fd"/>
    <w:next w:val="0"/>
    <w:pPr>
      <w:ind w:left="1680"/>
    </w:pPr>
  </w:style>
  <w:style xmlns:r="http://schemas.openxmlformats.org/officeDocument/2006/relationships" w:type="paragraph" w:styleId="7237fd99">
    <w:name w:val="toc 37237fd997237fd99"/>
    <w:basedOn w:val="898e85fd"/>
    <w:next w:val="0"/>
    <w:pPr>
      <w:ind w:left="840"/>
    </w:pPr>
  </w:style>
  <w:style xmlns:r="http://schemas.openxmlformats.org/officeDocument/2006/relationships" w:type="paragraph" w:styleId="93778a58">
    <w:name w:val="footer93778a5893778a58"/>
    <w:basedOn w:val="898e85fd"/>
    <w:pPr>
      <w:tabs>
        <w:tab w:val="center" w:pos="4153"/>
        <w:tab w:val="right" w:pos="8307"/>
      </w:tabs>
      <w:adjustRightInd/>
      <w:snapToGrid w:val="0"/>
      <w:contextualSpacing w:val="0"/>
      <w:jc w:val="left"/>
    </w:pPr>
    <w:rPr>
      <w:sz w:val="18"/>
    </w:rPr>
  </w:style>
  <w:style xmlns:r="http://schemas.openxmlformats.org/officeDocument/2006/relationships" w:type="paragraph" w:styleId="99acaefa">
    <w:name w:val="header99acaefa99acaefa"/>
    <w:basedOn w:val="898e85f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73743b5">
    <w:name w:val="toc 1373743b5373743b5"/>
    <w:basedOn w:val="898e85fd"/>
    <w:next w:val="0"/>
  </w:style>
  <w:style xmlns:r="http://schemas.openxmlformats.org/officeDocument/2006/relationships" w:type="paragraph" w:styleId="7cffd931">
    <w:name w:val="toc 47cffd9317cffd931"/>
    <w:basedOn w:val="898e85fd"/>
    <w:next w:val="0"/>
    <w:pPr>
      <w:ind w:left="1260"/>
    </w:pPr>
  </w:style>
  <w:style xmlns:r="http://schemas.openxmlformats.org/officeDocument/2006/relationships" w:type="paragraph" w:styleId="1af0a484">
    <w:name w:val="toc 21af0a4841af0a484"/>
    <w:basedOn w:val="898e85fd"/>
    <w:next w:val="0"/>
    <w:pPr>
      <w:ind w:left="420"/>
    </w:pPr>
  </w:style>
  <w:style xmlns:r="http://schemas.openxmlformats.org/officeDocument/2006/relationships" w:type="paragraph" w:customStyle="1" w:styleId="db8fd3d9">
    <w:name w:val="列出段落1db8fd3d9db8fd3d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