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28e42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28e42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28e42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8e42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8e42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8e42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8e42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8e42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8e42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8e42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8e42c8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c819ec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c819ec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c8cd67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南银理财珠联璧合安稳1905一年定开公募人民币理财产品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ZC108691944598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Z7003221000026(投资者可依据该编码在中国理财网www.chinawealth.com.cn查询理财产品相关信息）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A份额：Z30001</w:t>
            </w:r>
          </w:p>
          <w:p>
            <w:pPr>
              <w:pStyle w:val="null10"/>
              <w:spacing w:lineRule="exact" w:line="200"/>
            </w:pPr>
            <w:r>
              <w:rPr>
                <w:rFonts w:ascii="方正黑体_GBK" w:hAnsi="方正黑体_GBK" w:cs="宋体" w:eastAsia="方正黑体_GBK"/>
                <w:sz w:val="18"/>
                <w:szCs w:val="18"/>
              </w:rPr>
              <w:t>F份额：ZF30001</w:t>
            </w:r>
          </w:p>
          <w:p>
            <w:pPr>
              <w:pStyle w:val="null10"/>
              <w:spacing w:lineRule="exact" w:line="200"/>
            </w:pPr>
            <w:r>
              <w:rPr>
                <w:rFonts w:ascii="方正黑体_GBK" w:hAnsi="方正黑体_GBK" w:cs="宋体" w:eastAsia="方正黑体_GBK"/>
                <w:sz w:val="18"/>
                <w:szCs w:val="18"/>
              </w:rPr>
              <w:t>A2份额：Z31001</w:t>
            </w:r>
          </w:p>
          <w:p>
            <w:pPr>
              <w:pStyle w:val="null10"/>
              <w:spacing w:lineRule="exact" w:line="200"/>
            </w:pPr>
            <w:r>
              <w:rPr>
                <w:rFonts w:ascii="方正黑体_GBK" w:hAnsi="方正黑体_GBK" w:cs="宋体" w:eastAsia="方正黑体_GBK"/>
                <w:sz w:val="18"/>
                <w:szCs w:val="18"/>
              </w:rPr>
              <w:t>A3份额：Z32001</w:t>
            </w:r>
          </w:p>
          <w:p>
            <w:pPr>
              <w:pStyle w:val="null10"/>
              <w:spacing w:lineRule="exact" w:line="200"/>
            </w:pPr>
            <w:r>
              <w:rPr>
                <w:rFonts w:ascii="方正黑体_GBK" w:hAnsi="方正黑体_GBK" w:cs="宋体" w:eastAsia="方正黑体_GBK"/>
                <w:sz w:val="18"/>
                <w:szCs w:val="18"/>
              </w:rPr>
              <w:t>A4份额：Z33001</w:t>
            </w:r>
          </w:p>
          <w:p>
            <w:pPr>
              <w:pStyle w:val="null10"/>
              <w:spacing w:lineRule="exact" w:line="200"/>
            </w:pPr>
            <w:r>
              <w:rPr>
                <w:rFonts w:ascii="方正黑体_GBK" w:hAnsi="方正黑体_GBK" w:cs="宋体" w:eastAsia="方正黑体_GBK"/>
                <w:sz w:val="18"/>
                <w:szCs w:val="18"/>
              </w:rPr>
              <w:t>F2份额：ZF31001</w:t>
            </w:r>
          </w:p>
          <w:p>
            <w:pPr>
              <w:pStyle w:val="null10"/>
              <w:spacing w:lineRule="exact" w:line="200"/>
            </w:pPr>
            <w:r>
              <w:rPr>
                <w:rFonts w:ascii="方正黑体_GBK" w:hAnsi="方正黑体_GBK" w:cs="宋体" w:eastAsia="方正黑体_GBK"/>
                <w:sz w:val="18"/>
                <w:szCs w:val="18"/>
              </w:rPr>
              <w:t>F3份额：ZF32001</w:t>
            </w:r>
          </w:p>
          <w:p>
            <w:pPr>
              <w:pStyle w:val="null10"/>
              <w:spacing w:lineRule="exact" w:line="200"/>
            </w:pPr>
            <w:r>
              <w:rPr>
                <w:rFonts w:ascii="方正黑体_GBK" w:hAnsi="方正黑体_GBK" w:cs="宋体" w:eastAsia="方正黑体_GBK"/>
                <w:sz w:val="18"/>
                <w:szCs w:val="18"/>
              </w:rPr>
              <w:t>F4份额：ZF33001</w:t>
            </w:r>
          </w:p>
          <w:p>
            <w:pPr>
              <w:pStyle w:val="null10"/>
              <w:spacing w:lineRule="exact" w:line="200"/>
            </w:pPr>
            <w:r>
              <w:rPr>
                <w:rFonts w:ascii="方正黑体_GBK" w:hAnsi="方正黑体_GBK" w:cs="宋体" w:eastAsia="方正黑体_GBK"/>
                <w:sz w:val="18"/>
                <w:szCs w:val="18"/>
              </w:rPr>
              <w:t>I3份额：NYAW001353</w:t>
            </w:r>
          </w:p>
          <w:p>
            <w:pPr>
              <w:pStyle w:val="null10"/>
              <w:spacing w:lineRule="exact" w:line="200"/>
            </w:pPr>
            <w:r>
              <w:rPr>
                <w:rFonts w:ascii="方正黑体_GBK" w:hAnsi="方正黑体_GBK" w:cs="宋体" w:eastAsia="方正黑体_GBK"/>
                <w:sz w:val="18"/>
                <w:szCs w:val="18"/>
              </w:rPr>
              <w:t>M3份额：NYAW001315</w:t>
            </w:r>
          </w:p>
          <w:p>
            <w:pPr>
              <w:pStyle w:val="null10"/>
              <w:spacing w:lineRule="exact" w:line="200"/>
            </w:pPr>
            <w:r>
              <w:rPr>
                <w:rFonts w:ascii="方正黑体_GBK" w:hAnsi="方正黑体_GBK" w:cs="宋体" w:eastAsia="方正黑体_GBK"/>
                <w:sz w:val="18"/>
                <w:szCs w:val="18"/>
              </w:rPr>
              <w:t>N3份额：NYAW001316</w:t>
            </w:r>
          </w:p>
          <w:p>
            <w:pPr>
              <w:pStyle w:val="null10"/>
              <w:spacing w:lineRule="exact" w:line="200"/>
            </w:pPr>
            <w:r>
              <w:rPr>
                <w:rFonts w:ascii="方正黑体_GBK" w:hAnsi="方正黑体_GBK" w:cs="宋体" w:eastAsia="方正黑体_GBK"/>
                <w:sz w:val="18"/>
                <w:szCs w:val="18"/>
              </w:rPr>
              <w:t>Q3份额：NYAW001317</w:t>
            </w:r>
          </w:p>
          <w:p>
            <w:pPr>
              <w:pStyle w:val="null10"/>
              <w:spacing w:lineRule="exact" w:line="200"/>
            </w:pPr>
            <w:r>
              <w:rPr>
                <w:rFonts w:ascii="方正黑体_GBK" w:hAnsi="方正黑体_GBK" w:cs="宋体" w:eastAsia="方正黑体_GBK"/>
                <w:sz w:val="18"/>
                <w:szCs w:val="18"/>
              </w:rPr>
              <w:t>R3份额：NYAW001318</w:t>
            </w:r>
          </w:p>
          <w:p>
            <w:pPr>
              <w:pStyle w:val="null10"/>
              <w:spacing w:lineRule="exact" w:line="200"/>
            </w:pPr>
            <w:r>
              <w:rPr>
                <w:rFonts w:ascii="方正黑体_GBK" w:hAnsi="方正黑体_GBK" w:cs="宋体" w:eastAsia="方正黑体_GBK"/>
                <w:sz w:val="18"/>
                <w:szCs w:val="18"/>
              </w:rPr>
              <w:t>J1份额：NYAW001304</w:t>
            </w:r>
          </w:p>
          <w:p>
            <w:pPr>
              <w:pStyle w:val="null10"/>
              <w:spacing w:lineRule="exact" w:line="200"/>
            </w:pPr>
            <w:r>
              <w:rPr>
                <w:rFonts w:ascii="方正黑体_GBK" w:hAnsi="方正黑体_GBK" w:cs="宋体" w:eastAsia="方正黑体_GBK"/>
                <w:sz w:val="18"/>
                <w:szCs w:val="18"/>
              </w:rPr>
              <w:t>L1份额：NYAW001305</w:t>
            </w:r>
          </w:p>
          <w:p>
            <w:pPr>
              <w:pStyle w:val="null10"/>
              <w:spacing w:lineRule="exact" w:line="200"/>
            </w:pPr>
            <w:r>
              <w:rPr>
                <w:rFonts w:ascii="方正黑体_GBK" w:hAnsi="方正黑体_GBK" w:cs="宋体" w:eastAsia="方正黑体_GBK"/>
                <w:sz w:val="18"/>
                <w:szCs w:val="18"/>
              </w:rPr>
              <w:t>S3份额：NYAW001311</w:t>
            </w:r>
          </w:p>
          <w:p>
            <w:pPr>
              <w:pStyle w:val="null10"/>
              <w:spacing w:lineRule="exact" w:line="200"/>
            </w:pPr>
            <w:r>
              <w:rPr>
                <w:rFonts w:ascii="方正黑体_GBK" w:hAnsi="方正黑体_GBK" w:cs="宋体" w:eastAsia="方正黑体_GBK"/>
                <w:sz w:val="18"/>
                <w:szCs w:val="18"/>
              </w:rPr>
              <w:t>T3份额：NYAW001312</w:t>
            </w:r>
          </w:p>
          <w:p>
            <w:pPr>
              <w:pStyle w:val="null10"/>
              <w:spacing w:lineRule="exact" w:line="200"/>
            </w:pPr>
            <w:r>
              <w:rPr>
                <w:rFonts w:ascii="方正黑体_GBK" w:hAnsi="方正黑体_GBK" w:cs="宋体" w:eastAsia="方正黑体_GBK"/>
                <w:sz w:val="18"/>
                <w:szCs w:val="18"/>
              </w:rPr>
              <w:t>B5份额：NYAW001306</w:t>
            </w:r>
          </w:p>
          <w:p>
            <w:pPr>
              <w:pStyle w:val="null10"/>
              <w:spacing w:lineRule="exact" w:line="200"/>
            </w:pPr>
            <w:r>
              <w:rPr>
                <w:rFonts w:ascii="方正黑体_GBK" w:hAnsi="方正黑体_GBK" w:cs="宋体" w:eastAsia="方正黑体_GBK"/>
                <w:sz w:val="18"/>
                <w:szCs w:val="18"/>
              </w:rPr>
              <w:t>C5份额：NYAW001307</w:t>
            </w:r>
          </w:p>
          <w:p>
            <w:pPr>
              <w:pStyle w:val="null10"/>
              <w:spacing w:lineRule="exact" w:line="200"/>
            </w:pPr>
            <w:r>
              <w:rPr>
                <w:rFonts w:ascii="方正黑体_GBK" w:hAnsi="方正黑体_GBK" w:cs="宋体" w:eastAsia="方正黑体_GBK"/>
                <w:sz w:val="18"/>
                <w:szCs w:val="18"/>
              </w:rPr>
              <w:t>D5份额：NYAW001308</w:t>
            </w:r>
          </w:p>
          <w:p>
            <w:pPr>
              <w:pStyle w:val="null10"/>
              <w:spacing w:lineRule="exact" w:line="200"/>
            </w:pPr>
            <w:r>
              <w:rPr>
                <w:rFonts w:ascii="方正黑体_GBK" w:hAnsi="方正黑体_GBK" w:cs="宋体" w:eastAsia="方正黑体_GBK"/>
                <w:sz w:val="18"/>
                <w:szCs w:val="18"/>
              </w:rPr>
              <w:t>E5份额：NYAW001309</w:t>
            </w:r>
          </w:p>
          <w:p>
            <w:pPr>
              <w:pStyle w:val="null10"/>
              <w:spacing w:lineRule="exact" w:line="200"/>
            </w:pPr>
            <w:r>
              <w:rPr>
                <w:rFonts w:ascii="方正黑体_GBK" w:hAnsi="方正黑体_GBK" w:cs="宋体" w:eastAsia="方正黑体_GBK"/>
                <w:sz w:val="18"/>
                <w:szCs w:val="18"/>
              </w:rPr>
              <w:t>V份额：NYAW001313</w:t>
            </w:r>
          </w:p>
          <w:p>
            <w:pPr>
              <w:pStyle w:val="null10"/>
              <w:spacing w:lineRule="exact" w:line="200"/>
            </w:pPr>
            <w:r>
              <w:rPr>
                <w:rFonts w:ascii="方正黑体_GBK" w:hAnsi="方正黑体_GBK" w:cs="宋体" w:eastAsia="方正黑体_GBK"/>
                <w:sz w:val="18"/>
                <w:szCs w:val="18"/>
              </w:rPr>
              <w:t>W份额：NYAW001314</w:t>
            </w:r>
          </w:p>
          <w:p>
            <w:pPr>
              <w:pStyle w:val="null10"/>
              <w:spacing w:lineRule="exact" w:line="200"/>
            </w:pPr>
            <w:r>
              <w:rPr>
                <w:rFonts w:ascii="方正黑体_GBK" w:hAnsi="方正黑体_GBK" w:cs="宋体" w:eastAsia="方正黑体_GBK"/>
                <w:sz w:val="18"/>
                <w:szCs w:val="18"/>
              </w:rPr>
              <w:t>G5份额：NYAW001310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10年（管理人有权提前终止或延期终止）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除私行客户、钻石客户、新晋私行客户、新晋钻石户及南京银行认定的其他符合标准的客户外的其他客户）、南银理财有限责任公司、交通银行股份有限公司、昆山鹿城村镇银行股份有限公司、日照银行股份有限公司、秦皇岛银行股份有限公司、泰安银行股份有限公司、齐鲁银行股份有限公司、深圳前海微众银行股份有限公司、九江银行股份有限公司、九江银行股份有限公司、互金平台、江苏江阴农村商业银行股份有限公司。</w:t>
            </w:r>
          </w:p>
          <w:p>
            <w:pPr>
              <w:pStyle w:val="null10"/>
              <w:spacing w:lineRule="exact" w:line="200"/>
            </w:pPr>
            <w:r>
              <w:rPr>
                <w:rFonts w:ascii="方正黑体_GBK" w:hAnsi="方正黑体_GBK" w:cs="宋体" w:eastAsia="方正黑体_GBK"/>
                <w:sz w:val="18"/>
                <w:szCs w:val="18"/>
              </w:rPr>
              <w:t>F份额：南京银行股份有限公司私行客户、钻石客户、新晋私行客户、新晋钻石户及南京银行认定的其他符合标准的客户。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A2份额：南京银行股份有限公司（除私行客户、钻石客户、新晋私行客户、新晋钻石户及南京银行认定的其他符合标准的客户外的其他客户）、南银理财有限责任公司、九江银行股份有限公司、江苏苏商银行股份有限公司。</w:t>
            </w:r>
          </w:p>
          <w:p>
            <w:pPr>
              <w:pStyle w:val="null10"/>
              <w:spacing w:lineRule="exact" w:line="200"/>
            </w:pPr>
            <w:r>
              <w:rPr>
                <w:rFonts w:ascii="方正黑体_GBK" w:hAnsi="方正黑体_GBK" w:cs="宋体" w:eastAsia="方正黑体_GBK"/>
                <w:sz w:val="18"/>
                <w:szCs w:val="18"/>
              </w:rPr>
              <w:t>A3份额：南银理财有限责任公司、南京银行股份有限公司（除私行客户、钻石客户、新晋私行客户、新晋钻石户及南京银行认定的其他符合标准的客户外的其他客户）、九江银行股份有限公司、江苏苏商银行股份有限公司。。</w:t>
            </w:r>
          </w:p>
          <w:p>
            <w:pPr>
              <w:pStyle w:val="null10"/>
              <w:spacing w:lineRule="exact" w:line="200"/>
            </w:pPr>
            <w:r>
              <w:rPr>
                <w:rFonts w:ascii="方正黑体_GBK" w:hAnsi="方正黑体_GBK" w:cs="宋体" w:eastAsia="方正黑体_GBK"/>
                <w:sz w:val="18"/>
                <w:szCs w:val="18"/>
              </w:rPr>
              <w:t>A4份额：南京银行股份有限公司（除私行客户、钻石客户、新晋私行客户、新晋钻石户及南京银行认定的其他符合标准的客户外的其他客户）、九江银行股份有限公司。</w:t>
            </w:r>
          </w:p>
          <w:p>
            <w:pPr>
              <w:pStyle w:val="null10"/>
              <w:spacing w:lineRule="exact" w:line="200"/>
            </w:pPr>
            <w:r>
              <w:rPr>
                <w:rFonts w:ascii="方正黑体_GBK" w:hAnsi="方正黑体_GBK" w:cs="宋体" w:eastAsia="方正黑体_GBK"/>
                <w:sz w:val="18"/>
                <w:szCs w:val="18"/>
              </w:rPr>
              <w:t>F2份额：南京银行股份有限公司私行客户、钻石客户、新晋私行客户、新晋钻石户及南京银行认定的其他符合标准的客户。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F3份额：南京银行股份有限公司私行客户、钻石客户、新晋私行客户、新晋钻石户及南京银行认定的其他符合标准的客户。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F4份额：南京银行股份有限公司私行客户、钻石客户、新晋私行客户、新晋钻石户及南京银行认定的其他符合标准的客户。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I3份额：南京银行股份有限公司北京分行(新资金5万)。</w:t>
            </w:r>
          </w:p>
          <w:p>
            <w:pPr>
              <w:pStyle w:val="null10"/>
              <w:spacing w:lineRule="exact" w:line="200"/>
            </w:pPr>
            <w:r>
              <w:rPr>
                <w:rFonts w:ascii="方正黑体_GBK" w:hAnsi="方正黑体_GBK" w:cs="宋体" w:eastAsia="方正黑体_GBK"/>
                <w:sz w:val="18"/>
                <w:szCs w:val="18"/>
              </w:rPr>
              <w:t>M3份额：浙江民泰商业银行股份有限公司、嘉兴银行股份有限公司、苏州银行股份有限公司、福建海峡银行股份有限公司、宁波通商银行股份有限公司。</w:t>
            </w:r>
          </w:p>
          <w:p>
            <w:pPr>
              <w:pStyle w:val="null10"/>
              <w:spacing w:lineRule="exact" w:line="200"/>
            </w:pPr>
            <w:r>
              <w:rPr>
                <w:rFonts w:ascii="方正黑体_GBK" w:hAnsi="方正黑体_GBK" w:cs="宋体" w:eastAsia="方正黑体_GBK"/>
                <w:sz w:val="18"/>
                <w:szCs w:val="18"/>
              </w:rPr>
              <w:t>N3份额：苏州银行股份有限公司（代发与新资金客户）。</w:t>
            </w:r>
          </w:p>
          <w:p>
            <w:pPr>
              <w:pStyle w:val="null10"/>
              <w:spacing w:lineRule="exact" w:line="200"/>
            </w:pPr>
            <w:r>
              <w:rPr>
                <w:rFonts w:ascii="方正黑体_GBK" w:hAnsi="方正黑体_GBK" w:cs="宋体" w:eastAsia="方正黑体_GBK"/>
                <w:sz w:val="18"/>
                <w:szCs w:val="18"/>
              </w:rPr>
              <w:t>Q3份额：台州银行股份有限公司（除白名单客户外的其他客户）。</w:t>
            </w:r>
          </w:p>
          <w:p>
            <w:pPr>
              <w:pStyle w:val="null10"/>
              <w:spacing w:lineRule="exact" w:line="200"/>
            </w:pPr>
            <w:r>
              <w:rPr>
                <w:rFonts w:ascii="方正黑体_GBK" w:hAnsi="方正黑体_GBK" w:cs="宋体" w:eastAsia="方正黑体_GBK"/>
                <w:sz w:val="18"/>
                <w:szCs w:val="18"/>
              </w:rPr>
              <w:t>R3份额：台州银行股份有限公司白名单客户。</w:t>
            </w:r>
          </w:p>
          <w:p>
            <w:pPr>
              <w:pStyle w:val="null10"/>
              <w:spacing w:lineRule="exact" w:line="200"/>
            </w:pPr>
            <w:r>
              <w:rPr>
                <w:rFonts w:ascii="方正黑体_GBK" w:hAnsi="方正黑体_GBK" w:cs="宋体" w:eastAsia="方正黑体_GBK"/>
                <w:sz w:val="18"/>
                <w:szCs w:val="18"/>
              </w:rPr>
              <w:t>J1份额：兴业银行股份有限公司（私行客户1万元起购）。</w:t>
            </w:r>
          </w:p>
          <w:p>
            <w:pPr>
              <w:pStyle w:val="null10"/>
              <w:spacing w:lineRule="exact" w:line="200"/>
            </w:pPr>
            <w:r>
              <w:rPr>
                <w:rFonts w:ascii="方正黑体_GBK" w:hAnsi="方正黑体_GBK" w:cs="宋体" w:eastAsia="方正黑体_GBK"/>
                <w:sz w:val="18"/>
                <w:szCs w:val="18"/>
              </w:rPr>
              <w:t>L1份额：兴业银行股份有限公司（私行客户100万元起购）。</w:t>
            </w:r>
          </w:p>
          <w:p>
            <w:pPr>
              <w:pStyle w:val="null10"/>
              <w:spacing w:lineRule="exact" w:line="200"/>
            </w:pPr>
            <w:r>
              <w:rPr>
                <w:rFonts w:ascii="方正黑体_GBK" w:hAnsi="方正黑体_GBK" w:cs="宋体" w:eastAsia="方正黑体_GBK"/>
                <w:sz w:val="18"/>
                <w:szCs w:val="18"/>
              </w:rPr>
              <w:t>S3份额：成都农村商业银行股份有限公司。</w:t>
            </w:r>
          </w:p>
          <w:p>
            <w:pPr>
              <w:pStyle w:val="null10"/>
              <w:spacing w:lineRule="exact" w:line="200"/>
            </w:pPr>
            <w:r>
              <w:rPr>
                <w:rFonts w:ascii="方正黑体_GBK" w:hAnsi="方正黑体_GBK" w:cs="宋体" w:eastAsia="方正黑体_GBK"/>
                <w:sz w:val="18"/>
                <w:szCs w:val="18"/>
              </w:rPr>
              <w:t>T3份额：河北银行股份有限公司（除分行财富客户外的其他客户）、江苏常熟农村商业银行股份有限公司（高净值客户）。</w:t>
            </w:r>
          </w:p>
          <w:p>
            <w:pPr>
              <w:pStyle w:val="null10"/>
              <w:spacing w:lineRule="exact" w:line="200"/>
            </w:pPr>
            <w:r>
              <w:rPr>
                <w:rFonts w:ascii="方正黑体_GBK" w:hAnsi="方正黑体_GBK" w:cs="宋体" w:eastAsia="方正黑体_GBK"/>
                <w:sz w:val="18"/>
                <w:szCs w:val="18"/>
              </w:rPr>
              <w:t>B5份额：江苏常熟农村商业银行股份有限公司（除财富客户和高净值客户外的其他客户）、江苏苏州农村商业银行股份有限公司（除新支行开业客户外的其他客户）、齐鲁银行股份有限公司（代发客户）、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pPr>
              <w:pStyle w:val="null10"/>
              <w:spacing w:lineRule="exact" w:line="200"/>
            </w:pPr>
            <w:r>
              <w:rPr>
                <w:rFonts w:ascii="方正黑体_GBK" w:hAnsi="方正黑体_GBK" w:cs="宋体" w:eastAsia="方正黑体_GBK"/>
                <w:sz w:val="18"/>
                <w:szCs w:val="18"/>
              </w:rPr>
              <w:t>C5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pPr>
              <w:pStyle w:val="null10"/>
              <w:spacing w:lineRule="exact" w:line="200"/>
            </w:pPr>
            <w:r>
              <w:rPr>
                <w:rFonts w:ascii="方正黑体_GBK" w:hAnsi="方正黑体_GBK" w:cs="宋体" w:eastAsia="方正黑体_GBK"/>
                <w:sz w:val="18"/>
                <w:szCs w:val="18"/>
              </w:rPr>
              <w:t>D5份额：江苏常熟农村商业银行股份有限公司（财富客户）、江苏太仓农村商业银行股份有限公司、河北银行股份有限公司（分行财富客户）、江苏苏州农村商业银行股份有限公司（新支行开业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pPr>
              <w:pStyle w:val="null10"/>
              <w:spacing w:lineRule="exact" w:line="200"/>
            </w:pPr>
            <w:r>
              <w:rPr>
                <w:rFonts w:ascii="方正黑体_GBK" w:hAnsi="方正黑体_GBK" w:cs="宋体" w:eastAsia="方正黑体_GBK"/>
                <w:sz w:val="18"/>
                <w:szCs w:val="18"/>
              </w:rPr>
              <w:t>E5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pPr>
              <w:pStyle w:val="null10"/>
              <w:spacing w:lineRule="exact" w:line="200"/>
            </w:pPr>
            <w:r>
              <w:rPr>
                <w:rFonts w:ascii="方正黑体_GBK" w:hAnsi="方正黑体_GBK" w:cs="宋体" w:eastAsia="方正黑体_GBK"/>
                <w:sz w:val="18"/>
                <w:szCs w:val="18"/>
              </w:rPr>
              <w:t>V份额：桂林银行股份有限公司（高净值客户）。</w:t>
            </w:r>
          </w:p>
          <w:p>
            <w:pPr>
              <w:pStyle w:val="null10"/>
              <w:spacing w:lineRule="exact" w:line="200"/>
            </w:pPr>
            <w:r>
              <w:rPr>
                <w:rFonts w:ascii="方正黑体_GBK" w:hAnsi="方正黑体_GBK" w:cs="宋体" w:eastAsia="方正黑体_GBK"/>
                <w:sz w:val="18"/>
                <w:szCs w:val="18"/>
              </w:rPr>
              <w:t>W份额：齐鲁银行股份有限公司（财富客户）。</w:t>
            </w:r>
          </w:p>
          <w:p>
            <w:pPr>
              <w:pStyle w:val="null10"/>
              <w:spacing w:lineRule="exact" w:line="200"/>
            </w:pPr>
            <w:r>
              <w:rPr>
                <w:rFonts w:ascii="方正黑体_GBK" w:hAnsi="方正黑体_GBK" w:cs="宋体" w:eastAsia="方正黑体_GBK"/>
                <w:sz w:val="18"/>
                <w:szCs w:val="18"/>
              </w:rPr>
              <w:t>G5份额：成都银行股份有限公司。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A份额/F份额/A2份额/A3份额/A4份额/F2份额/F3份额/F4份额/I3份额/M3份额/N3份额/Q3份额/R3份额/J1份额/L1份额/S3份额/T3份额/B5份额/C5份额/D5份额/E5份额/V份额/W份额/G5份额：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2019年05月02日 09:00—2019年05月08日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本理财产品每期封闭期为一年，当期封闭期起止时间以公告为准。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2019年05月09日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2019年05月09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本理财产品存续期内按每一年开放申购，如遇节假日调整，申购开放日和申购确认日以公告为准。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A份额/F份额：本次开放期为2026年7月30日9：00至2026年8月5日17：00，下一个开放期为2027年9月2日9：00至2027年9月8日17：00，投资者可以提交或撤销认购/申购/赎回申请。</w:t>
            </w:r>
            <w:r>
              <w:rPr>
                <w:rFonts w:ascii="方正黑体_GBK" w:hAnsi="方正黑体_GBK" w:eastAsia="方正黑体_GBK"/>
              </w:rPr>
              <w:br/>
            </w:r>
            <w:r>
              <w:rPr>
                <w:rFonts w:ascii="方正黑体_GBK" w:hAnsi="方正黑体_GBK" w:cs="宋体" w:eastAsia="方正黑体_GBK"/>
                <w:sz w:val="18"/>
                <w:szCs w:val="18"/>
              </w:rPr>
              <w:t>A2份额/F2份额/A3份额/F3份额/A4份额/F4份额:开放期2026年7月30日9：00至2026年8月5日17：00，投资者可以提交或撤销赎回申请</w:t>
            </w:r>
            <w:r>
              <w:rPr>
                <w:rFonts w:ascii="方正黑体_GBK" w:hAnsi="方正黑体_GBK" w:eastAsia="方正黑体_GBK"/>
              </w:rPr>
              <w:br/>
            </w:r>
            <w:r>
              <w:rPr>
                <w:rFonts w:ascii="方正黑体_GBK" w:hAnsi="方正黑体_GBK" w:cs="宋体" w:eastAsia="方正黑体_GBK"/>
                <w:sz w:val="18"/>
                <w:szCs w:val="18"/>
              </w:rPr>
              <w:t>J1份额/L1份额：本次开放期为2026年7月30日9：00至2026年8月5日17：00，投资者可以提交或撤销认/申购申请；确认成功的份额均将于下一个开放期（2027年9月2日9：00至2027年9月8日17：00）由系统自动发起赎回申请。</w:t>
            </w:r>
            <w:r>
              <w:rPr>
                <w:rFonts w:ascii="方正黑体_GBK" w:hAnsi="方正黑体_GBK" w:eastAsia="方正黑体_GBK"/>
              </w:rPr>
              <w:br/>
            </w:r>
            <w:r>
              <w:rPr>
                <w:rFonts w:ascii="方正黑体_GBK" w:hAnsi="方正黑体_GBK" w:cs="宋体" w:eastAsia="方正黑体_GBK"/>
                <w:sz w:val="18"/>
                <w:szCs w:val="18"/>
              </w:rPr>
              <w:t>A2份额/F2份额：本次开放期为2026年8月6日9：00至2026年8月12日17：00,下一个开放期为2027年9月9日9：00至2027年9月16日17：00，投资者可以提交或撤销申购/赎回申请。</w:t>
            </w:r>
            <w:r>
              <w:rPr>
                <w:rFonts w:ascii="方正黑体_GBK" w:hAnsi="方正黑体_GBK" w:eastAsia="方正黑体_GBK"/>
              </w:rPr>
              <w:br/>
            </w:r>
            <w:r>
              <w:rPr>
                <w:rFonts w:ascii="方正黑体_GBK" w:hAnsi="方正黑体_GBK" w:cs="宋体" w:eastAsia="方正黑体_GBK"/>
                <w:sz w:val="18"/>
                <w:szCs w:val="18"/>
              </w:rPr>
              <w:t>A3份额/F3份额/Q3份额/R3份额：本次开放期为2026年8月13日9：00至2026年8月19日19：00,下一个开放期为2027年9月17日9：00至2027年9月22日17：00，投资者可以提交或撤销认购/申购/赎回申请。</w:t>
            </w:r>
            <w:r>
              <w:rPr>
                <w:rFonts w:ascii="方正黑体_GBK" w:hAnsi="方正黑体_GBK" w:eastAsia="方正黑体_GBK"/>
              </w:rPr>
              <w:br/>
            </w:r>
            <w:r>
              <w:rPr>
                <w:rFonts w:ascii="方正黑体_GBK" w:hAnsi="方正黑体_GBK" w:cs="宋体" w:eastAsia="方正黑体_GBK"/>
                <w:sz w:val="18"/>
                <w:szCs w:val="18"/>
              </w:rPr>
              <w:t>B5份额/C5份额/D5份额/E5份额/G5份额/I3份额/M3份额/N3份额/S3份额/T3份额/V份额/W份额：本次开放期为2026年8月13日9：00至2026年8月19日19：00，投资者可以提交或撤销认购/申购申请；确认成功的份额均将于下一个开放期（2027年9月17日9：00至2027年9月22日17：00）由系统自动发起赎回申请。产品开放期如有调整以管理人公告为准。</w:t>
            </w:r>
            <w:r>
              <w:rPr>
                <w:rFonts w:ascii="方正黑体_GBK" w:hAnsi="方正黑体_GBK" w:eastAsia="方正黑体_GBK"/>
              </w:rPr>
              <w:br/>
            </w:r>
            <w:r>
              <w:rPr>
                <w:rFonts w:ascii="方正黑体_GBK" w:hAnsi="方正黑体_GBK" w:cs="宋体" w:eastAsia="方正黑体_GBK"/>
                <w:sz w:val="18"/>
                <w:szCs w:val="18"/>
              </w:rPr>
              <w:t>A4份额/F4份额：本次开放期为2026年8月20日9：00至2026年8月26日17：00,下一个开放期为2027年9月23日9：00至2027年9月29日17：00，投资者可以提交或撤销认购/申购/赎回申请。</w:t>
            </w:r>
            <w:r>
              <w:rPr>
                <w:rFonts w:ascii="方正黑体_GBK" w:hAnsi="方正黑体_GBK" w:eastAsia="方正黑体_GBK"/>
              </w:rPr>
              <w:br/>
            </w:r>
            <w:r>
              <w:rPr>
                <w:rFonts w:ascii="方正黑体_GBK" w:hAnsi="方正黑体_GBK" w:cs="宋体" w:eastAsia="方正黑体_GBK"/>
                <w:sz w:val="18"/>
                <w:szCs w:val="18"/>
              </w:rPr>
              <w:t>产品开放期如有调整以管理人公告为准。</w:t>
            </w:r>
            <w:r>
              <w:rPr>
                <w:rFonts w:ascii="方正黑体_GBK" w:hAnsi="方正黑体_GBK" w:eastAsia="方正黑体_GBK"/>
              </w:rPr>
              <w:br/>
            </w:r>
            <w:r>
              <w:rPr>
                <w:rFonts w:ascii="方正黑体_GBK" w:hAnsi="方正黑体_GBK" w:cs="宋体" w:eastAsia="方正黑体_GBK"/>
                <w:sz w:val="18"/>
                <w:szCs w:val="18"/>
              </w:rPr>
              <w:t>在销售机构支持的前提下，认购/申购/赎回开放期末日17:00前可以撤销申请。</w:t>
            </w:r>
            <w:r>
              <w:rPr>
                <w:rFonts w:ascii="方正黑体_GBK" w:hAnsi="方正黑体_GBK" w:eastAsia="方正黑体_GBK"/>
              </w:rPr>
              <w:br/>
            </w:r>
            <w:r>
              <w:rPr>
                <w:rFonts w:ascii="方正黑体_GBK" w:hAnsi="方正黑体_GBK" w:cs="宋体" w:eastAsia="方正黑体_GBK"/>
                <w:sz w:val="18"/>
                <w:szCs w:val="18"/>
              </w:rPr>
              <w:t>代销机构可根据其销售需要在管理人设定的认购/申购/赎回时间范围内对认购/申购/赎回时间进行重新设定，投资者通过代销机构购买本理财产品的，以该代销机构最终披露的时间为准。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jc w:val="left"/>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同业借款：资产类型为南银理财有限责任公司向持牌金融机构发放的同业借款，资产到期日不超过理财产品最近一次开放日，融资人为中国中信金融资产管理股份有限公司。</w:t>
            </w:r>
          </w:p>
          <w:p>
            <w:pPr>
              <w:pStyle w:val="null10"/>
              <w:spacing w:lineRule="exact" w:line="200"/>
            </w:pPr>
            <w:r>
              <w:rPr>
                <w:rFonts w:ascii="方正黑体_GBK" w:hAnsi="方正黑体_GBK" w:cs="宋体" w:eastAsia="方正黑体_GBK"/>
                <w:sz w:val="18"/>
                <w:szCs w:val="18"/>
              </w:rPr>
              <w:t>2.   同业借款：资产类型为南银理财有限责任公司向持牌金融机构发放的同业借款，资产到期日不超过理财产品最近一次开放日，融资人为中国东方资产管理股份有限公司。</w:t>
            </w:r>
          </w:p>
          <w:p>
            <w:pPr>
              <w:pStyle w:val="null10"/>
              <w:spacing w:lineRule="exact" w:line="200"/>
            </w:pPr>
            <w:r>
              <w:rPr>
                <w:rFonts w:ascii="方正黑体_GBK" w:hAnsi="方正黑体_GBK" w:cs="宋体" w:eastAsia="方正黑体_GBK"/>
                <w:sz w:val="18"/>
                <w:szCs w:val="18"/>
              </w:rPr>
              <w:t>3.   同业借款：资产类型为南银理财有限责任公司向持牌金融机构发放的同业借款，资产到期日不超过理财产品最近一次开放日，融资人为中国信达资产管理股份有限公司。</w:t>
            </w:r>
          </w:p>
          <w:p>
            <w:pPr>
              <w:pStyle w:val="null10"/>
              <w:spacing w:lineRule="exact" w:line="200"/>
            </w:pPr>
            <w:r>
              <w:rPr>
                <w:rFonts w:ascii="方正黑体_GBK" w:hAnsi="方正黑体_GBK" w:cs="宋体" w:eastAsia="方正黑体_GBK"/>
                <w:sz w:val="18"/>
                <w:szCs w:val="18"/>
              </w:rPr>
              <w:t>4.   同业借款：资产类型为南银理财有限责任公司向持牌金融机构发放的同业借款，资产到期日不超过理财产品最近一次开放日，融资人为中国长城资产管理股份有限公司。</w:t>
            </w:r>
          </w:p>
          <w:p>
            <w:pPr>
              <w:pStyle w:val="null10"/>
              <w:spacing w:lineRule="exact" w:line="200"/>
            </w:pPr>
            <w:r>
              <w:rPr>
                <w:rFonts w:ascii="方正黑体_GBK" w:hAnsi="方正黑体_GBK" w:cs="宋体" w:eastAsia="方正黑体_GBK"/>
                <w:sz w:val="18"/>
                <w:szCs w:val="18"/>
              </w:rPr>
              <w:t>5.   券商收益凭证：资产类型为证券公司发行的收益凭证，资产到期日不超过理财产品最近一次开放日，融资人为华宝证券股份有限公司，融资人评级为AA+（评级机构为联合资信评估股份有限公司）。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6.   券商收益凭证：资产类型为证券公司发行的收益凭证，资产到期日不超过理财产品最近一次开放日，融资人为上海证券有限责任公司，融资人评级为AAA（评级机构为上海新世纪资信评估投资服务有限公司）。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7.   券商收益凭证：资产类型为证券公司发行的收益凭证，资产到期日不超过理财产品最近一次开放日，融资人为山西证券股份有限公司，融资人评级为AAA（评级机构为中诚信国际信用评级有限责任公司）。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8.   券商收益凭证：资产类型为证券公司发行的收益凭证，资产到期日不超过理财产品最近一次开放日，融资人为中银国际证券股份有限公司，融资人评级为AAA（评级机构为中诚信国际信用评级有限责任公司）。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9.   券商收益凭证：资产类型为证券公司发行的收益凭证，资产到期日不超过理财产品最近一次开放日，融资人为首创证券股份有限公司，融资人评级为AAA（评级机构为中诚信国际信用评级有限责任公司）。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10.  券商收益凭证：资产类型为证券公司发行的收益凭证，资产到期日不超过理财产品最近一次开放日，融资人为国泰海通证券股份有限公司，融资人评级为AAA（评级机构为上海新世纪资信评估投资服务有限公司）。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11.  券商收益凭证：资产类型为证券公司发行的收益凭证，资产到期日不超过理财产品最近一次开放日，融资人为中信证券股份有限公司，融资人评级为AAA（评级机构为中诚信国际信用评级有限责任公司）。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12.  券商收益凭证：资产类型为证券公司发行的收益凭证，资产到期日不超过理财产品最近一次开放日，融资人为华泰证券股份有限公司，融资人评级为AAA（评级机构为上海新世纪资信评估投资服务有限公司）。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13.  券商收益凭证：资产类型为证券公司发行的收益凭证，资产到期日不超过理财产品最近一次开放日，融资人为中信建投证券股份有限公司，融资人评级为AAA（评级机构为中诚信国际信用评级有限责任公司）。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14.  券商收益凭证：资产类型为证券公司发行的收益凭证，资产到期日不超过理财产品最近一次开放日，融资人为中国银河证券股份有限公司，融资人评级为AAA（评级机构为联合资信评估股份有限公司）。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15.  券商收益凭证：资产类型为证券公司发行的收益凭证，资产到期日不超过理财产品最近一次开放日，融资人为申万宏源证券有限公司，融资人评级为AAA（评级机构为联合资信评估股份有限公司）。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16.  券商收益凭证：资产类型为证券公司发行的收益凭证，资产到期日不超过理财产品最近一次开放日，融资人为中国国际金融股份有限公司，融资人评级为AAA（评级机构为中诚信国际信用评级有限责任公司）。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17.  券商收益凭证：资产类型为证券公司发行的收益凭证，资产到期日不超过理财产品最近一次开放日，融资人为招商证券股份有限公司，融资人评级为AAA（评级机构为联合资信评估股份有限公司）。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18.  券商收益凭证：资产类型为证券公司发行的收益凭证，资产到期日不超过理财产品最近一次开放日，融资人为平安证券股份有限公司，融资人评级为AAA（评级机构为中诚信国际信用评级有限责任公司）。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  券商收益凭证：资产类型为证券公司发行的收益凭证，资产到期日不超过理财产品最近一次开放日，融资人为广发证券股份有限公司，融资人评级为AAA（评级机构为中诚信国际信用评级有限责任公司）。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  券商收益凭证：资产类型为证券公司发行的收益凭证，资产到期日不超过理财产品最近一次开放日，融资人为国信证券股份有限公司，融资人评级为AAA（评级机构为中诚信国际信用评级有限责任公司）。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  券商收益凭证：资产类型为证券公司发行的收益凭证，资产到期日不超过理财产品最近一次开放日，融资人为兴业证券股份有限公司，融资人评级为AAA（评级机构为联合资信评估股份有限公司）。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22.  券商收益凭证：资产类型为证券公司发行的收益凭证，资产到期日不超过理财产品最近一次开放日，融资人为光大证券股份有限公司，融资人评级为AAA（评级机构为联合资信评估股份有限公司）。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23.  券商收益凭证：资产类型为证券公司发行的收益凭证，资产到期日不超过理财产品最近一次开放日，融资人为华鑫证券有限责任公司，融资人评级为AA+（评级机构为上海新世纪资信评估投资服务有限公司）。</w:t>
            </w:r>
          </w:p>
          <w:p>
            <w:pPr>
              <w:pStyle w:val="null10"/>
              <w:spacing w:lineRule="exact" w:line="200"/>
            </w:pPr>
            <w:r>
              <w:rPr>
                <w:rFonts w:ascii="方正黑体_GBK" w:hAnsi="方正黑体_GBK" w:cs="宋体" w:eastAsia="方正黑体_GBK"/>
                <w:sz w:val="18"/>
                <w:szCs w:val="18"/>
              </w:rPr>
              <w:t>24.  券商收益凭证：资产类型为证券公司发行的收益凭证，资产到期日不超过理财产品最近一次开放日，融资人为财通证券股份有限公司，融资人评级为AAA（评级机构为中诚信国际信用评级有限责任公司）。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25.  券商收益凭证：资产类型为证券公司发行的收益凭证，资产到期日不超过理财产品最近一次开放日，融资人为长江证券股份有限公司，融资人评级为AAA（评级机构为联合资信评估股份有限公司）。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26.  券商收益凭证：资产类型为证券公司发行的收益凭证，资产到期日不超过理财产品最近一次开放日，融资人为国金证券股份有限公司，融资人评级为AAA（评级机构为上海新世纪资信评估投资服务有限公司）。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27.  券商收益凭证：资产类型为证券公司发行的收益凭证，资产到期日不超过理财产品最近一次开放日，融资人为东方证券股份有限公司，融资人评级为AAA（评级机构为中诚信国际信用评级有限责任公司）。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28.  券商收益凭证：资产类型为证券公司发行的收益凭证，资产到期日不超过理财产品最近一次开放日，融资人为国投证券股份有限公司，融资人评级为AAA（评级机构为联合资信评估股份有限公司）。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A份额：业绩比较基准为年化2.45%-2.7% 。</w:t>
            </w:r>
          </w:p>
          <w:p>
            <w:pPr>
              <w:pStyle w:val="null10"/>
              <w:spacing w:lineRule="exact" w:line="200"/>
            </w:pPr>
            <w:r>
              <w:rPr>
                <w:rFonts w:ascii="方正黑体_GBK" w:hAnsi="方正黑体_GBK" w:cs="宋体" w:eastAsia="方正黑体_GBK"/>
                <w:sz w:val="18"/>
                <w:szCs w:val="18"/>
              </w:rPr>
              <w:t>F份额：业绩比较基准为年化2.55%-2.8% 。</w:t>
            </w:r>
          </w:p>
          <w:p>
            <w:pPr>
              <w:pStyle w:val="null10"/>
              <w:spacing w:lineRule="exact" w:line="200"/>
            </w:pPr>
            <w:r>
              <w:rPr>
                <w:rFonts w:ascii="方正黑体_GBK" w:hAnsi="方正黑体_GBK" w:cs="宋体" w:eastAsia="方正黑体_GBK"/>
                <w:sz w:val="18"/>
                <w:szCs w:val="18"/>
              </w:rPr>
              <w:t>A2份额：业绩比较基准为年化2.45%-2.7% 。</w:t>
            </w:r>
          </w:p>
          <w:p>
            <w:pPr>
              <w:pStyle w:val="null10"/>
              <w:spacing w:lineRule="exact" w:line="200"/>
            </w:pPr>
            <w:r>
              <w:rPr>
                <w:rFonts w:ascii="方正黑体_GBK" w:hAnsi="方正黑体_GBK" w:cs="宋体" w:eastAsia="方正黑体_GBK"/>
                <w:sz w:val="18"/>
                <w:szCs w:val="18"/>
              </w:rPr>
              <w:t>A3份额：业绩比较基准为年化2.45%-2.7% 。</w:t>
            </w:r>
          </w:p>
          <w:p>
            <w:pPr>
              <w:pStyle w:val="null10"/>
              <w:spacing w:lineRule="exact" w:line="200"/>
            </w:pPr>
            <w:r>
              <w:rPr>
                <w:rFonts w:ascii="方正黑体_GBK" w:hAnsi="方正黑体_GBK" w:cs="宋体" w:eastAsia="方正黑体_GBK"/>
                <w:sz w:val="18"/>
                <w:szCs w:val="18"/>
              </w:rPr>
              <w:t>A4份额：业绩比较基准为年化2.45%-2.7% 。</w:t>
            </w:r>
          </w:p>
          <w:p>
            <w:pPr>
              <w:pStyle w:val="null10"/>
              <w:spacing w:lineRule="exact" w:line="200"/>
            </w:pPr>
            <w:r>
              <w:rPr>
                <w:rFonts w:ascii="方正黑体_GBK" w:hAnsi="方正黑体_GBK" w:cs="宋体" w:eastAsia="方正黑体_GBK"/>
                <w:sz w:val="18"/>
                <w:szCs w:val="18"/>
              </w:rPr>
              <w:t>F2份额：业绩比较基准为年化2.55%-2.8% 。</w:t>
            </w:r>
          </w:p>
          <w:p>
            <w:pPr>
              <w:pStyle w:val="null10"/>
              <w:spacing w:lineRule="exact" w:line="200"/>
            </w:pPr>
            <w:r>
              <w:rPr>
                <w:rFonts w:ascii="方正黑体_GBK" w:hAnsi="方正黑体_GBK" w:cs="宋体" w:eastAsia="方正黑体_GBK"/>
                <w:sz w:val="18"/>
                <w:szCs w:val="18"/>
              </w:rPr>
              <w:t>F3份额：业绩比较基准为年化2.55%-2.8% 。</w:t>
            </w:r>
          </w:p>
          <w:p>
            <w:pPr>
              <w:pStyle w:val="null10"/>
              <w:spacing w:lineRule="exact" w:line="200"/>
            </w:pPr>
            <w:r>
              <w:rPr>
                <w:rFonts w:ascii="方正黑体_GBK" w:hAnsi="方正黑体_GBK" w:cs="宋体" w:eastAsia="方正黑体_GBK"/>
                <w:sz w:val="18"/>
                <w:szCs w:val="18"/>
              </w:rPr>
              <w:t>F4份额：业绩比较基准为年化2.55%-2.8% 。</w:t>
            </w:r>
          </w:p>
          <w:p>
            <w:pPr>
              <w:pStyle w:val="null10"/>
              <w:spacing w:lineRule="exact" w:line="200"/>
            </w:pPr>
            <w:r>
              <w:rPr>
                <w:rFonts w:ascii="方正黑体_GBK" w:hAnsi="方正黑体_GBK" w:cs="宋体" w:eastAsia="方正黑体_GBK"/>
                <w:sz w:val="18"/>
                <w:szCs w:val="18"/>
              </w:rPr>
              <w:t>I3份额：业绩比较基准为年化2.65%-2.9% 。</w:t>
            </w:r>
          </w:p>
          <w:p>
            <w:pPr>
              <w:pStyle w:val="null10"/>
              <w:spacing w:lineRule="exact" w:line="200"/>
            </w:pPr>
            <w:r>
              <w:rPr>
                <w:rFonts w:ascii="方正黑体_GBK" w:hAnsi="方正黑体_GBK" w:cs="宋体" w:eastAsia="方正黑体_GBK"/>
                <w:sz w:val="18"/>
                <w:szCs w:val="18"/>
              </w:rPr>
              <w:t>M3份额：业绩比较基准为年化2.45%-2.7% 。</w:t>
            </w:r>
          </w:p>
          <w:p>
            <w:pPr>
              <w:pStyle w:val="null10"/>
              <w:spacing w:lineRule="exact" w:line="200"/>
            </w:pPr>
            <w:r>
              <w:rPr>
                <w:rFonts w:ascii="方正黑体_GBK" w:hAnsi="方正黑体_GBK" w:cs="宋体" w:eastAsia="方正黑体_GBK"/>
                <w:sz w:val="18"/>
                <w:szCs w:val="18"/>
              </w:rPr>
              <w:t>N3份额：业绩比较基准为年化2.7%-2.95% 。</w:t>
            </w:r>
          </w:p>
          <w:p>
            <w:pPr>
              <w:pStyle w:val="null10"/>
              <w:spacing w:lineRule="exact" w:line="200"/>
            </w:pPr>
            <w:r>
              <w:rPr>
                <w:rFonts w:ascii="方正黑体_GBK" w:hAnsi="方正黑体_GBK" w:cs="宋体" w:eastAsia="方正黑体_GBK"/>
                <w:sz w:val="18"/>
                <w:szCs w:val="18"/>
              </w:rPr>
              <w:t>Q3份额：业绩比较基准为年化2.45%-2.7% 。</w:t>
            </w:r>
          </w:p>
          <w:p>
            <w:pPr>
              <w:pStyle w:val="null10"/>
              <w:spacing w:lineRule="exact" w:line="200"/>
            </w:pPr>
            <w:r>
              <w:rPr>
                <w:rFonts w:ascii="方正黑体_GBK" w:hAnsi="方正黑体_GBK" w:cs="宋体" w:eastAsia="方正黑体_GBK"/>
                <w:sz w:val="18"/>
                <w:szCs w:val="18"/>
              </w:rPr>
              <w:t>R3份额：业绩比较基准为年化2.65%-2.9% 。</w:t>
            </w:r>
          </w:p>
          <w:p>
            <w:pPr>
              <w:pStyle w:val="null10"/>
              <w:spacing w:lineRule="exact" w:line="200"/>
            </w:pPr>
            <w:r>
              <w:rPr>
                <w:rFonts w:ascii="方正黑体_GBK" w:hAnsi="方正黑体_GBK" w:cs="宋体" w:eastAsia="方正黑体_GBK"/>
                <w:sz w:val="18"/>
                <w:szCs w:val="18"/>
              </w:rPr>
              <w:t>J1份额：业绩比较基准为年化2.6%-2.85% 。</w:t>
            </w:r>
          </w:p>
          <w:p>
            <w:pPr>
              <w:pStyle w:val="null10"/>
              <w:spacing w:lineRule="exact" w:line="200"/>
            </w:pPr>
            <w:r>
              <w:rPr>
                <w:rFonts w:ascii="方正黑体_GBK" w:hAnsi="方正黑体_GBK" w:cs="宋体" w:eastAsia="方正黑体_GBK"/>
                <w:sz w:val="18"/>
                <w:szCs w:val="18"/>
              </w:rPr>
              <w:t>L1份额：业绩比较基准为年化2.7%-2.95% 。</w:t>
            </w:r>
          </w:p>
          <w:p>
            <w:pPr>
              <w:pStyle w:val="null10"/>
              <w:spacing w:lineRule="exact" w:line="200"/>
            </w:pPr>
            <w:r>
              <w:rPr>
                <w:rFonts w:ascii="方正黑体_GBK" w:hAnsi="方正黑体_GBK" w:cs="宋体" w:eastAsia="方正黑体_GBK"/>
                <w:sz w:val="18"/>
                <w:szCs w:val="18"/>
              </w:rPr>
              <w:t>S3份额：业绩比较基准为年化2.6%-2.85% 。</w:t>
            </w:r>
          </w:p>
          <w:p>
            <w:pPr>
              <w:pStyle w:val="null10"/>
              <w:spacing w:lineRule="exact" w:line="200"/>
            </w:pPr>
            <w:r>
              <w:rPr>
                <w:rFonts w:ascii="方正黑体_GBK" w:hAnsi="方正黑体_GBK" w:cs="宋体" w:eastAsia="方正黑体_GBK"/>
                <w:sz w:val="18"/>
                <w:szCs w:val="18"/>
              </w:rPr>
              <w:t>T3份额：业绩比较基准为年化2.6%-2.85% 。</w:t>
            </w:r>
          </w:p>
          <w:p>
            <w:pPr>
              <w:pStyle w:val="null10"/>
              <w:spacing w:lineRule="exact" w:line="200"/>
            </w:pPr>
            <w:r>
              <w:rPr>
                <w:rFonts w:ascii="方正黑体_GBK" w:hAnsi="方正黑体_GBK" w:cs="宋体" w:eastAsia="方正黑体_GBK"/>
                <w:sz w:val="18"/>
                <w:szCs w:val="18"/>
              </w:rPr>
              <w:t>B5份额：业绩比较基准为年化2.45%-2.7% 。</w:t>
            </w:r>
          </w:p>
          <w:p>
            <w:pPr>
              <w:pStyle w:val="null10"/>
              <w:spacing w:lineRule="exact" w:line="200"/>
            </w:pPr>
            <w:r>
              <w:rPr>
                <w:rFonts w:ascii="方正黑体_GBK" w:hAnsi="方正黑体_GBK" w:cs="宋体" w:eastAsia="方正黑体_GBK"/>
                <w:sz w:val="18"/>
                <w:szCs w:val="18"/>
              </w:rPr>
              <w:t>C5份额：业绩比较基准为年化2.5%-2.75% 。</w:t>
            </w:r>
          </w:p>
          <w:p>
            <w:pPr>
              <w:pStyle w:val="null10"/>
              <w:spacing w:lineRule="exact" w:line="200"/>
            </w:pPr>
            <w:r>
              <w:rPr>
                <w:rFonts w:ascii="方正黑体_GBK" w:hAnsi="方正黑体_GBK" w:cs="宋体" w:eastAsia="方正黑体_GBK"/>
                <w:sz w:val="18"/>
                <w:szCs w:val="18"/>
              </w:rPr>
              <w:t>D5份额：业绩比较基准为年化2.55%-2.8% 。</w:t>
            </w:r>
          </w:p>
          <w:p>
            <w:pPr>
              <w:pStyle w:val="null10"/>
              <w:spacing w:lineRule="exact" w:line="200"/>
            </w:pPr>
            <w:r>
              <w:rPr>
                <w:rFonts w:ascii="方正黑体_GBK" w:hAnsi="方正黑体_GBK" w:cs="宋体" w:eastAsia="方正黑体_GBK"/>
                <w:sz w:val="18"/>
                <w:szCs w:val="18"/>
              </w:rPr>
              <w:t>E5份额：业绩比较基准为年化2.65%-2.9% 。</w:t>
            </w:r>
          </w:p>
          <w:p>
            <w:pPr>
              <w:pStyle w:val="null10"/>
              <w:spacing w:lineRule="exact" w:line="200"/>
            </w:pPr>
            <w:r>
              <w:rPr>
                <w:rFonts w:ascii="方正黑体_GBK" w:hAnsi="方正黑体_GBK" w:cs="宋体" w:eastAsia="方正黑体_GBK"/>
                <w:sz w:val="18"/>
                <w:szCs w:val="18"/>
              </w:rPr>
              <w:t>V份额：业绩比较基准为年化2.7%-2.95% 。</w:t>
            </w:r>
          </w:p>
          <w:p>
            <w:pPr>
              <w:pStyle w:val="null10"/>
              <w:spacing w:lineRule="exact" w:line="200"/>
            </w:pPr>
            <w:r>
              <w:rPr>
                <w:rFonts w:ascii="方正黑体_GBK" w:hAnsi="方正黑体_GBK" w:cs="宋体" w:eastAsia="方正黑体_GBK"/>
                <w:sz w:val="18"/>
                <w:szCs w:val="18"/>
              </w:rPr>
              <w:t>W份额：业绩比较基准为年化2.55%-2.8% 。</w:t>
            </w:r>
          </w:p>
          <w:p>
            <w:pPr>
              <w:pStyle w:val="null10"/>
              <w:spacing w:lineRule="exact" w:line="200"/>
            </w:pPr>
            <w:r>
              <w:rPr>
                <w:rFonts w:ascii="方正黑体_GBK" w:hAnsi="方正黑体_GBK" w:cs="宋体" w:eastAsia="方正黑体_GBK"/>
                <w:sz w:val="18"/>
                <w:szCs w:val="18"/>
              </w:rPr>
              <w:t>G5份额：业绩比较基准为年化2.6%-2.85%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A2份额：销售费年化0.2%</w:t>
            </w:r>
          </w:p>
          <w:p>
            <w:pPr>
              <w:pStyle w:val="null10"/>
              <w:spacing w:lineRule="exact" w:line="200"/>
            </w:pPr>
            <w:r>
              <w:rPr>
                <w:rFonts w:ascii="方正黑体_GBK" w:hAnsi="方正黑体_GBK" w:cs="宋体" w:eastAsia="方正黑体_GBK"/>
                <w:sz w:val="18"/>
                <w:b/>
                <w:szCs w:val="18"/>
              </w:rPr>
              <w:t>A3份额：销售费年化0.2%</w:t>
            </w:r>
          </w:p>
          <w:p>
            <w:pPr>
              <w:pStyle w:val="null10"/>
              <w:spacing w:lineRule="exact" w:line="200"/>
            </w:pPr>
            <w:r>
              <w:rPr>
                <w:rFonts w:ascii="方正黑体_GBK" w:hAnsi="方正黑体_GBK" w:cs="宋体" w:eastAsia="方正黑体_GBK"/>
                <w:sz w:val="18"/>
                <w:b/>
                <w:szCs w:val="18"/>
              </w:rPr>
              <w:t>A4份额：销售费年化0.2%</w:t>
            </w:r>
          </w:p>
          <w:p>
            <w:pPr>
              <w:pStyle w:val="null10"/>
              <w:spacing w:lineRule="exact" w:line="200"/>
            </w:pPr>
            <w:r>
              <w:rPr>
                <w:rFonts w:ascii="方正黑体_GBK" w:hAnsi="方正黑体_GBK" w:cs="宋体" w:eastAsia="方正黑体_GBK"/>
                <w:sz w:val="18"/>
                <w:b/>
                <w:szCs w:val="18"/>
              </w:rPr>
              <w:t>F2份额：销售费年化0.15%</w:t>
            </w:r>
          </w:p>
          <w:p>
            <w:pPr>
              <w:pStyle w:val="null10"/>
              <w:spacing w:lineRule="exact" w:line="200"/>
            </w:pPr>
            <w:r>
              <w:rPr>
                <w:rFonts w:ascii="方正黑体_GBK" w:hAnsi="方正黑体_GBK" w:cs="宋体" w:eastAsia="方正黑体_GBK"/>
                <w:sz w:val="18"/>
                <w:b/>
                <w:szCs w:val="18"/>
              </w:rPr>
              <w:t>F3份额：销售费年化0.15%</w:t>
            </w:r>
          </w:p>
          <w:p>
            <w:pPr>
              <w:pStyle w:val="null10"/>
              <w:spacing w:lineRule="exact" w:line="200"/>
            </w:pPr>
            <w:r>
              <w:rPr>
                <w:rFonts w:ascii="方正黑体_GBK" w:hAnsi="方正黑体_GBK" w:cs="宋体" w:eastAsia="方正黑体_GBK"/>
                <w:sz w:val="18"/>
                <w:b/>
                <w:szCs w:val="18"/>
              </w:rPr>
              <w:t>F4份额：销售费年化0.15%</w:t>
            </w:r>
          </w:p>
          <w:p>
            <w:pPr>
              <w:pStyle w:val="null10"/>
              <w:spacing w:lineRule="exact" w:line="200"/>
            </w:pPr>
            <w:r>
              <w:rPr>
                <w:rFonts w:ascii="方正黑体_GBK" w:hAnsi="方正黑体_GBK" w:cs="宋体" w:eastAsia="方正黑体_GBK"/>
                <w:sz w:val="18"/>
                <w:b/>
                <w:szCs w:val="18"/>
              </w:rPr>
              <w:t>I3份额：销售费年化0.1%</w:t>
            </w:r>
          </w:p>
          <w:p>
            <w:pPr>
              <w:pStyle w:val="null10"/>
              <w:spacing w:lineRule="exact" w:line="200"/>
            </w:pPr>
            <w:r>
              <w:rPr>
                <w:rFonts w:ascii="方正黑体_GBK" w:hAnsi="方正黑体_GBK" w:cs="宋体" w:eastAsia="方正黑体_GBK"/>
                <w:sz w:val="18"/>
                <w:b/>
                <w:szCs w:val="18"/>
              </w:rPr>
              <w:t>M3份额：销售费年化0.2%</w:t>
            </w:r>
          </w:p>
          <w:p>
            <w:pPr>
              <w:pStyle w:val="null10"/>
              <w:spacing w:lineRule="exact" w:line="200"/>
            </w:pPr>
            <w:r>
              <w:rPr>
                <w:rFonts w:ascii="方正黑体_GBK" w:hAnsi="方正黑体_GBK" w:cs="宋体" w:eastAsia="方正黑体_GBK"/>
                <w:sz w:val="18"/>
                <w:b/>
                <w:szCs w:val="18"/>
              </w:rPr>
              <w:t>N3份额：销售费年化0.05%</w:t>
            </w:r>
          </w:p>
          <w:p>
            <w:pPr>
              <w:pStyle w:val="null10"/>
              <w:spacing w:lineRule="exact" w:line="200"/>
            </w:pPr>
            <w:r>
              <w:rPr>
                <w:rFonts w:ascii="方正黑体_GBK" w:hAnsi="方正黑体_GBK" w:cs="宋体" w:eastAsia="方正黑体_GBK"/>
                <w:sz w:val="18"/>
                <w:b/>
                <w:szCs w:val="18"/>
              </w:rPr>
              <w:t>Q3份额：销售费年化0.2%</w:t>
            </w:r>
          </w:p>
          <w:p>
            <w:pPr>
              <w:pStyle w:val="null10"/>
              <w:spacing w:lineRule="exact" w:line="200"/>
            </w:pPr>
            <w:r>
              <w:rPr>
                <w:rFonts w:ascii="方正黑体_GBK" w:hAnsi="方正黑体_GBK" w:cs="宋体" w:eastAsia="方正黑体_GBK"/>
                <w:sz w:val="18"/>
                <w:b/>
                <w:szCs w:val="18"/>
              </w:rPr>
              <w:t>R3份额：销售费年化0.05%</w:t>
            </w:r>
          </w:p>
          <w:p>
            <w:pPr>
              <w:pStyle w:val="null10"/>
              <w:spacing w:lineRule="exact" w:line="200"/>
            </w:pPr>
            <w:r>
              <w:rPr>
                <w:rFonts w:ascii="方正黑体_GBK" w:hAnsi="方正黑体_GBK" w:cs="宋体" w:eastAsia="方正黑体_GBK"/>
                <w:sz w:val="18"/>
                <w:b/>
                <w:szCs w:val="18"/>
              </w:rPr>
              <w:t>J1份额：销售费年化0.15%</w:t>
            </w:r>
          </w:p>
          <w:p>
            <w:pPr>
              <w:pStyle w:val="null10"/>
              <w:spacing w:lineRule="exact" w:line="200"/>
            </w:pPr>
            <w:r>
              <w:rPr>
                <w:rFonts w:ascii="方正黑体_GBK" w:hAnsi="方正黑体_GBK" w:cs="宋体" w:eastAsia="方正黑体_GBK"/>
                <w:sz w:val="18"/>
                <w:b/>
                <w:szCs w:val="18"/>
              </w:rPr>
              <w:t>L1份额：销售费年化0.05%</w:t>
            </w:r>
          </w:p>
          <w:p>
            <w:pPr>
              <w:pStyle w:val="null10"/>
              <w:spacing w:lineRule="exact" w:line="200"/>
            </w:pPr>
            <w:r>
              <w:rPr>
                <w:rFonts w:ascii="方正黑体_GBK" w:hAnsi="方正黑体_GBK" w:cs="宋体" w:eastAsia="方正黑体_GBK"/>
                <w:sz w:val="18"/>
                <w:b/>
                <w:szCs w:val="18"/>
              </w:rPr>
              <w:t>S3份额：销售费年化0.1%</w:t>
            </w:r>
          </w:p>
          <w:p>
            <w:pPr>
              <w:pStyle w:val="null10"/>
              <w:spacing w:lineRule="exact" w:line="200"/>
            </w:pPr>
            <w:r>
              <w:rPr>
                <w:rFonts w:ascii="方正黑体_GBK" w:hAnsi="方正黑体_GBK" w:cs="宋体" w:eastAsia="方正黑体_GBK"/>
                <w:sz w:val="18"/>
                <w:b/>
                <w:szCs w:val="18"/>
              </w:rPr>
              <w:t>T3份额：销售费年化0.1%</w:t>
            </w:r>
          </w:p>
          <w:p>
            <w:pPr>
              <w:pStyle w:val="null10"/>
              <w:spacing w:lineRule="exact" w:line="200"/>
            </w:pPr>
            <w:r>
              <w:rPr>
                <w:rFonts w:ascii="方正黑体_GBK" w:hAnsi="方正黑体_GBK" w:cs="宋体" w:eastAsia="方正黑体_GBK"/>
                <w:sz w:val="18"/>
                <w:b/>
                <w:szCs w:val="18"/>
              </w:rPr>
              <w:t>B5份额：销售费年化0.2%</w:t>
            </w:r>
          </w:p>
          <w:p>
            <w:pPr>
              <w:pStyle w:val="null10"/>
              <w:spacing w:lineRule="exact" w:line="200"/>
            </w:pPr>
            <w:r>
              <w:rPr>
                <w:rFonts w:ascii="方正黑体_GBK" w:hAnsi="方正黑体_GBK" w:cs="宋体" w:eastAsia="方正黑体_GBK"/>
                <w:sz w:val="18"/>
                <w:b/>
                <w:szCs w:val="18"/>
              </w:rPr>
              <w:t>C5份额：销售费年化0.15%</w:t>
            </w:r>
          </w:p>
          <w:p>
            <w:pPr>
              <w:pStyle w:val="null10"/>
              <w:spacing w:lineRule="exact" w:line="200"/>
            </w:pPr>
            <w:r>
              <w:rPr>
                <w:rFonts w:ascii="方正黑体_GBK" w:hAnsi="方正黑体_GBK" w:cs="宋体" w:eastAsia="方正黑体_GBK"/>
                <w:sz w:val="18"/>
                <w:b/>
                <w:szCs w:val="18"/>
              </w:rPr>
              <w:t>D5份额：销售费年化0.15%</w:t>
            </w:r>
          </w:p>
          <w:p>
            <w:pPr>
              <w:pStyle w:val="null10"/>
              <w:spacing w:lineRule="exact" w:line="200"/>
            </w:pPr>
            <w:r>
              <w:rPr>
                <w:rFonts w:ascii="方正黑体_GBK" w:hAnsi="方正黑体_GBK" w:cs="宋体" w:eastAsia="方正黑体_GBK"/>
                <w:sz w:val="18"/>
                <w:b/>
                <w:szCs w:val="18"/>
              </w:rPr>
              <w:t>E5份额：销售费年化0.05%</w:t>
            </w:r>
          </w:p>
          <w:p>
            <w:pPr>
              <w:pStyle w:val="null10"/>
              <w:spacing w:lineRule="exact" w:line="200"/>
            </w:pPr>
            <w:r>
              <w:rPr>
                <w:rFonts w:ascii="方正黑体_GBK" w:hAnsi="方正黑体_GBK" w:cs="宋体" w:eastAsia="方正黑体_GBK"/>
                <w:sz w:val="18"/>
                <w:b/>
                <w:szCs w:val="18"/>
              </w:rPr>
              <w:t>V份额：销售费年化0.05%</w:t>
            </w:r>
          </w:p>
          <w:p>
            <w:pPr>
              <w:pStyle w:val="null10"/>
              <w:spacing w:lineRule="exact" w:line="200"/>
            </w:pPr>
            <w:r>
              <w:rPr>
                <w:rFonts w:ascii="方正黑体_GBK" w:hAnsi="方正黑体_GBK" w:cs="宋体" w:eastAsia="方正黑体_GBK"/>
                <w:sz w:val="18"/>
                <w:b/>
                <w:szCs w:val="18"/>
              </w:rPr>
              <w:t>W份额：销售费年化0.15%</w:t>
            </w:r>
          </w:p>
          <w:p>
            <w:pPr>
              <w:pStyle w:val="null10"/>
              <w:spacing w:lineRule="exact" w:line="200"/>
            </w:pPr>
            <w:r>
              <w:rPr>
                <w:rFonts w:ascii="方正黑体_GBK" w:hAnsi="方正黑体_GBK" w:cs="宋体" w:eastAsia="方正黑体_GBK"/>
                <w:sz w:val="18"/>
                <w:b/>
                <w:szCs w:val="18"/>
              </w:rPr>
              <w:t>G5份额：销售费年化0.1%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A3份额：固定管理费年化0.2%</w:t>
            </w:r>
          </w:p>
          <w:p>
            <w:pPr>
              <w:pStyle w:val="null10"/>
              <w:spacing w:lineRule="exact" w:line="200"/>
            </w:pPr>
            <w:r>
              <w:rPr>
                <w:rFonts w:ascii="方正黑体_GBK" w:hAnsi="方正黑体_GBK" w:cs="宋体" w:eastAsia="方正黑体_GBK"/>
                <w:sz w:val="18"/>
                <w:b/>
                <w:szCs w:val="18"/>
              </w:rPr>
              <w:t>A4份额：固定管理费年化0.2%</w:t>
            </w:r>
          </w:p>
          <w:p>
            <w:pPr>
              <w:pStyle w:val="null10"/>
              <w:spacing w:lineRule="exact" w:line="200"/>
            </w:pPr>
            <w:r>
              <w:rPr>
                <w:rFonts w:ascii="方正黑体_GBK" w:hAnsi="方正黑体_GBK" w:cs="宋体" w:eastAsia="方正黑体_GBK"/>
                <w:sz w:val="18"/>
                <w:b/>
                <w:szCs w:val="18"/>
              </w:rPr>
              <w:t>F2份额：固定管理费年化0.15%</w:t>
            </w:r>
          </w:p>
          <w:p>
            <w:pPr>
              <w:pStyle w:val="null10"/>
              <w:spacing w:lineRule="exact" w:line="200"/>
            </w:pPr>
            <w:r>
              <w:rPr>
                <w:rFonts w:ascii="方正黑体_GBK" w:hAnsi="方正黑体_GBK" w:cs="宋体" w:eastAsia="方正黑体_GBK"/>
                <w:sz w:val="18"/>
                <w:b/>
                <w:szCs w:val="18"/>
              </w:rPr>
              <w:t>F3份额：固定管理费年化0.15%</w:t>
            </w:r>
          </w:p>
          <w:p>
            <w:pPr>
              <w:pStyle w:val="null10"/>
              <w:spacing w:lineRule="exact" w:line="200"/>
            </w:pPr>
            <w:r>
              <w:rPr>
                <w:rFonts w:ascii="方正黑体_GBK" w:hAnsi="方正黑体_GBK" w:cs="宋体" w:eastAsia="方正黑体_GBK"/>
                <w:sz w:val="18"/>
                <w:b/>
                <w:szCs w:val="18"/>
              </w:rPr>
              <w:t>F4份额：固定管理费年化0.15%</w:t>
            </w:r>
          </w:p>
          <w:p>
            <w:pPr>
              <w:pStyle w:val="null10"/>
              <w:spacing w:lineRule="exact" w:line="200"/>
            </w:pPr>
            <w:r>
              <w:rPr>
                <w:rFonts w:ascii="方正黑体_GBK" w:hAnsi="方正黑体_GBK" w:cs="宋体" w:eastAsia="方正黑体_GBK"/>
                <w:sz w:val="18"/>
                <w:b/>
                <w:szCs w:val="18"/>
              </w:rPr>
              <w:t>I3份额：固定管理费年化0.1%</w:t>
            </w:r>
          </w:p>
          <w:p>
            <w:pPr>
              <w:pStyle w:val="null10"/>
              <w:spacing w:lineRule="exact" w:line="200"/>
            </w:pPr>
            <w:r>
              <w:rPr>
                <w:rFonts w:ascii="方正黑体_GBK" w:hAnsi="方正黑体_GBK" w:cs="宋体" w:eastAsia="方正黑体_GBK"/>
                <w:sz w:val="18"/>
                <w:b/>
                <w:szCs w:val="18"/>
              </w:rPr>
              <w:t>M3份额：固定管理费年化0.2%</w:t>
            </w:r>
          </w:p>
          <w:p>
            <w:pPr>
              <w:pStyle w:val="null10"/>
              <w:spacing w:lineRule="exact" w:line="200"/>
            </w:pPr>
            <w:r>
              <w:rPr>
                <w:rFonts w:ascii="方正黑体_GBK" w:hAnsi="方正黑体_GBK" w:cs="宋体" w:eastAsia="方正黑体_GBK"/>
                <w:sz w:val="18"/>
                <w:b/>
                <w:szCs w:val="18"/>
              </w:rPr>
              <w:t>N3份额：固定管理费年化0.1%</w:t>
            </w:r>
          </w:p>
          <w:p>
            <w:pPr>
              <w:pStyle w:val="null10"/>
              <w:spacing w:lineRule="exact" w:line="200"/>
            </w:pPr>
            <w:r>
              <w:rPr>
                <w:rFonts w:ascii="方正黑体_GBK" w:hAnsi="方正黑体_GBK" w:cs="宋体" w:eastAsia="方正黑体_GBK"/>
                <w:sz w:val="18"/>
                <w:b/>
                <w:szCs w:val="18"/>
              </w:rPr>
              <w:t>Q3份额：固定管理费年化0.2%</w:t>
            </w:r>
          </w:p>
          <w:p>
            <w:pPr>
              <w:pStyle w:val="null10"/>
              <w:spacing w:lineRule="exact" w:line="200"/>
            </w:pPr>
            <w:r>
              <w:rPr>
                <w:rFonts w:ascii="方正黑体_GBK" w:hAnsi="方正黑体_GBK" w:cs="宋体" w:eastAsia="方正黑体_GBK"/>
                <w:sz w:val="18"/>
                <w:b/>
                <w:szCs w:val="18"/>
              </w:rPr>
              <w:t>R3份额：固定管理费年化0.15%</w:t>
            </w:r>
          </w:p>
          <w:p>
            <w:pPr>
              <w:pStyle w:val="null10"/>
              <w:spacing w:lineRule="exact" w:line="200"/>
            </w:pPr>
            <w:r>
              <w:rPr>
                <w:rFonts w:ascii="方正黑体_GBK" w:hAnsi="方正黑体_GBK" w:cs="宋体" w:eastAsia="方正黑体_GBK"/>
                <w:sz w:val="18"/>
                <w:b/>
                <w:szCs w:val="18"/>
              </w:rPr>
              <w:t>J1份额：固定管理费年化0.1%</w:t>
            </w:r>
          </w:p>
          <w:p>
            <w:pPr>
              <w:pStyle w:val="null10"/>
              <w:spacing w:lineRule="exact" w:line="200"/>
            </w:pPr>
            <w:r>
              <w:rPr>
                <w:rFonts w:ascii="方正黑体_GBK" w:hAnsi="方正黑体_GBK" w:cs="宋体" w:eastAsia="方正黑体_GBK"/>
                <w:sz w:val="18"/>
                <w:b/>
                <w:szCs w:val="18"/>
              </w:rPr>
              <w:t>L1份额：固定管理费年化0.1%</w:t>
            </w:r>
          </w:p>
          <w:p>
            <w:pPr>
              <w:pStyle w:val="null10"/>
              <w:spacing w:lineRule="exact" w:line="200"/>
            </w:pPr>
            <w:r>
              <w:rPr>
                <w:rFonts w:ascii="方正黑体_GBK" w:hAnsi="方正黑体_GBK" w:cs="宋体" w:eastAsia="方正黑体_GBK"/>
                <w:sz w:val="18"/>
                <w:b/>
                <w:szCs w:val="18"/>
              </w:rPr>
              <w:t>S3份额：固定管理费年化0.15%</w:t>
            </w:r>
          </w:p>
          <w:p>
            <w:pPr>
              <w:pStyle w:val="null10"/>
              <w:spacing w:lineRule="exact" w:line="200"/>
            </w:pPr>
            <w:r>
              <w:rPr>
                <w:rFonts w:ascii="方正黑体_GBK" w:hAnsi="方正黑体_GBK" w:cs="宋体" w:eastAsia="方正黑体_GBK"/>
                <w:sz w:val="18"/>
                <w:b/>
                <w:szCs w:val="18"/>
              </w:rPr>
              <w:t>T3份额：固定管理费年化0.15%</w:t>
            </w:r>
          </w:p>
          <w:p>
            <w:pPr>
              <w:pStyle w:val="null10"/>
              <w:spacing w:lineRule="exact" w:line="200"/>
            </w:pPr>
            <w:r>
              <w:rPr>
                <w:rFonts w:ascii="方正黑体_GBK" w:hAnsi="方正黑体_GBK" w:cs="宋体" w:eastAsia="方正黑体_GBK"/>
                <w:sz w:val="18"/>
                <w:b/>
                <w:szCs w:val="18"/>
              </w:rPr>
              <w:t>B5份额：固定管理费年化0.2%</w:t>
            </w:r>
          </w:p>
          <w:p>
            <w:pPr>
              <w:pStyle w:val="null10"/>
              <w:spacing w:lineRule="exact" w:line="200"/>
            </w:pPr>
            <w:r>
              <w:rPr>
                <w:rFonts w:ascii="方正黑体_GBK" w:hAnsi="方正黑体_GBK" w:cs="宋体" w:eastAsia="方正黑体_GBK"/>
                <w:sz w:val="18"/>
                <w:b/>
                <w:szCs w:val="18"/>
              </w:rPr>
              <w:t>C5份额：固定管理费年化0.2%</w:t>
            </w:r>
          </w:p>
          <w:p>
            <w:pPr>
              <w:pStyle w:val="null10"/>
              <w:spacing w:lineRule="exact" w:line="200"/>
            </w:pPr>
            <w:r>
              <w:rPr>
                <w:rFonts w:ascii="方正黑体_GBK" w:hAnsi="方正黑体_GBK" w:cs="宋体" w:eastAsia="方正黑体_GBK"/>
                <w:sz w:val="18"/>
                <w:b/>
                <w:szCs w:val="18"/>
              </w:rPr>
              <w:t>D5份额：固定管理费年化0.15%</w:t>
            </w:r>
          </w:p>
          <w:p>
            <w:pPr>
              <w:pStyle w:val="null10"/>
              <w:spacing w:lineRule="exact" w:line="200"/>
            </w:pPr>
            <w:r>
              <w:rPr>
                <w:rFonts w:ascii="方正黑体_GBK" w:hAnsi="方正黑体_GBK" w:cs="宋体" w:eastAsia="方正黑体_GBK"/>
                <w:sz w:val="18"/>
                <w:b/>
                <w:szCs w:val="18"/>
              </w:rPr>
              <w:t>E5份额：固定管理费年化0.15%</w:t>
            </w:r>
          </w:p>
          <w:p>
            <w:pPr>
              <w:pStyle w:val="null10"/>
              <w:spacing w:lineRule="exact" w:line="200"/>
            </w:pPr>
            <w:r>
              <w:rPr>
                <w:rFonts w:ascii="方正黑体_GBK" w:hAnsi="方正黑体_GBK" w:cs="宋体" w:eastAsia="方正黑体_GBK"/>
                <w:sz w:val="18"/>
                <w:b/>
                <w:szCs w:val="18"/>
              </w:rPr>
              <w:t>V份额：固定管理费年化0.1%</w:t>
            </w:r>
          </w:p>
          <w:p>
            <w:pPr>
              <w:pStyle w:val="null10"/>
              <w:spacing w:lineRule="exact" w:line="200"/>
            </w:pPr>
            <w:r>
              <w:rPr>
                <w:rFonts w:ascii="方正黑体_GBK" w:hAnsi="方正黑体_GBK" w:cs="宋体" w:eastAsia="方正黑体_GBK"/>
                <w:sz w:val="18"/>
                <w:b/>
                <w:szCs w:val="18"/>
              </w:rPr>
              <w:t>W份额：固定管理费年化0.15%</w:t>
            </w:r>
          </w:p>
          <w:p>
            <w:pPr>
              <w:pStyle w:val="null10"/>
              <w:spacing w:lineRule="exact" w:line="200"/>
            </w:pPr>
            <w:r>
              <w:rPr>
                <w:rFonts w:ascii="方正黑体_GBK" w:hAnsi="方正黑体_GBK" w:cs="宋体" w:eastAsia="方正黑体_GBK"/>
                <w:sz w:val="18"/>
                <w:b/>
                <w:szCs w:val="18"/>
              </w:rPr>
              <w:t>G5份额：固定管理费年化0.15%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4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S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T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5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5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5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5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V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W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5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亿元人民币。住所：江苏省南京市建邺区庐山路242号2号楼14-16层，联系方式：025-83642111。</w:t>
            </w:r>
          </w:p>
          <w:p>
            <w:pPr>
              <w:pStyle w:val="null10"/>
              <w:spacing w:lineRule="exact" w:line="200"/>
              <w:jc w:val="left"/>
            </w:pPr>
            <w:r>
              <w:rPr>
                <w:rFonts w:ascii="方正黑体_GBK" w:hAnsi="方正黑体_GBK" w:cs="宋体" w:eastAsia="方正黑体_GBK"/>
                <w:sz w:val="18"/>
                <w:szCs w:val="18"/>
              </w:rPr>
              <w:t>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江苏紫金农村商业银行股份有限公司、江苏金湖农村商业银行股份有限公司、苏州银行股份有限公司、桂林银行股份有限公司、重庆富民银行股份有限公司、互金平台、宁波通商银行股份有限公司、日照银行股份有限公司、石嘴山银行股份有限公司、江苏丹阳农村商业银行股份有限公司、江苏宜兴农村商业银行股份有限公司、江苏高淳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苏商银行股份有限公司、江苏丰县农村商业银行股份有限公司、江苏射阳农村商业银行股份有限公司、江苏句容农村商业银行股份有限公司、江苏张家港农村商业银行股份有限公司、江苏江阴农村商业银行股份有限公司、廊坊银行股份有限公司、乌鲁木齐银行股份有限公司、河北银行股份有限公司、郑州银行股份有限公司、江苏盱眙农村商业银行股份有限公司、兰州银行股份有限公司、江苏沛县农村商业银行股份有限公司、交通银行股份有限公司、甘肃银行股份有限公司、台州银行股份有限公司、浙江民泰商业银行股份有限公司、江苏仪征农村商业银行股份有限公司、昆山鹿城村镇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销售机构基本信息详见第五条。</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本理财产品托管人为南京银行股份有限公司，住所：南京市建邺区江山大街88号，联系方式：95302。</w:t>
            </w:r>
          </w:p>
          <w:p>
            <w:pPr>
              <w:pStyle w:val="null10"/>
              <w:spacing w:lineRule="exact" w:line="200"/>
            </w:pPr>
            <w:r>
              <w:rPr>
                <w:rFonts w:ascii="方正黑体_GBK" w:hAnsi="方正黑体_GBK" w:cs="宋体" w:eastAsia="方正黑体_GBK"/>
                <w:sz w:val="18"/>
                <w:szCs w:val="18"/>
              </w:rPr>
              <w:t>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广东粤财信托有限公司成立于1985年03月07日，注册资本金380000万元。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上海国际信托有限公司成立于1981年05月06日，注册资本金50亿元。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重庆国际信托股份有限公司成立于1984年10月22日，注册资本金150亿元。</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c819ecf"/>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f7581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f7581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f75812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f758120"/>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f75812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f75812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f75812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f758120"/>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南银理财珠联璧合安稳1905一年定开公募人民币理财产品</w:t>
      </w:r>
      <w:r>
        <w:rPr>
          <w:rFonts w:ascii="方正黑体_GBK" w:eastAsia="方正黑体_GBK" w:hint="eastAsia" w:hAnsi="方正黑体_GBK"/>
          <w:vanish w:val="0"/>
          <w:color w:val="3D3D3D"/>
          <w:kern w:val="0"/>
          <w:sz w:val="15"/>
          <w:szCs w:val="15"/>
        </w:rPr>
        <w:t>。</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f758120"/>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f75812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f75812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f75812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9e6fe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9e6fe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9e6fe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9e6fe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9e6fe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9e6fe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f75812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f75812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f758120"/>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以上数据为假设情形中的模拟数据，不代表实际收益，投资需谨慎。</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9e6fef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c819ecf"/>
        <w:keepNext w:val="0"/>
        <w:keepLines w:val="0"/>
        <w:pageBreakBefore w:val="0"/>
        <w:widowControl/>
        <w:suppressLineNumbers w:val="0"/>
        <w:suppressAutoHyphens w:val="0"/>
        <w:spacing w:line="200" w:lineRule="exact"/>
        <w:ind w:firstLineChars="200" w:firstLine="300"/>
        <w:rPr>
          <w:rStyle w:val="f9e6fef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280"/>
        <w:jc w:val="left"/>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280"/>
        <w:jc w:val="left"/>
      </w:pPr>
      <w:r>
        <w:rPr>
          <w:rFonts w:ascii="方正黑体_GBK" w:hAnsi="方正黑体_GBK" w:cs="宋体" w:eastAsia="方正黑体_GBK"/>
          <w:sz w:val="15"/>
          <w:szCs w:val="20"/>
        </w:rPr>
        <w:t>1.银行存款、回购等货币市场工具</w:t>
      </w:r>
    </w:p>
    <w:p>
      <w:pPr>
        <w:pStyle w:val="null10"/>
        <w:spacing w:lineRule="exact" w:line="200"/>
        <w:ind w:firstLine="280"/>
        <w:jc w:val="left"/>
      </w:pPr>
      <w:r>
        <w:rPr>
          <w:rFonts w:ascii="方正黑体_GBK" w:hAnsi="方正黑体_GBK" w:cs="宋体" w:eastAsia="方正黑体_GBK"/>
          <w:sz w:val="15"/>
          <w:szCs w:val="20"/>
        </w:rPr>
        <w:t>以本金列示，按商定的利率在实际持有期间内逐日计提。</w:t>
      </w:r>
    </w:p>
    <w:p>
      <w:pPr>
        <w:pStyle w:val="null10"/>
        <w:spacing w:lineRule="exact" w:line="200"/>
        <w:ind w:firstLine="280"/>
        <w:jc w:val="left"/>
      </w:pPr>
      <w:r>
        <w:rPr>
          <w:rFonts w:ascii="方正黑体_GBK" w:hAnsi="方正黑体_GBK" w:cs="宋体" w:eastAsia="方正黑体_GBK"/>
          <w:sz w:val="15"/>
          <w:color w:val="3D3D3D"/>
          <w:szCs w:val="20"/>
        </w:rPr>
        <w:t>2.债券类资产</w:t>
      </w:r>
    </w:p>
    <w:p>
      <w:pPr>
        <w:pStyle w:val="null10"/>
        <w:spacing w:lineRule="exact" w:line="200"/>
        <w:ind w:firstLine="280"/>
        <w:jc w:val="left"/>
      </w:pPr>
      <w:r>
        <w:rPr>
          <w:rFonts w:ascii="方正黑体_GBK" w:hAnsi="方正黑体_GBK" w:cs="宋体" w:eastAsia="方正黑体_GBK"/>
          <w:sz w:val="15"/>
          <w:color w:val="3D3D3D"/>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pStyle w:val="null10"/>
        <w:spacing w:lineRule="exact" w:line="200"/>
        <w:ind w:firstLine="280"/>
        <w:jc w:val="left"/>
      </w:pPr>
      <w:r>
        <w:rPr>
          <w:rFonts w:ascii="方正黑体_GBK" w:hAnsi="方正黑体_GBK" w:cs="宋体" w:eastAsia="方正黑体_GBK"/>
          <w:sz w:val="15"/>
          <w:color w:val="3D3D3D"/>
          <w:szCs w:val="20"/>
        </w:rPr>
        <w:t>3.非标准化债权类资产</w:t>
      </w:r>
    </w:p>
    <w:p>
      <w:pPr>
        <w:pStyle w:val="null10"/>
        <w:spacing w:lineRule="exact" w:line="200"/>
        <w:ind w:firstLine="280"/>
        <w:jc w:val="left"/>
      </w:pPr>
      <w:r>
        <w:rPr>
          <w:rFonts w:ascii="方正黑体_GBK" w:hAnsi="方正黑体_GBK" w:cs="宋体" w:eastAsia="方正黑体_GBK"/>
          <w:sz w:val="15"/>
          <w:color w:val="3D3D3D"/>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280"/>
        <w:jc w:val="left"/>
      </w:pPr>
      <w:r>
        <w:rPr>
          <w:rFonts w:ascii="方正黑体_GBK" w:hAnsi="方正黑体_GBK" w:cs="宋体" w:eastAsia="方正黑体_GBK"/>
          <w:sz w:val="15"/>
          <w:color w:val="3D3D3D"/>
          <w:szCs w:val="20"/>
        </w:rPr>
        <w:t>4.证券投资基金</w:t>
      </w:r>
    </w:p>
    <w:p>
      <w:pPr>
        <w:pStyle w:val="null10"/>
        <w:spacing w:lineRule="exact" w:line="200"/>
        <w:ind w:firstLine="280"/>
        <w:jc w:val="left"/>
      </w:pPr>
      <w:r>
        <w:rPr>
          <w:rFonts w:ascii="方正黑体_GBK" w:hAnsi="方正黑体_GBK" w:cs="宋体" w:eastAsia="方正黑体_GBK"/>
          <w:sz w:val="15"/>
          <w:color w:val="3D3D3D"/>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pStyle w:val="null10"/>
        <w:spacing w:lineRule="exact" w:line="200"/>
        <w:ind w:firstLine="280"/>
        <w:jc w:val="left"/>
      </w:pPr>
      <w:r>
        <w:rPr>
          <w:rFonts w:ascii="方正黑体_GBK" w:hAnsi="方正黑体_GBK" w:cs="宋体" w:eastAsia="方正黑体_GBK"/>
          <w:sz w:val="15"/>
          <w:color w:val="3D3D3D"/>
          <w:szCs w:val="20"/>
        </w:rPr>
        <w:t>5.股权类资产</w:t>
      </w:r>
    </w:p>
    <w:p>
      <w:pPr>
        <w:pStyle w:val="null10"/>
        <w:spacing w:lineRule="exact" w:line="200"/>
        <w:ind w:firstLine="280"/>
        <w:jc w:val="left"/>
      </w:pPr>
      <w:r>
        <w:rPr>
          <w:rFonts w:ascii="方正黑体_GBK" w:hAnsi="方正黑体_GBK" w:cs="宋体" w:eastAsia="方正黑体_GBK"/>
          <w:sz w:val="15"/>
          <w:color w:val="3D3D3D"/>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6.资管计划、信托计划等资产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7.其他资产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存在公允价值的，按照公允价值估值，或采用估值技术确定估值，也可采用被委托机构提供的估值或计量报告。具体可参考《企业会计准则》以及相关监管政策的规定。</w:t>
      </w:r>
    </w:p>
    <w:p>
      <w:pPr>
        <w:pStyle w:val="null10"/>
        <w:spacing w:lineRule="exact" w:line="200"/>
        <w:ind w:firstLine="280"/>
        <w:jc w:val="left"/>
      </w:pPr>
      <w:r>
        <w:rPr>
          <w:rFonts w:ascii="方正黑体_GBK" w:hAnsi="方正黑体_GBK" w:cs="宋体" w:eastAsia="方正黑体_GBK"/>
          <w:sz w:val="15"/>
          <w:color w:val="3D3D3D"/>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pStyle w:val="null10"/>
        <w:spacing w:lineRule="exact" w:line="200"/>
        <w:ind w:firstLine="280"/>
        <w:jc w:val="left"/>
      </w:pPr>
      <w:r>
        <w:rPr>
          <w:rFonts w:ascii="方正黑体_GBK" w:hAnsi="方正黑体_GBK" w:cs="宋体" w:eastAsia="方正黑体_GBK"/>
          <w:sz w:val="15"/>
          <w:color w:val="3D3D3D"/>
          <w:szCs w:val="20"/>
        </w:rPr>
        <w:t>9.如有新增事项或变更事项，按国家最新规定或管理人最新的约定估值。</w:t>
      </w:r>
    </w:p>
    <w:p>
      <w:pPr>
        <w:pStyle w:val="null10"/>
        <w:spacing w:lineRule="exact" w:line="200"/>
        <w:ind w:firstLine="280"/>
        <w:jc w:val="left"/>
      </w:pPr>
      <w:r>
        <w:rPr>
          <w:rFonts w:ascii="方正黑体_GBK" w:hAnsi="方正黑体_GBK" w:cs="宋体" w:eastAsia="方正黑体_GBK"/>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bc819ecf"/>
        <w:pBdr>
          <w:top w:val="none" w:sz="0" w:space="0" w:color="auto"/>
          <w:left w:val="none" w:sz="0" w:space="0" w:color="auto"/>
          <w:bottom w:val="none" w:sz="0" w:space="0" w:color="auto"/>
          <w:right w:val="none" w:sz="0" w:space="0" w:color="auto"/>
        </w:pBdr>
        <w:spacing w:line="200" w:lineRule="exact"/>
        <w:rPr>
          <w:rFonts w:ascii="方正黑体_GBK" w:eastAsia="方正黑体_GBK" w:cs="宋体" w:hint="eastAsia" w:hAnsi="方正黑体_GBK"/>
          <w:b/>
          <w:bCs/>
          <w:vanish w:val="0"/>
          <w:sz w:val="15"/>
          <w:szCs w:val="15"/>
        </w:rPr>
      </w:pPr>
      <w:r>
        <w:rPr>
          <w:rFonts w:ascii="方正黑体_GBK" w:eastAsia="方正黑体_GBK" w:cs="宋体" w:hint="eastAsia" w:hAnsi="方正黑体_GBK"/>
          <w:b/>
          <w:bCs/>
          <w:vanish w:val="0"/>
          <w:sz w:val="15"/>
          <w:szCs w:val="15"/>
        </w:rPr>
        <w:t>第五条 主体机构</w:t>
      </w:r>
    </w:p>
    <w:p>
      <w:pPr>
        <w:pStyle w:val="bc819ecf"/>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（一）销售机构基本信息</w:t>
      </w:r>
      <w:bookmarkStart w:id="0" w:name="_GoBack"/>
      <w:bookmarkEnd w:id="0"/>
    </w:p>
    <w:tbl>
      <w:tblPr>
        <w:tblInd w:w="360" w:type="dxa"/>
        <w:tblW w:w="0" w:type="auto"/>
        <w:tblBorders>
          <w:top w:val="single"/>
          <w:left w:val="single"/>
          <w:bottom w:val="single"/>
          <w:right w:val="single"/>
          <w:insideH w:val="single"/>
          <w:insideV w:val="single"/>
        </w:tblBorders>
      </w:tblPr>
      <w:tblGrid>
        <w:gridCol w:w="2100"/>
        <w:gridCol w:w="4050"/>
        <w:gridCol w:w="1350"/>
      </w:tblGrid>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b/>
                <w:szCs w:val="20"/>
              </w:rPr>
              <w:t>销售机构名称</w:t>
            </w:r>
          </w:p>
        </w:tc>
        <w:tc>
          <w:tcPr>
            <w:tcW w:type="dxa" w:w="4050"/>
            <w:tcMar>
              <w:left w:type="dxa" w:w="120"/>
            </w:tcMar>
            <w:vAlign w:val="center"/>
          </w:tcPr>
          <w:p>
            <w:pPr>
              <w:pStyle w:val="null10"/>
              <w:spacing w:lineRule="exact" w:line="200"/>
            </w:pPr>
            <w:r>
              <w:rPr>
                <w:rFonts w:ascii="方正黑体_GBK" w:hAnsi="方正黑体_GBK" w:cs="宋体" w:eastAsia="方正黑体_GBK"/>
                <w:sz w:val="15"/>
                <w:b/>
                <w:szCs w:val="20"/>
              </w:rPr>
              <w:t>住所</w:t>
            </w:r>
          </w:p>
        </w:tc>
        <w:tc>
          <w:tcPr>
            <w:tcW w:type="dxa" w:w="1350"/>
            <w:tcMar>
              <w:left w:type="dxa" w:w="120"/>
            </w:tcMar>
            <w:vAlign w:val="center"/>
          </w:tcPr>
          <w:p>
            <w:pPr>
              <w:pStyle w:val="null10"/>
              <w:spacing w:lineRule="exact" w:line="200"/>
            </w:pPr>
            <w:r>
              <w:rPr>
                <w:rFonts w:ascii="方正黑体_GBK" w:hAnsi="方正黑体_GBK" w:cs="宋体" w:eastAsia="方正黑体_GBK"/>
                <w:sz w:val="15"/>
                <w:b/>
                <w:szCs w:val="20"/>
              </w:rPr>
              <w:t>联系方式</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江苏省南京市建邺区庐山路242号2号楼14-16层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025-83642111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南京市建邺区江山大街88号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95302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兴业银行股份有限公司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福建省福州市台江区江滨中大道398号兴业银行大厦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95561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江苏太仓农村商业银行股份有限公司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太仓市娄东街道上海东路198号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4001840060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嘉兴银行股份有限公司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浙江省嘉兴市昌盛南路1001号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0573-96528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江苏常熟农村商业银行股份有限公司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江苏省常熟市新世纪大道58号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956020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江苏苏州农村商业银行股份有限公司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江苏省苏州市吴江区中山南路1777号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福建海峡银行股份有限公司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福建省福州市台江区江滨中大道358号海峡银行大厦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0591-4008939999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秦皇岛银行股份有限公司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河北省秦皇岛市海港区河北大街西段 560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0335-96336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泰安银行股份有限公司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山东省泰安市长城路3号圣地大厦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齐鲁银行股份有限公司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山东省济南市历下区经十路10817号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4006096588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贵阳银行股份有限公司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贵州省贵阳市观山湖区长岭北路中天·会展城B区金融商务区东区1-6栋</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0851-86859053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深圳前海微众银行股份有限公司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深圳市南山区南山街道金港街88号微众银行大厦1层、7-10层、12-21 层、23-30 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95384</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云南红塔银行股份有限公司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云南省玉溪市东风南路2号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96522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中原银行股份有限公司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河南省郑州市郑东新区金融岛外环路9号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95186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九江银行股份有限公司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江西省九江市濂溪区长虹大道619号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天津农村商业银行股份有限公司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天津市河西区友谊路32号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022-96155、400-80-96155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江苏紫金农村商业银行股份有限公司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南京市建邺区江东中路381号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江苏金湖农村商业银行股份有限公司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江苏省金湖县黎城街道神华大道299号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苏州银行股份有限公司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中国（江苏）自由贸易试验区苏州片区苏州工业园区钟园路728号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0512-96067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桂林银行股份有限公司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广西壮族自治区桂林市临桂区公园北路 8 号桂林金融大厦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400-86-96299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重庆富民银行股份有限公司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重庆市渝北区财富东路2号涉外商务区一期B1栋</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956118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互金平台</w:t>
            </w:r>
          </w:p>
        </w:tc>
        <w:tc>
          <w:tcPr>
            <w:tcW w:type="dxa" w:w="4050"/>
            <w:tcMar>
              <w:left w:type="dxa" w:w="120"/>
            </w:tcMar>
            <w:vAlign w:val="center"/>
          </w:tcPr>
          <w:p>
            <w:pPr/>
          </w:p>
        </w:tc>
        <w:tc>
          <w:tcPr>
            <w:tcW w:type="dxa" w:w="1350"/>
            <w:tcMar>
              <w:left w:type="dxa" w:w="120"/>
            </w:tcMar>
            <w:vAlign w:val="center"/>
          </w:tcPr>
          <w:p>
            <w:pP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宁波通商银行股份有限公司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浙江省宁波市鄞州区民安东路337号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400-916-6666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日照银行股份有限公司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日照市烟台路197号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0633-8081110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石嘴山银行股份有限公司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宁夏回族自治区石嘴山市大武口区朝阳西街 39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0951-96789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镇江市丹阳金陵西路152号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江苏宜兴农村商业银行股份有限公司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江苏省宜兴市宜城街道解放东路579号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南京市高淳区淳溪镇宝塔路123号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江苏响水农村商业银行股份有限公司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江苏省响水县双园东路北侧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江苏靖江农村商业银行股份有限公司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江苏省靖江市南环西路12号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江苏新沂农村商业银行股份有限公司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江苏省新沂市钟吾路163号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江苏民丰农村商业银行股份有限公司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江苏省宿迁市宿城区高宝湖路1号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江苏建湖农村商业银行股份有限公司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江苏省建湖县湖中南路958号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江苏阜宁农村商业银行股份有限公司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江苏省阜宁县城南新区上海路459号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江苏南通农村商业银行股份有限公司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南通市崇川区工农南路89号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江苏扬州农村商业银行股份有限公司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江苏省扬州市同泰路107号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江苏大丰农村商业银行股份有限公司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江苏省盐城市大丰区常新中路9号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江苏洪泽农村商业银行股份有限公司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江苏省淮安市洪泽区人民路23号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江苏兴化农村商业银行股份有限公司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江苏省兴化市长安南路999号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江苏镇江农村商业银行股份有限公司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江苏省镇江市润州区长江路97号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江苏如皋农村商业银行股份有限公司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如皋市如城街道海阳南路999号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徐州农村商业银行股份有限公司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徐州市铜山区北京南路26号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江苏苏商银行股份有限公司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南京市建邺区庐山路248号4号楼第7、8、9、27、28、29层,4号楼裙楼第1、2层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956101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江苏丰县农村商业银行股份有限公司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江苏省丰县人民中路9号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江苏射阳农村商业银行股份有限公司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射阳县合德镇解放路385号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江苏句容农村商业银行股份有限公司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江苏省句容市福地东路66号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江苏张家港农村商业银行股份有限公司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张家港市杨舍镇人民中路66号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96065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江阴市澄江中路1号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廊坊银行股份有限公司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河北省廊坊市广阳区广阳道 31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400-620-0099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乌鲁木齐银行股份有限公司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新疆乌鲁木齐市水磨沟区会展大道 599 号新疆财富中心 A 座 4-31 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0991-96518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河北银行股份有限公司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河北省石家庄市平安北大街 28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400-612-9999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郑州银行股份有限公司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郑州市郑东新区商务外环路22号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95097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江苏盱眙农村商业银行股份有限公司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江苏省盱眙县合欢大道2号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兰州银行股份有限公司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甘肃省兰州市城关区酒泉路 211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96799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江苏沛县农村商业银行股份有限公司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江苏省沛县汤沐路中段11号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交通银行股份有限公司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上海市浦东新区银城中路188号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95559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甘肃银行股份有限公司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甘肃省兰州市城关区东岗西路 525-1 号甘肃银行大厦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台州银行股份有限公司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浙江省台州市路桥区南官大道92号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95371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浙江民泰商业银行股份有限公司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浙江省温岭市太平街道三星大道168号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95343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江苏仪征农村商业银行股份有限公司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江苏省仪征市真州镇解放东路818号金融集聚区1座801-811，901-911，1001-1011，2座101</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昆山市玉山镇前进西路1899号1号房</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0512-962077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成都银行股份有限公司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四川省成都市青羊区西御街 16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95507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江苏沭阳农村商业银行股份有限公司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沭阳县沭城镇苏州东路与台州南路交汇处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江苏海安农村商业银行股份有限公司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江苏省海安市长江中路88号(东楼 )</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江苏海门农村商业银行股份有限公司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江苏省南通市海门区解放中路137号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成都农村商业银行股份有限公司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四川省成都市武侯区科华中路 88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95392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江苏睢宁农村商业银行股份有限公司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江苏省睢宁县元府东街99号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bl>
    <w:p>
      <w:pPr>
        <w:pStyle w:val="bc819ecf"/>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（二）关联关系信息</w:t>
      </w:r>
    </w:p>
    <w:p>
      <w:pPr>
        <w:pStyle w:val="bc819ecf"/>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（1）与管理人有关联关系的机构信息如下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发行机构股东控制或可施加重大影响的法人或非法人组织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日照银行股份有限公司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发行机构股东控制或可施加重大影响的法人或非法人组织</w:t>
            </w:r>
          </w:p>
        </w:tc>
      </w:tr>
    </w:tbl>
    <w:p>
      <w:pPr>
        <w:pStyle w:val="bc819ecf"/>
        <w:spacing w:line="200" w:lineRule="exact"/>
        <w:ind w:firstLineChars="200" w:firstLine="300"/>
        <w:rPr>
          <w:rFonts w:ascii="方正黑体_GBK" w:eastAsia="方正黑体_GBK" w:cs="宋体" w:hAnsi="方正黑体_GBK"/>
          <w:vanish w:val="0"/>
          <w:sz w:val="15"/>
          <w:szCs w:val="15"/>
        </w:rPr>
      </w:pPr>
      <w:r>
        <w:rPr>
          <w:rFonts w:ascii="方正黑体_GBK" w:eastAsia="方正黑体_GBK" w:cs="宋体" w:hint="eastAsia" w:hAnsi="方正黑体_GBK"/>
          <w:vanish w:val="0"/>
          <w:sz w:val="15"/>
          <w:szCs w:val="15"/>
        </w:rPr>
        <w:t>（2）与托管人有关联关系的机构信息如下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日照银行股份有限公司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与托管机构存在重大利害关系</w:t>
            </w:r>
          </w:p>
        </w:tc>
      </w:tr>
    </w:tbl>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c819ec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c819ec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按月</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null10"/>
        <w:spacing w:lineRule="exact" w:line="200"/>
        <w:ind w:firstLine="301"/>
      </w:pPr>
      <w:r>
        <w:rPr>
          <w:rFonts w:ascii="方正黑体_GBK" w:hAnsi="方正黑体_GBK" w:cs="宋体" w:eastAsia="方正黑体_GBK"/>
          <w:sz w:val="15"/>
          <w:b/>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c819ec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c819ec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九</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c819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c819ecf"/>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3"/>
  </w:num>
  <w:num w:numId="3">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8e42c88">
    <w:name w:val="Normal28e42c8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ef2a65d">
    <w:name w:val="heading 1aef2a65d"/>
    <w:basedOn w:val="28e42c8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6566a32">
    <w:name w:val="heading 216566a32"/>
    <w:basedOn w:val="28e42c8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d043a00">
    <w:name w:val="heading 39d043a00"/>
    <w:basedOn w:val="28e42c8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18ee651">
    <w:name w:val="Default Paragraph Fonte18ee651"/>
  </w:style>
  <w:style xmlns:r="http://schemas.openxmlformats.org/officeDocument/2006/relationships" w:type="paragraph" w:styleId="b4f400f5">
    <w:name w:val="toc 1b4f400f5"/>
    <w:basedOn w:val="28e42c88"/>
    <w:autoRedefine/>
    <w:next w:val="0"/>
  </w:style>
  <w:style xmlns:r="http://schemas.openxmlformats.org/officeDocument/2006/relationships" w:type="paragraph" w:styleId="e9a1ab08">
    <w:name w:val="toc 2e9a1ab08"/>
    <w:basedOn w:val="28e42c88"/>
    <w:autoRedefine/>
    <w:next w:val="0"/>
    <w:pPr>
      <w:ind w:left="420"/>
    </w:pPr>
  </w:style>
  <w:style xmlns:r="http://schemas.openxmlformats.org/officeDocument/2006/relationships" w:type="paragraph" w:styleId="0614a600">
    <w:name w:val="toc 30614a600"/>
    <w:basedOn w:val="28e42c88"/>
    <w:autoRedefine/>
    <w:next w:val="0"/>
    <w:pPr>
      <w:ind w:left="840"/>
    </w:pPr>
  </w:style>
  <w:style xmlns:r="http://schemas.openxmlformats.org/officeDocument/2006/relationships" w:type="paragraph" w:styleId="94145ce4">
    <w:name w:val="toc 494145ce4"/>
    <w:basedOn w:val="28e42c88"/>
    <w:autoRedefine/>
    <w:next w:val="0"/>
    <w:pPr>
      <w:ind w:left="1260"/>
    </w:pPr>
  </w:style>
  <w:style xmlns:r="http://schemas.openxmlformats.org/officeDocument/2006/relationships" w:type="paragraph" w:styleId="257c61d0">
    <w:name w:val="toc 5257c61d0"/>
    <w:basedOn w:val="28e42c88"/>
    <w:autoRedefine/>
    <w:next w:val="0"/>
    <w:pPr>
      <w:ind w:left="1680"/>
    </w:pPr>
  </w:style>
  <w:style xmlns:r="http://schemas.openxmlformats.org/officeDocument/2006/relationships" w:type="paragraph" w:styleId="4ef462af">
    <w:name w:val="header4ef462af"/>
    <w:basedOn w:val="28e42c8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cba021f">
    <w:name w:val="footerccba021f"/>
    <w:basedOn w:val="28e42c88"/>
    <w:pPr>
      <w:tabs>
        <w:tab w:val="center" w:pos="4153"/>
        <w:tab w:val="right" w:pos="8307"/>
      </w:tabs>
      <w:adjustRightInd/>
      <w:snapToGrid w:val="0"/>
      <w:contextualSpacing w:val="0"/>
      <w:jc w:val="left"/>
    </w:pPr>
    <w:rPr>
      <w:sz w:val="18"/>
    </w:rPr>
  </w:style>
  <w:style xmlns:r="http://schemas.openxmlformats.org/officeDocument/2006/relationships" w:type="character" w:styleId="bd3a2d52">
    <w:name w:val="Strongbd3a2d5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c819ecf">
    <w:name w:val="Normalbc819ec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f823b9f">
    <w:name w:val="heading 1ff823b9f"/>
    <w:basedOn w:val="bc819ec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69d4978">
    <w:name w:val="heading 2e69d4978"/>
    <w:basedOn w:val="bc819ec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f959c40">
    <w:name w:val="heading 3ef959c40"/>
    <w:basedOn w:val="bc819ec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ac883e8">
    <w:name w:val="Default Paragraph Font8ac883e8"/>
  </w:style>
  <w:style xmlns:r="http://schemas.openxmlformats.org/officeDocument/2006/relationships" w:type="paragraph" w:styleId="21b86530">
    <w:name w:val="Normal Indent21b86530"/>
    <w:basedOn w:val="bc819ecf"/>
    <w:pPr>
      <w:ind w:firstLineChars="200" w:firstLine="200"/>
    </w:pPr>
  </w:style>
  <w:style xmlns:r="http://schemas.openxmlformats.org/officeDocument/2006/relationships" w:type="paragraph" w:styleId="04c1cdb3">
    <w:name w:val="toc 504c1cdb3"/>
    <w:basedOn w:val="bc819ecf"/>
    <w:next w:val="0"/>
    <w:pPr>
      <w:ind w:left="1680"/>
    </w:pPr>
  </w:style>
  <w:style xmlns:r="http://schemas.openxmlformats.org/officeDocument/2006/relationships" w:type="paragraph" w:styleId="4530d3df">
    <w:name w:val="toc 34530d3df"/>
    <w:basedOn w:val="bc819ecf"/>
    <w:next w:val="0"/>
    <w:pPr>
      <w:ind w:left="840"/>
    </w:pPr>
  </w:style>
  <w:style xmlns:r="http://schemas.openxmlformats.org/officeDocument/2006/relationships" w:type="paragraph" w:styleId="d3d9365f">
    <w:name w:val="footerd3d9365f"/>
    <w:basedOn w:val="bc819ecf"/>
    <w:pPr>
      <w:tabs>
        <w:tab w:val="center" w:pos="4153"/>
        <w:tab w:val="right" w:pos="8307"/>
      </w:tabs>
      <w:adjustRightInd/>
      <w:snapToGrid w:val="0"/>
      <w:contextualSpacing w:val="0"/>
      <w:jc w:val="left"/>
    </w:pPr>
    <w:rPr>
      <w:sz w:val="18"/>
    </w:rPr>
  </w:style>
  <w:style xmlns:r="http://schemas.openxmlformats.org/officeDocument/2006/relationships" w:type="paragraph" w:styleId="548da4a0">
    <w:name w:val="header548da4a0"/>
    <w:basedOn w:val="bc819ec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3defe92">
    <w:name w:val="toc 1c3defe92"/>
    <w:basedOn w:val="bc819ecf"/>
    <w:next w:val="0"/>
  </w:style>
  <w:style xmlns:r="http://schemas.openxmlformats.org/officeDocument/2006/relationships" w:type="paragraph" w:styleId="d63d79a2">
    <w:name w:val="toc 4d63d79a2"/>
    <w:basedOn w:val="bc819ecf"/>
    <w:next w:val="0"/>
    <w:pPr>
      <w:ind w:left="1260"/>
    </w:pPr>
  </w:style>
  <w:style xmlns:r="http://schemas.openxmlformats.org/officeDocument/2006/relationships" w:type="paragraph" w:styleId="c41fa9af">
    <w:name w:val="toc 2c41fa9af"/>
    <w:basedOn w:val="bc819ecf"/>
    <w:next w:val="0"/>
    <w:pPr>
      <w:ind w:left="420"/>
    </w:pPr>
  </w:style>
  <w:style xmlns:r="http://schemas.openxmlformats.org/officeDocument/2006/relationships" w:type="paragraph" w:styleId="4c8cd67b">
    <w:name w:val="Normal (Web)4c8cd67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f758120">
    <w:name w:val="Normalaf758120af75812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c4a3022">
    <w:name w:val="heading 1ec4a3022ec4a3022"/>
    <w:basedOn w:val="af75812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9daf2da">
    <w:name w:val="heading 269daf2da69daf2da"/>
    <w:basedOn w:val="af75812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4049a91">
    <w:name w:val="heading 304049a9104049a91"/>
    <w:basedOn w:val="af75812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c0ada6c">
    <w:name w:val="Default Paragraph Font3c0ada6c3c0ada6c"/>
  </w:style>
  <w:style xmlns:r="http://schemas.openxmlformats.org/officeDocument/2006/relationships" w:type="paragraph" w:customStyle="1" w:styleId="a4e7730d">
    <w:name w:val="引文目录1a4e7730da4e7730d"/>
    <w:basedOn w:val="af758120"/>
    <w:next w:val="0"/>
    <w:pPr>
      <w:ind w:leftChars="200" w:left="200"/>
    </w:pPr>
  </w:style>
  <w:style xmlns:r="http://schemas.openxmlformats.org/officeDocument/2006/relationships" w:type="paragraph" w:styleId="67857206">
    <w:name w:val="toc 56785720667857206"/>
    <w:basedOn w:val="af758120"/>
    <w:next w:val="0"/>
    <w:pPr>
      <w:ind w:left="1680"/>
    </w:pPr>
  </w:style>
  <w:style xmlns:r="http://schemas.openxmlformats.org/officeDocument/2006/relationships" w:type="paragraph" w:styleId="32511ed9">
    <w:name w:val="toc 332511ed932511ed9"/>
    <w:basedOn w:val="af758120"/>
    <w:next w:val="0"/>
    <w:pPr>
      <w:ind w:left="840"/>
    </w:pPr>
  </w:style>
  <w:style xmlns:r="http://schemas.openxmlformats.org/officeDocument/2006/relationships" w:type="paragraph" w:styleId="545c58b0">
    <w:name w:val="footer545c58b0545c58b0"/>
    <w:basedOn w:val="af758120"/>
    <w:pPr>
      <w:tabs>
        <w:tab w:val="center" w:pos="4153"/>
        <w:tab w:val="right" w:pos="8307"/>
      </w:tabs>
      <w:adjustRightInd/>
      <w:snapToGrid w:val="0"/>
      <w:contextualSpacing w:val="0"/>
      <w:jc w:val="left"/>
    </w:pPr>
    <w:rPr>
      <w:sz w:val="18"/>
    </w:rPr>
  </w:style>
  <w:style xmlns:r="http://schemas.openxmlformats.org/officeDocument/2006/relationships" w:type="paragraph" w:styleId="d0d67d3d">
    <w:name w:val="headerd0d67d3dd0d67d3d"/>
    <w:basedOn w:val="af75812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804f3ca">
    <w:name w:val="toc 17804f3ca7804f3ca"/>
    <w:basedOn w:val="af758120"/>
    <w:next w:val="0"/>
  </w:style>
  <w:style xmlns:r="http://schemas.openxmlformats.org/officeDocument/2006/relationships" w:type="paragraph" w:styleId="45b4dcec">
    <w:name w:val="toc 445b4dcec45b4dcec"/>
    <w:basedOn w:val="af758120"/>
    <w:next w:val="0"/>
    <w:pPr>
      <w:ind w:left="1260"/>
    </w:pPr>
  </w:style>
  <w:style xmlns:r="http://schemas.openxmlformats.org/officeDocument/2006/relationships" w:type="paragraph" w:styleId="d274ac8d">
    <w:name w:val="toc 2d274ac8dd274ac8d"/>
    <w:basedOn w:val="af758120"/>
    <w:next w:val="0"/>
    <w:pPr>
      <w:ind w:left="420"/>
    </w:pPr>
  </w:style>
  <w:style xmlns:r="http://schemas.openxmlformats.org/officeDocument/2006/relationships" w:type="paragraph" w:customStyle="1" w:styleId="f9e6fef9">
    <w:name w:val="列出段落1f9e6fef9f9e6fef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