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f69c910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f69c910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f69c910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f69c910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f69c910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f69c910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f69c910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f69c910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f69c910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f69c910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f69c9101"/>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ba92026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ba92026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0f494898"/>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南银理财珠联璧合鑫逸稳半年184期封闭式公募人民币理财产品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ZZ700322600178</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Z7003226000174(投资者可依据该编码在中国理财网www.chinawealth.com.cn查询理财产品相关信息）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A份额：NYXY000984</w:t>
            </w:r>
          </w:p>
          <w:p>
            <w:pPr>
              <w:pStyle w:val="null10"/>
              <w:spacing w:lineRule="exact" w:line="200"/>
            </w:pPr>
            <w:r>
              <w:rPr>
                <w:rFonts w:ascii="方正黑体_GBK" w:hAnsi="方正黑体_GBK" w:cs="宋体" w:eastAsia="方正黑体_GBK"/>
                <w:sz w:val="18"/>
                <w:szCs w:val="18"/>
              </w:rPr>
              <w:t>B份额：NYXY000985</w:t>
            </w:r>
          </w:p>
          <w:p>
            <w:pPr>
              <w:pStyle w:val="null10"/>
              <w:spacing w:lineRule="exact" w:line="200"/>
            </w:pPr>
            <w:r>
              <w:rPr>
                <w:rFonts w:ascii="方正黑体_GBK" w:hAnsi="方正黑体_GBK" w:cs="宋体" w:eastAsia="方正黑体_GBK"/>
                <w:sz w:val="18"/>
                <w:szCs w:val="18"/>
              </w:rPr>
              <w:t>C份额：NYXY000986</w:t>
            </w:r>
          </w:p>
          <w:p>
            <w:pPr>
              <w:pStyle w:val="null10"/>
              <w:spacing w:lineRule="exact" w:line="200"/>
            </w:pPr>
            <w:r>
              <w:rPr>
                <w:rFonts w:ascii="方正黑体_GBK" w:hAnsi="方正黑体_GBK" w:cs="宋体" w:eastAsia="方正黑体_GBK"/>
                <w:sz w:val="18"/>
                <w:szCs w:val="18"/>
              </w:rPr>
              <w:t>F份额：NYXY001091</w:t>
            </w:r>
          </w:p>
          <w:p>
            <w:pPr>
              <w:pStyle w:val="null10"/>
              <w:spacing w:lineRule="exact" w:line="200"/>
            </w:pPr>
            <w:r>
              <w:rPr>
                <w:rFonts w:ascii="方正黑体_GBK" w:hAnsi="方正黑体_GBK" w:cs="宋体" w:eastAsia="方正黑体_GBK"/>
                <w:sz w:val="18"/>
                <w:szCs w:val="18"/>
              </w:rPr>
              <w:t>J份额：NYXY000987</w:t>
            </w:r>
          </w:p>
          <w:p>
            <w:pPr>
              <w:pStyle w:val="null10"/>
              <w:spacing w:lineRule="exact" w:line="200"/>
            </w:pPr>
            <w:r>
              <w:rPr>
                <w:rFonts w:ascii="方正黑体_GBK" w:hAnsi="方正黑体_GBK" w:cs="宋体" w:eastAsia="方正黑体_GBK"/>
                <w:sz w:val="18"/>
                <w:szCs w:val="18"/>
              </w:rPr>
              <w:t>L份额：NYXY000988</w:t>
            </w:r>
          </w:p>
          <w:p>
            <w:pPr>
              <w:pStyle w:val="null10"/>
              <w:spacing w:lineRule="exact" w:line="200"/>
            </w:pPr>
            <w:r>
              <w:rPr>
                <w:rFonts w:ascii="方正黑体_GBK" w:hAnsi="方正黑体_GBK" w:cs="宋体" w:eastAsia="方正黑体_GBK"/>
                <w:sz w:val="18"/>
                <w:szCs w:val="18"/>
              </w:rPr>
              <w:t>B2份额：NYXY001093</w:t>
            </w:r>
          </w:p>
          <w:p>
            <w:pPr>
              <w:pStyle w:val="null10"/>
              <w:spacing w:lineRule="exact" w:line="200"/>
            </w:pPr>
            <w:r>
              <w:rPr>
                <w:rFonts w:ascii="方正黑体_GBK" w:hAnsi="方正黑体_GBK" w:cs="宋体" w:eastAsia="方正黑体_GBK"/>
                <w:sz w:val="18"/>
                <w:szCs w:val="18"/>
              </w:rPr>
              <w:t>C2份额：NYXY001094</w:t>
            </w:r>
          </w:p>
          <w:p>
            <w:pPr>
              <w:pStyle w:val="null10"/>
              <w:spacing w:lineRule="exact" w:line="200"/>
            </w:pPr>
            <w:r>
              <w:rPr>
                <w:rFonts w:ascii="方正黑体_GBK" w:hAnsi="方正黑体_GBK" w:cs="宋体" w:eastAsia="方正黑体_GBK"/>
                <w:sz w:val="18"/>
                <w:szCs w:val="18"/>
              </w:rPr>
              <w:t>Q份额：NYXY000989</w:t>
            </w:r>
          </w:p>
          <w:p>
            <w:pPr>
              <w:pStyle w:val="null10"/>
              <w:spacing w:lineRule="exact" w:line="200"/>
            </w:pPr>
            <w:r>
              <w:rPr>
                <w:rFonts w:ascii="方正黑体_GBK" w:hAnsi="方正黑体_GBK" w:cs="宋体" w:eastAsia="方正黑体_GBK"/>
                <w:sz w:val="18"/>
                <w:szCs w:val="18"/>
              </w:rPr>
              <w:t>Q2份额：NYXY001092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南银理财有限责任公司、南京银行股份有限公司（除新客、新资金、代发、对公客户以外的其他客户）、交通银行股份有限公司、北京农村商业银行股份有限公司、青岛银行股份有限公司（除私行客户外的其他客户）、江苏常熟农村商业银行股份有限公司（1元起购）、江苏苏州农村商业银行股份有限公司、金华银行股份有限公司、江苏江南农村商业银行股份有限公司（除财富、代发薪客户和新资金客户外的其他客户）、蒙商银行股份有限公司（除财富客户外的其他客户）、广州农村商业银行股份有限公司、苏州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私行客户和私钻客户外的其他客户)、山西银行股份有限公司（amu增量等于0客户）、德州银行股份有限公司、云南红塔银行股份有限公司、宁夏银行股份有限公司、九江银行股份有限公司、湖北银行股份有限公司、海南银行股份有限公司、廊坊银行股份有限公司、乌鲁木齐银行股份有限公司、上海农村商业银行股份有限公司、湖州银行股份有限公司、桂林银行有限公司（除财富客户外的其他客户）、宁波通商银行股份有限公司、石嘴山银行股份有限公司（除财富客户外的其他客户）、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除临界客户外的其他客户）、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私行客户)、徽商银行股份有限公司、温州银行股份有限公司、江苏张家港农村商业银行股份有限公司、浙江民泰商业银行股份有限公司、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山西银行股份有限公司（aum增量大于5万元小于15万元客户）、兰州银行股份有限公司、甘肃银行股份有限公司、东营银行股份有限公司、桂林银行股份有限公司（财富客户）、石嘴山银行股份有限公司（财富客户）、永丰银行(中国)有限公司、江苏高淳农村商业银行股份有限公司、江苏新沂农村商业银行股份有限公司（1元起购）、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南京银行股份有限公司(对公客户)、江苏江南农村商业银行股份有限公司(代发薪客户和新资金客户)、蒙商银行股份有限公司（财富客户）、长沙银行股份有限公司、郑州银行股份有限公司、泰安银行股份有限公司、齐鲁银行股份有限公司(财富客户)、天津农村商业银行股份有限公司(个人新客)、山西银行股份有限公司(aum增量大于40万元客户)、江苏泰兴农村商业银行股份有限公司、江苏响水农村商业银行股份有限公司(50万元起购)、江苏靖江农村商业银行股份有限公司、江苏新沂农村商业银行股份有限公司（30万元起购）、江苏扬州农村商业银行股份有限公司（临界客户）、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仪征农村商业银行股份有限公司(50万元起购)、江苏启东农村商业银行股份有限公司、枣庄银行股份有限公司。</w:t>
            </w:r>
          </w:p>
          <w:p>
            <w:pPr>
              <w:pStyle w:val="null10"/>
              <w:spacing w:lineRule="exact" w:line="200"/>
            </w:pPr>
            <w:r>
              <w:rPr>
                <w:rFonts w:ascii="方正黑体_GBK" w:hAnsi="方正黑体_GBK" w:cs="宋体" w:eastAsia="方正黑体_GBK"/>
                <w:sz w:val="18"/>
                <w:szCs w:val="18"/>
              </w:rPr>
              <w:t>F份额：兴业银行股份有限公司。</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L份额：天津农村商业银行股份有限公司(私钻客户)。</w:t>
            </w:r>
          </w:p>
          <w:p>
            <w:pPr>
              <w:pStyle w:val="null10"/>
              <w:spacing w:lineRule="exact" w:line="200"/>
            </w:pPr>
            <w:r>
              <w:rPr>
                <w:rFonts w:ascii="方正黑体_GBK" w:hAnsi="方正黑体_GBK" w:cs="宋体" w:eastAsia="方正黑体_GBK"/>
                <w:sz w:val="18"/>
                <w:szCs w:val="18"/>
              </w:rPr>
              <w:t>B2份额：山西银行股份有限公司（aum增量大于0小于5万元客户）。</w:t>
            </w:r>
          </w:p>
          <w:p>
            <w:pPr>
              <w:pStyle w:val="null10"/>
              <w:spacing w:lineRule="exact" w:line="200"/>
            </w:pPr>
            <w:r>
              <w:rPr>
                <w:rFonts w:ascii="方正黑体_GBK" w:hAnsi="方正黑体_GBK" w:cs="宋体" w:eastAsia="方正黑体_GBK"/>
                <w:sz w:val="18"/>
                <w:szCs w:val="18"/>
              </w:rPr>
              <w:t>C2份额：山西银行股份有限公司（aum增量大于15万元小于40万元客户）。</w:t>
            </w:r>
          </w:p>
          <w:p>
            <w:pPr>
              <w:pStyle w:val="null10"/>
              <w:spacing w:lineRule="exact" w:line="200"/>
            </w:pPr>
            <w:r>
              <w:rPr>
                <w:rFonts w:ascii="方正黑体_GBK" w:hAnsi="方正黑体_GBK" w:cs="宋体" w:eastAsia="方正黑体_GBK"/>
                <w:sz w:val="18"/>
                <w:szCs w:val="18"/>
              </w:rPr>
              <w:t>Q份额：天津农村商业银行股份有限公司(私行客户)。</w:t>
            </w:r>
          </w:p>
          <w:p>
            <w:pPr>
              <w:pStyle w:val="null10"/>
              <w:spacing w:lineRule="exact" w:line="200"/>
            </w:pPr>
            <w:r>
              <w:rPr>
                <w:rFonts w:ascii="方正黑体_GBK" w:hAnsi="方正黑体_GBK" w:cs="宋体" w:eastAsia="方正黑体_GBK"/>
                <w:sz w:val="18"/>
                <w:szCs w:val="18"/>
              </w:rPr>
              <w:t>Q2份额：中国银行股份有限公司。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A份额/B份额/C份额/F份额/J份额/L份额/B2份额/C2份额/Q份额/Q2份额：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2026年06月10日 09:00—2026年06月16日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2026年06月17日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2026年06月17日—实际到期日（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2026年12月30日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A份额：业绩比较基准为1.9%(年化)。</w:t>
            </w:r>
          </w:p>
          <w:p>
            <w:pPr>
              <w:pStyle w:val="null10"/>
              <w:spacing w:lineRule="exact" w:line="200"/>
            </w:pPr>
            <w:r>
              <w:rPr>
                <w:rFonts w:ascii="方正黑体_GBK" w:hAnsi="方正黑体_GBK" w:cs="宋体" w:eastAsia="方正黑体_GBK"/>
                <w:sz w:val="18"/>
                <w:szCs w:val="18"/>
              </w:rPr>
              <w:t>B份额：业绩比较基准为2%(年化)。</w:t>
            </w:r>
          </w:p>
          <w:p>
            <w:pPr>
              <w:pStyle w:val="null10"/>
              <w:spacing w:lineRule="exact" w:line="200"/>
            </w:pPr>
            <w:r>
              <w:rPr>
                <w:rFonts w:ascii="方正黑体_GBK" w:hAnsi="方正黑体_GBK" w:cs="宋体" w:eastAsia="方正黑体_GBK"/>
                <w:sz w:val="18"/>
                <w:szCs w:val="18"/>
              </w:rPr>
              <w:t>C份额：业绩比较基准为2.1%(年化)。</w:t>
            </w:r>
          </w:p>
          <w:p>
            <w:pPr>
              <w:pStyle w:val="null10"/>
              <w:spacing w:lineRule="exact" w:line="200"/>
            </w:pPr>
            <w:r>
              <w:rPr>
                <w:rFonts w:ascii="方正黑体_GBK" w:hAnsi="方正黑体_GBK" w:cs="宋体" w:eastAsia="方正黑体_GBK"/>
                <w:sz w:val="18"/>
                <w:szCs w:val="18"/>
              </w:rPr>
              <w:t>F份额：业绩比较基准为2%(年化)。</w:t>
            </w:r>
          </w:p>
          <w:p>
            <w:pPr>
              <w:pStyle w:val="null10"/>
              <w:spacing w:lineRule="exact" w:line="200"/>
            </w:pPr>
            <w:r>
              <w:rPr>
                <w:rFonts w:ascii="方正黑体_GBK" w:hAnsi="方正黑体_GBK" w:cs="宋体" w:eastAsia="方正黑体_GBK"/>
                <w:sz w:val="18"/>
                <w:szCs w:val="18"/>
              </w:rPr>
              <w:t>J份额：业绩比较基准为1.9%(年化)。</w:t>
            </w:r>
          </w:p>
          <w:p>
            <w:pPr>
              <w:pStyle w:val="null10"/>
              <w:spacing w:lineRule="exact" w:line="200"/>
            </w:pPr>
            <w:r>
              <w:rPr>
                <w:rFonts w:ascii="方正黑体_GBK" w:hAnsi="方正黑体_GBK" w:cs="宋体" w:eastAsia="方正黑体_GBK"/>
                <w:sz w:val="18"/>
                <w:szCs w:val="18"/>
              </w:rPr>
              <w:t>L份额：业绩比较基准为2.15%(年化)。</w:t>
            </w:r>
          </w:p>
          <w:p>
            <w:pPr>
              <w:pStyle w:val="null10"/>
              <w:spacing w:lineRule="exact" w:line="200"/>
            </w:pPr>
            <w:r>
              <w:rPr>
                <w:rFonts w:ascii="方正黑体_GBK" w:hAnsi="方正黑体_GBK" w:cs="宋体" w:eastAsia="方正黑体_GBK"/>
                <w:sz w:val="18"/>
                <w:szCs w:val="18"/>
              </w:rPr>
              <w:t>B2份额：业绩比较基准为1.95%(年化)。</w:t>
            </w:r>
          </w:p>
          <w:p>
            <w:pPr>
              <w:pStyle w:val="null10"/>
              <w:spacing w:lineRule="exact" w:line="200"/>
            </w:pPr>
            <w:r>
              <w:rPr>
                <w:rFonts w:ascii="方正黑体_GBK" w:hAnsi="方正黑体_GBK" w:cs="宋体" w:eastAsia="方正黑体_GBK"/>
                <w:sz w:val="18"/>
                <w:szCs w:val="18"/>
              </w:rPr>
              <w:t>C2份额：业绩比较基准为2.05%(年化)。</w:t>
            </w:r>
          </w:p>
          <w:p>
            <w:pPr>
              <w:pStyle w:val="null10"/>
              <w:spacing w:lineRule="exact" w:line="200"/>
            </w:pPr>
            <w:r>
              <w:rPr>
                <w:rFonts w:ascii="方正黑体_GBK" w:hAnsi="方正黑体_GBK" w:cs="宋体" w:eastAsia="方正黑体_GBK"/>
                <w:sz w:val="18"/>
                <w:szCs w:val="18"/>
              </w:rPr>
              <w:t>Q份额：业绩比较基准为2.05%(年化)。</w:t>
            </w:r>
          </w:p>
          <w:p>
            <w:pPr>
              <w:pStyle w:val="null10"/>
              <w:spacing w:lineRule="exact" w:line="200"/>
            </w:pPr>
            <w:r>
              <w:rPr>
                <w:rFonts w:ascii="方正黑体_GBK" w:hAnsi="方正黑体_GBK" w:cs="宋体" w:eastAsia="方正黑体_GBK"/>
                <w:sz w:val="18"/>
                <w:szCs w:val="18"/>
              </w:rPr>
              <w:t>Q2份额：业绩比较基准为2.1%(年化)。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F份额：销售费年化0.2%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B2份额：销售费年化0.25%</w:t>
            </w:r>
          </w:p>
          <w:p>
            <w:pPr>
              <w:pStyle w:val="null10"/>
              <w:spacing w:lineRule="exact" w:line="200"/>
            </w:pPr>
            <w:r>
              <w:rPr>
                <w:rFonts w:ascii="方正黑体_GBK" w:hAnsi="方正黑体_GBK" w:cs="宋体" w:eastAsia="方正黑体_GBK"/>
                <w:sz w:val="18"/>
                <w:b/>
                <w:szCs w:val="18"/>
              </w:rPr>
              <w:t>C2份额：销售费年化0.15%</w:t>
            </w:r>
          </w:p>
          <w:p>
            <w:pPr>
              <w:pStyle w:val="null10"/>
              <w:spacing w:lineRule="exact" w:line="200"/>
            </w:pPr>
            <w:r>
              <w:rPr>
                <w:rFonts w:ascii="方正黑体_GBK" w:hAnsi="方正黑体_GBK" w:cs="宋体" w:eastAsia="方正黑体_GBK"/>
                <w:sz w:val="18"/>
                <w:b/>
                <w:szCs w:val="18"/>
              </w:rPr>
              <w:t>Q份额：销售费年化0.1%</w:t>
            </w:r>
          </w:p>
          <w:p>
            <w:pPr>
              <w:pStyle w:val="null10"/>
              <w:spacing w:lineRule="exact" w:line="200"/>
            </w:pPr>
            <w:r>
              <w:rPr>
                <w:rFonts w:ascii="方正黑体_GBK" w:hAnsi="方正黑体_GBK" w:cs="宋体" w:eastAsia="方正黑体_GBK"/>
                <w:sz w:val="18"/>
                <w:b/>
                <w:szCs w:val="18"/>
              </w:rPr>
              <w:t>Q2份额：销售费年化0.1%</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A份额：固定管理费年化0.11%</w:t>
            </w:r>
          </w:p>
          <w:p>
            <w:pPr>
              <w:pStyle w:val="null10"/>
              <w:spacing w:lineRule="exact" w:line="200"/>
            </w:pPr>
            <w:r>
              <w:rPr>
                <w:rFonts w:ascii="方正黑体_GBK" w:hAnsi="方正黑体_GBK" w:cs="宋体" w:eastAsia="方正黑体_GBK"/>
                <w:sz w:val="18"/>
                <w:b/>
                <w:szCs w:val="18"/>
              </w:rPr>
              <w:t>B份额：固定管理费年化0.06%</w:t>
            </w:r>
          </w:p>
          <w:p>
            <w:pPr>
              <w:pStyle w:val="null10"/>
              <w:spacing w:lineRule="exact" w:line="200"/>
            </w:pPr>
            <w:r>
              <w:rPr>
                <w:rFonts w:ascii="方正黑体_GBK" w:hAnsi="方正黑体_GBK" w:cs="宋体" w:eastAsia="方正黑体_GBK"/>
                <w:sz w:val="18"/>
                <w:b/>
                <w:szCs w:val="18"/>
              </w:rPr>
              <w:t>C份额：固定管理费年化0.06%</w:t>
            </w:r>
          </w:p>
          <w:p>
            <w:pPr>
              <w:pStyle w:val="null10"/>
              <w:spacing w:lineRule="exact" w:line="200"/>
            </w:pPr>
            <w:r>
              <w:rPr>
                <w:rFonts w:ascii="方正黑体_GBK" w:hAnsi="方正黑体_GBK" w:cs="宋体" w:eastAsia="方正黑体_GBK"/>
                <w:sz w:val="18"/>
                <w:b/>
                <w:szCs w:val="18"/>
              </w:rPr>
              <w:t>F份额：固定管理费年化0.01%</w:t>
            </w:r>
          </w:p>
          <w:p>
            <w:pPr>
              <w:pStyle w:val="null10"/>
              <w:spacing w:lineRule="exact" w:line="200"/>
            </w:pPr>
            <w:r>
              <w:rPr>
                <w:rFonts w:ascii="方正黑体_GBK" w:hAnsi="方正黑体_GBK" w:cs="宋体" w:eastAsia="方正黑体_GBK"/>
                <w:sz w:val="18"/>
                <w:b/>
                <w:szCs w:val="18"/>
              </w:rPr>
              <w:t>J份额：固定管理费年化0.11%</w:t>
            </w:r>
          </w:p>
          <w:p>
            <w:pPr>
              <w:pStyle w:val="null10"/>
              <w:spacing w:lineRule="exact" w:line="200"/>
            </w:pPr>
            <w:r>
              <w:rPr>
                <w:rFonts w:ascii="方正黑体_GBK" w:hAnsi="方正黑体_GBK" w:cs="宋体" w:eastAsia="方正黑体_GBK"/>
                <w:sz w:val="18"/>
                <w:b/>
                <w:szCs w:val="18"/>
              </w:rPr>
              <w:t>L份额：固定管理费年化0.01%</w:t>
            </w:r>
          </w:p>
          <w:p>
            <w:pPr>
              <w:pStyle w:val="null10"/>
              <w:spacing w:lineRule="exact" w:line="200"/>
            </w:pPr>
            <w:r>
              <w:rPr>
                <w:rFonts w:ascii="方正黑体_GBK" w:hAnsi="方正黑体_GBK" w:cs="宋体" w:eastAsia="方正黑体_GBK"/>
                <w:sz w:val="18"/>
                <w:b/>
                <w:szCs w:val="18"/>
              </w:rPr>
              <w:t>B2份额：固定管理费年化0.01%</w:t>
            </w:r>
          </w:p>
          <w:p>
            <w:pPr>
              <w:pStyle w:val="null10"/>
              <w:spacing w:lineRule="exact" w:line="200"/>
            </w:pPr>
            <w:r>
              <w:rPr>
                <w:rFonts w:ascii="方正黑体_GBK" w:hAnsi="方正黑体_GBK" w:cs="宋体" w:eastAsia="方正黑体_GBK"/>
                <w:sz w:val="18"/>
                <w:b/>
                <w:szCs w:val="18"/>
              </w:rPr>
              <w:t>C2份额：固定管理费年化0.01%</w:t>
            </w:r>
          </w:p>
          <w:p>
            <w:pPr>
              <w:pStyle w:val="null10"/>
              <w:spacing w:lineRule="exact" w:line="200"/>
            </w:pPr>
            <w:r>
              <w:rPr>
                <w:rFonts w:ascii="方正黑体_GBK" w:hAnsi="方正黑体_GBK" w:cs="宋体" w:eastAsia="方正黑体_GBK"/>
                <w:sz w:val="18"/>
                <w:b/>
                <w:szCs w:val="18"/>
              </w:rPr>
              <w:t>Q份额：固定管理费年化0.06%</w:t>
            </w:r>
          </w:p>
          <w:p>
            <w:pPr>
              <w:pStyle w:val="null10"/>
              <w:spacing w:lineRule="exact" w:line="200"/>
            </w:pPr>
            <w:r>
              <w:rPr>
                <w:rFonts w:ascii="方正黑体_GBK" w:hAnsi="方正黑体_GBK" w:cs="宋体" w:eastAsia="方正黑体_GBK"/>
                <w:sz w:val="18"/>
                <w:b/>
                <w:szCs w:val="18"/>
              </w:rPr>
              <w:t>Q2份额：固定管理费年化0.01%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B2份额：到期兑付时，当期产品投资的实际资产组合收益（扣除销售费、固定管理费、托管费等相关费用）超过1.95%（年化，即产品该份额对应的业绩报酬计提基准）时，超过部分管理人将按60%收取业绩报酬。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C2份额：到期兑付时，当期产品投资的实际资产组合收益（扣除销售费、固定管理费、托管费等相关费用）超过2.05%（年化，即产品该份额对应的业绩报酬计提基准）时，超过部分管理人将按60%收取业绩报酬。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Q份额：到期兑付时，当期产品投资的实际资产组合收益（扣除销售费、固定管理费、托管费等相关费用）超过2.05%（年化，即产品该份额对应的业绩报酬计提基准）时，超过部分管理人将按60%收取业绩报酬。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Q2份额：到期兑付时，当期产品投资的实际资产组合收益（扣除销售费、固定管理费、托管费等相关费用）超过2.1%（年化，即产品该份额对应的业绩报酬计提基准）时，超过部分管理人将按60%收取业绩报酬。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 xml:space="preserve">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  </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兰州银行股份有限公司、东营银行股份有限公司、江苏沛县农村商业银行股份有限公司、交通银行股份有限公司、甘肃银行股份有限公司、中国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北京农村商业银行股份有限公司、上海农村商业银行股份有限公司、长安银行股份有限公司、江苏沭阳农村商业银行股份有限公司、永丰银行（中国）有限公司、湖州银行股份有限公司、江苏灌云农村商业银行股份有限公司、江苏海安农村商业银行股份有限公司、广州农村商业银行股份有限公司、江苏泰州农村商业银行股份有限公司、江苏启东农村商业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ba92026d"/>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7cd2f06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7cd2f06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7cd2f06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7cd2f067"/>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7cd2f06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7cd2f06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7cd2f06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7cd2f067"/>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南银理财珠联璧合鑫逸稳半年184期封闭式公募人民币理财产品</w:t>
      </w:r>
      <w:r>
        <w:rPr>
          <w:rFonts w:ascii="方正黑体_GBK" w:eastAsia="方正黑体_GBK" w:hint="eastAsia" w:hAnsi="方正黑体_GBK"/>
          <w:vanish w:val="0"/>
          <w:color w:val="3D3D3D"/>
          <w:kern w:val="0"/>
          <w:sz w:val="15"/>
          <w:szCs w:val="15"/>
        </w:rPr>
        <w:t>。</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7cd2f067"/>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7cd2f06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7cd2f06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7cd2f06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299e824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299e824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299e824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299e824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299e824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299e824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7cd2f06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7cd2f06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7cd2f067"/>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299e8241"/>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ba92026d"/>
        <w:keepNext w:val="0"/>
        <w:keepLines w:val="0"/>
        <w:pageBreakBefore w:val="0"/>
        <w:widowControl/>
        <w:suppressLineNumbers w:val="0"/>
        <w:suppressAutoHyphens w:val="0"/>
        <w:spacing w:line="200" w:lineRule="exact"/>
        <w:ind w:firstLineChars="200" w:firstLine="300"/>
        <w:rPr>
          <w:rStyle w:val="299e8241"/>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ba92026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ba92026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ba92026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ba92026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ba92026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ba92026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ba92026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ba92026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ba92026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ba92026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ba92026d"/>
        <w:keepNext w:val="0"/>
        <w:keepLines w:val="0"/>
        <w:pageBreakBefore w:val="0"/>
        <w:widowControl/>
        <w:numPr>
          <w:ilvl w:val="0"/>
          <w:numId w:val="4"/>
        </w:numPr>
        <w:suppressLineNumbers w:val="0"/>
        <w:suppressAutoHyphens w:val="0"/>
        <w:spacing w:line="200" w:lineRule="exact"/>
        <w:ind w:left="0" w:firstLineChars="200" w:firstLine="300"/>
        <w:rPr>
          <w:rFonts w:ascii="方正黑体_GBK" w:hint="eastAsia" w:hAnsi="方正黑体_GBK" w:eastAsia="方正黑体_GBK"/>
          <w:b/>
          <w:bCs/>
          <w:color w:val="3D3D3D"/>
          <w:kern w:val="0"/>
          <w:sz w:val="15"/>
          <w:szCs w:val="15"/>
        </w:rPr>
      </w:pPr>
      <w:bookmarkStart w:id="0" w:name="_GoBack"/>
      <w:bookmarkEnd w:id="0"/>
      <w:r>
        <w:rPr>
          <w:rFonts w:ascii="方正黑体_GBK" w:hint="eastAsia" w:hAnsi="方正黑体_GBK" w:eastAsia="方正黑体_GBK"/>
          <w:b/>
          <w:bCs/>
          <w:color w:val="3D3D3D"/>
          <w:kern w:val="0"/>
          <w:sz w:val="15"/>
          <w:szCs w:val="15"/>
        </w:rPr>
        <w:t>在本理财产品存续期内：</w:t>
      </w:r>
    </w:p>
    <w:p>
      <w:pPr>
        <w:pStyle w:val="ba92026d"/>
        <w:keepNext w:val="0"/>
        <w:keepLines w:val="0"/>
        <w:pageBreakBefore w:val="0"/>
        <w:widowControl/>
        <w:suppressLineNumbers w:val="0"/>
        <w:suppressAutoHyphens w:val="0"/>
        <w:spacing w:line="200" w:lineRule="exact"/>
        <w:ind w:firstLine="0"/>
        <w:rPr>
          <w:rFonts w:ascii="方正黑体_GBK" w:hint="eastAsia" w:hAnsi="方正黑体_GBK" w:eastAsia="方正黑体_GBK"/>
          <w:bCs/>
          <w:color w:val="3D3D3D"/>
          <w:kern w:val="0"/>
          <w:sz w:val="15"/>
          <w:szCs w:val="15"/>
        </w:rPr>
      </w:pPr>
      <w:r>
        <w:rPr>
          <w:rFonts w:ascii="方正黑体_GBK" w:hint="eastAsia" w:hAnsi="方正黑体_GBK" w:eastAsia="方正黑体_GBK"/>
          <w:b/>
          <w:bCs/>
          <w:color w:val="3D3D3D"/>
          <w:kern w:val="0"/>
          <w:sz w:val="15"/>
          <w:szCs w:val="15"/>
        </w:rPr>
        <w:t xml:space="preserve">    </w:t>
      </w:r>
      <w:r>
        <w:rPr>
          <w:rFonts w:ascii="方正黑体_GBK" w:hint="eastAsia" w:hAnsi="方正黑体_GBK" w:eastAsia="方正黑体_GBK"/>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ba92026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ba92026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ba92026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ba9202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ba92026d"/>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4"/>
  </w:num>
  <w:num w:numId="3">
    <w:abstractNumId w:val="1"/>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f69c9101">
    <w:name w:val="Normalf69c9101"/>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6f20afb">
    <w:name w:val="heading 126f20afb"/>
    <w:basedOn w:val="f69c910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27b26fe">
    <w:name w:val="heading 2f27b26fe"/>
    <w:basedOn w:val="f69c910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eafb86d">
    <w:name w:val="heading 3deafb86d"/>
    <w:basedOn w:val="f69c910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a20aea2">
    <w:name w:val="Default Paragraph Fontfa20aea2"/>
  </w:style>
  <w:style xmlns:r="http://schemas.openxmlformats.org/officeDocument/2006/relationships" w:type="paragraph" w:styleId="5b2d2033">
    <w:name w:val="toc 15b2d2033"/>
    <w:basedOn w:val="f69c9101"/>
    <w:autoRedefine/>
    <w:next w:val="0"/>
  </w:style>
  <w:style xmlns:r="http://schemas.openxmlformats.org/officeDocument/2006/relationships" w:type="paragraph" w:styleId="243a30bb">
    <w:name w:val="toc 2243a30bb"/>
    <w:basedOn w:val="f69c9101"/>
    <w:autoRedefine/>
    <w:next w:val="0"/>
    <w:pPr>
      <w:ind w:left="420"/>
    </w:pPr>
  </w:style>
  <w:style xmlns:r="http://schemas.openxmlformats.org/officeDocument/2006/relationships" w:type="paragraph" w:styleId="0a8ff780">
    <w:name w:val="toc 30a8ff780"/>
    <w:basedOn w:val="f69c9101"/>
    <w:autoRedefine/>
    <w:next w:val="0"/>
    <w:pPr>
      <w:ind w:left="840"/>
    </w:pPr>
  </w:style>
  <w:style xmlns:r="http://schemas.openxmlformats.org/officeDocument/2006/relationships" w:type="paragraph" w:styleId="f532e440">
    <w:name w:val="toc 4f532e440"/>
    <w:basedOn w:val="f69c9101"/>
    <w:autoRedefine/>
    <w:next w:val="0"/>
    <w:pPr>
      <w:ind w:left="1260"/>
    </w:pPr>
  </w:style>
  <w:style xmlns:r="http://schemas.openxmlformats.org/officeDocument/2006/relationships" w:type="paragraph" w:styleId="b169e1b5">
    <w:name w:val="toc 5b169e1b5"/>
    <w:basedOn w:val="f69c9101"/>
    <w:autoRedefine/>
    <w:next w:val="0"/>
    <w:pPr>
      <w:ind w:left="1680"/>
    </w:pPr>
  </w:style>
  <w:style xmlns:r="http://schemas.openxmlformats.org/officeDocument/2006/relationships" w:type="paragraph" w:styleId="3637302d">
    <w:name w:val="header3637302d"/>
    <w:basedOn w:val="f69c910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8d6a0f1">
    <w:name w:val="footera8d6a0f1"/>
    <w:basedOn w:val="f69c9101"/>
    <w:pPr>
      <w:tabs>
        <w:tab w:val="center" w:pos="4153"/>
        <w:tab w:val="right" w:pos="8307"/>
      </w:tabs>
      <w:adjustRightInd/>
      <w:snapToGrid w:val="0"/>
      <w:contextualSpacing w:val="0"/>
      <w:jc w:val="left"/>
    </w:pPr>
    <w:rPr>
      <w:sz w:val="18"/>
    </w:rPr>
  </w:style>
  <w:style xmlns:r="http://schemas.openxmlformats.org/officeDocument/2006/relationships" w:type="character" w:styleId="bec2aeb1">
    <w:name w:val="Strongbec2aeb1"/>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a92026d">
    <w:name w:val="Normalba92026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7ff38f50">
    <w:name w:val="heading 17ff38f50"/>
    <w:basedOn w:val="ba92026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958cbb8">
    <w:name w:val="heading 25958cbb8"/>
    <w:basedOn w:val="ba92026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553e022">
    <w:name w:val="heading 33553e022"/>
    <w:basedOn w:val="ba92026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9f6a58b">
    <w:name w:val="Default Paragraph Fontc9f6a58b"/>
  </w:style>
  <w:style xmlns:r="http://schemas.openxmlformats.org/officeDocument/2006/relationships" w:type="paragraph" w:styleId="4a60bb53">
    <w:name w:val="Normal Indent4a60bb53"/>
    <w:basedOn w:val="ba92026d"/>
    <w:pPr>
      <w:ind w:firstLineChars="200" w:firstLine="200"/>
    </w:pPr>
  </w:style>
  <w:style xmlns:r="http://schemas.openxmlformats.org/officeDocument/2006/relationships" w:type="paragraph" w:styleId="ec50c708">
    <w:name w:val="toc 5ec50c708"/>
    <w:basedOn w:val="ba92026d"/>
    <w:next w:val="0"/>
    <w:pPr>
      <w:ind w:left="1680"/>
    </w:pPr>
  </w:style>
  <w:style xmlns:r="http://schemas.openxmlformats.org/officeDocument/2006/relationships" w:type="paragraph" w:styleId="fc6decdb">
    <w:name w:val="toc 3fc6decdb"/>
    <w:basedOn w:val="ba92026d"/>
    <w:next w:val="0"/>
    <w:pPr>
      <w:ind w:left="840"/>
    </w:pPr>
  </w:style>
  <w:style xmlns:r="http://schemas.openxmlformats.org/officeDocument/2006/relationships" w:type="paragraph" w:styleId="1f0e5239">
    <w:name w:val="footer1f0e5239"/>
    <w:basedOn w:val="ba92026d"/>
    <w:pPr>
      <w:tabs>
        <w:tab w:val="center" w:pos="4153"/>
        <w:tab w:val="right" w:pos="8307"/>
      </w:tabs>
      <w:adjustRightInd/>
      <w:snapToGrid w:val="0"/>
      <w:contextualSpacing w:val="0"/>
      <w:jc w:val="left"/>
    </w:pPr>
    <w:rPr>
      <w:sz w:val="18"/>
    </w:rPr>
  </w:style>
  <w:style xmlns:r="http://schemas.openxmlformats.org/officeDocument/2006/relationships" w:type="paragraph" w:styleId="812840b0">
    <w:name w:val="header812840b0"/>
    <w:basedOn w:val="ba92026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ee3374c">
    <w:name w:val="toc 14ee3374c"/>
    <w:basedOn w:val="ba92026d"/>
    <w:next w:val="0"/>
  </w:style>
  <w:style xmlns:r="http://schemas.openxmlformats.org/officeDocument/2006/relationships" w:type="paragraph" w:styleId="348a8921">
    <w:name w:val="toc 4348a8921"/>
    <w:basedOn w:val="ba92026d"/>
    <w:next w:val="0"/>
    <w:pPr>
      <w:ind w:left="1260"/>
    </w:pPr>
  </w:style>
  <w:style xmlns:r="http://schemas.openxmlformats.org/officeDocument/2006/relationships" w:type="paragraph" w:styleId="5fc109f5">
    <w:name w:val="toc 25fc109f5"/>
    <w:basedOn w:val="ba92026d"/>
    <w:next w:val="0"/>
    <w:pPr>
      <w:ind w:left="420"/>
    </w:pPr>
  </w:style>
  <w:style xmlns:r="http://schemas.openxmlformats.org/officeDocument/2006/relationships" w:type="paragraph" w:styleId="0f494898">
    <w:name w:val="Normal (Web)0f494898"/>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cd2f067">
    <w:name w:val="Normal7cd2f0677cd2f06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496a3f07">
    <w:name w:val="heading 1496a3f07496a3f07"/>
    <w:basedOn w:val="7cd2f06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2a3a27f">
    <w:name w:val="heading 2f2a3a27ff2a3a27f"/>
    <w:basedOn w:val="7cd2f06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e5e62fb">
    <w:name w:val="heading 39e5e62fb9e5e62fb"/>
    <w:basedOn w:val="7cd2f06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c890284">
    <w:name w:val="Default Paragraph Fontfc890284fc890284"/>
  </w:style>
  <w:style xmlns:r="http://schemas.openxmlformats.org/officeDocument/2006/relationships" w:type="paragraph" w:customStyle="1" w:styleId="ee8973e9">
    <w:name w:val="引文目录1ee8973e9ee8973e9"/>
    <w:basedOn w:val="7cd2f067"/>
    <w:next w:val="0"/>
    <w:pPr>
      <w:ind w:leftChars="200" w:left="200"/>
    </w:pPr>
  </w:style>
  <w:style xmlns:r="http://schemas.openxmlformats.org/officeDocument/2006/relationships" w:type="paragraph" w:styleId="0d30df38">
    <w:name w:val="toc 50d30df380d30df38"/>
    <w:basedOn w:val="7cd2f067"/>
    <w:next w:val="0"/>
    <w:pPr>
      <w:ind w:left="1680"/>
    </w:pPr>
  </w:style>
  <w:style xmlns:r="http://schemas.openxmlformats.org/officeDocument/2006/relationships" w:type="paragraph" w:styleId="663814ef">
    <w:name w:val="toc 3663814ef663814ef"/>
    <w:basedOn w:val="7cd2f067"/>
    <w:next w:val="0"/>
    <w:pPr>
      <w:ind w:left="840"/>
    </w:pPr>
  </w:style>
  <w:style xmlns:r="http://schemas.openxmlformats.org/officeDocument/2006/relationships" w:type="paragraph" w:styleId="6fb0adc1">
    <w:name w:val="footer6fb0adc16fb0adc1"/>
    <w:basedOn w:val="7cd2f067"/>
    <w:pPr>
      <w:tabs>
        <w:tab w:val="center" w:pos="4153"/>
        <w:tab w:val="right" w:pos="8307"/>
      </w:tabs>
      <w:adjustRightInd/>
      <w:snapToGrid w:val="0"/>
      <w:contextualSpacing w:val="0"/>
      <w:jc w:val="left"/>
    </w:pPr>
    <w:rPr>
      <w:sz w:val="18"/>
    </w:rPr>
  </w:style>
  <w:style xmlns:r="http://schemas.openxmlformats.org/officeDocument/2006/relationships" w:type="paragraph" w:styleId="cf12af62">
    <w:name w:val="headercf12af62cf12af62"/>
    <w:basedOn w:val="7cd2f06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65fe8e3">
    <w:name w:val="toc 1f65fe8e3f65fe8e3"/>
    <w:basedOn w:val="7cd2f067"/>
    <w:next w:val="0"/>
  </w:style>
  <w:style xmlns:r="http://schemas.openxmlformats.org/officeDocument/2006/relationships" w:type="paragraph" w:styleId="bfdc143f">
    <w:name w:val="toc 4bfdc143fbfdc143f"/>
    <w:basedOn w:val="7cd2f067"/>
    <w:next w:val="0"/>
    <w:pPr>
      <w:ind w:left="1260"/>
    </w:pPr>
  </w:style>
  <w:style xmlns:r="http://schemas.openxmlformats.org/officeDocument/2006/relationships" w:type="paragraph" w:styleId="32cb34fc">
    <w:name w:val="toc 232cb34fc32cb34fc"/>
    <w:basedOn w:val="7cd2f067"/>
    <w:next w:val="0"/>
    <w:pPr>
      <w:ind w:left="420"/>
    </w:pPr>
  </w:style>
  <w:style xmlns:r="http://schemas.openxmlformats.org/officeDocument/2006/relationships" w:type="paragraph" w:customStyle="1" w:styleId="299e8241">
    <w:name w:val="列出段落1299e8241299e8241"/>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