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435eec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435eec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435eec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435eec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435eec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435eec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435eec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435eec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435eec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435eec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435eec8a"/>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27f86f0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27f86f0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b94eff8a"/>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南银理财珠联璧合鑫逸稳一年277期（绿色金融主题）封闭式公募人民币理财产品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ZZ700322600179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Z7003226000173(投资者可依据该编码在中国理财网www.chinawealth.com.cn查询理财产品相关信息）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A份额：NYXY000990</w:t>
            </w:r>
          </w:p>
          <w:p>
            <w:pPr>
              <w:pStyle w:val="null10"/>
              <w:spacing w:lineRule="exact" w:line="200"/>
            </w:pPr>
            <w:r>
              <w:rPr>
                <w:rFonts w:ascii="方正黑体_GBK" w:hAnsi="方正黑体_GBK" w:cs="宋体" w:eastAsia="方正黑体_GBK"/>
                <w:sz w:val="18"/>
                <w:szCs w:val="18"/>
              </w:rPr>
              <w:t>B份额：NYXY000991</w:t>
            </w:r>
          </w:p>
          <w:p>
            <w:pPr>
              <w:pStyle w:val="null10"/>
              <w:spacing w:lineRule="exact" w:line="200"/>
            </w:pPr>
            <w:r>
              <w:rPr>
                <w:rFonts w:ascii="方正黑体_GBK" w:hAnsi="方正黑体_GBK" w:cs="宋体" w:eastAsia="方正黑体_GBK"/>
                <w:sz w:val="18"/>
                <w:szCs w:val="18"/>
              </w:rPr>
              <w:t>C份额：NYXY000992</w:t>
            </w:r>
          </w:p>
          <w:p>
            <w:pPr>
              <w:pStyle w:val="null10"/>
              <w:spacing w:lineRule="exact" w:line="200"/>
            </w:pPr>
            <w:r>
              <w:rPr>
                <w:rFonts w:ascii="方正黑体_GBK" w:hAnsi="方正黑体_GBK" w:cs="宋体" w:eastAsia="方正黑体_GBK"/>
                <w:sz w:val="18"/>
                <w:szCs w:val="18"/>
              </w:rPr>
              <w:t>F份额：NYXY001095</w:t>
            </w:r>
          </w:p>
          <w:p>
            <w:pPr>
              <w:pStyle w:val="null10"/>
              <w:spacing w:lineRule="exact" w:line="200"/>
            </w:pPr>
            <w:r>
              <w:rPr>
                <w:rFonts w:ascii="方正黑体_GBK" w:hAnsi="方正黑体_GBK" w:cs="宋体" w:eastAsia="方正黑体_GBK"/>
                <w:sz w:val="18"/>
                <w:szCs w:val="18"/>
              </w:rPr>
              <w:t>L份额：NYXY000993</w:t>
            </w:r>
          </w:p>
          <w:p>
            <w:pPr>
              <w:pStyle w:val="null10"/>
              <w:spacing w:lineRule="exact" w:line="200"/>
            </w:pPr>
            <w:r>
              <w:rPr>
                <w:rFonts w:ascii="方正黑体_GBK" w:hAnsi="方正黑体_GBK" w:cs="宋体" w:eastAsia="方正黑体_GBK"/>
                <w:sz w:val="18"/>
                <w:szCs w:val="18"/>
              </w:rPr>
              <w:t>O份额：NYXY000994</w:t>
            </w:r>
          </w:p>
          <w:p>
            <w:pPr>
              <w:pStyle w:val="null10"/>
              <w:spacing w:lineRule="exact" w:line="200"/>
            </w:pPr>
            <w:r>
              <w:rPr>
                <w:rFonts w:ascii="方正黑体_GBK" w:hAnsi="方正黑体_GBK" w:cs="宋体" w:eastAsia="方正黑体_GBK"/>
                <w:sz w:val="18"/>
                <w:szCs w:val="18"/>
              </w:rPr>
              <w:t>A2份额：NYXY001096</w:t>
            </w:r>
          </w:p>
          <w:p>
            <w:pPr>
              <w:pStyle w:val="null10"/>
              <w:spacing w:lineRule="exact" w:line="200"/>
            </w:pPr>
            <w:r>
              <w:rPr>
                <w:rFonts w:ascii="方正黑体_GBK" w:hAnsi="方正黑体_GBK" w:cs="宋体" w:eastAsia="方正黑体_GBK"/>
                <w:sz w:val="18"/>
                <w:szCs w:val="18"/>
              </w:rPr>
              <w:t>B2份额：NYXY001097</w:t>
            </w:r>
          </w:p>
          <w:p>
            <w:pPr>
              <w:pStyle w:val="null10"/>
              <w:spacing w:lineRule="exact" w:line="200"/>
            </w:pPr>
            <w:r>
              <w:rPr>
                <w:rFonts w:ascii="方正黑体_GBK" w:hAnsi="方正黑体_GBK" w:cs="宋体" w:eastAsia="方正黑体_GBK"/>
                <w:sz w:val="18"/>
                <w:szCs w:val="18"/>
              </w:rPr>
              <w:t>C2份额：NYXY001098</w:t>
            </w:r>
          </w:p>
          <w:p>
            <w:pPr>
              <w:pStyle w:val="null10"/>
              <w:spacing w:lineRule="exact" w:line="200"/>
            </w:pPr>
            <w:r>
              <w:rPr>
                <w:rFonts w:ascii="方正黑体_GBK" w:hAnsi="方正黑体_GBK" w:cs="宋体" w:eastAsia="方正黑体_GBK"/>
                <w:sz w:val="18"/>
                <w:szCs w:val="18"/>
              </w:rPr>
              <w:t>Q份额：NYXY000995</w:t>
            </w:r>
          </w:p>
          <w:p>
            <w:pPr>
              <w:pStyle w:val="null10"/>
              <w:spacing w:lineRule="exact" w:line="200"/>
            </w:pPr>
            <w:r>
              <w:rPr>
                <w:rFonts w:ascii="方正黑体_GBK" w:hAnsi="方正黑体_GBK" w:cs="宋体" w:eastAsia="方正黑体_GBK"/>
                <w:sz w:val="18"/>
                <w:szCs w:val="18"/>
              </w:rPr>
              <w:t>Q1份额：NYXY000996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对公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金华银行股份有限公司、蒙商银行股份有限公司（除代发工资客户外的其他客户）、长沙银行股份有限公司、广州农村商业银行股份有限公司、苏州银行股份有限公司、福建海峡银行股份有限公司、齐鲁银行股份有限公司（除白金/私行客户、财富客户外的其他客户）、北京银行股份有限公司、天津农村商业银行股份有限公司(除企业拓展客户、个人新客、私行客户和私钻客户外的其他客户)、山西银行股份有限公司（amu增量等于0客户）、德州银行股份有限公司、宁夏银行股份有限公司、九江银行股份有限公司、海南银行股份有限公司、廊坊银行股份有限公司、乌鲁木齐银行股份有限公司、上海农村商业银行股份有限公司、富邦华一银行有限公司、湖州银行股份有限公司、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限公司、江苏东台农村商业银行股份有限公司、江苏溧水农村商业银行股份有限公司、江苏南通农村商业银行股份有限公司（除代发、机构客户外的其他客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徽商银行股份有限公司(除代发客户外的其他客户)、温州银行股份有限公司、齐商银行股份有限公司、嘉兴银行股份有限公司（私行客户）、广州银行股份有限公司、江苏苏州农村商业银行股份有限公司（高客客户）、秦皇岛银行股份有限公司、宁波东海银行股份有限公司、齐鲁银行股份有限公司(白金/私行客户)、天津农村商业银行股份有限公司(企业拓展客户)、山西银行股份有限公司（aum增量大于5万元小于15万元客户）、东营银行股份有限公司、永丰银行(中国)有限公司、江苏高淳农村商业银行股份有限公司、江苏新沂农村商业银行股份有限公司（1元起购）、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烟台银行股份有限公司、江苏苏州农村商业银行股份有限公司（新客客户）、蒙商银行股份有限公司（代发工资客户）、郑州银行股份有限公司、日照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盐城农村商业银行股份有限公司（代发客户）、江苏南通农村商业银行股份有限公司(机构客户)、江苏兴化农村商业银行股份有限公司（除人民医院职工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w:t>
            </w:r>
          </w:p>
          <w:p>
            <w:pPr>
              <w:pStyle w:val="null10"/>
              <w:spacing w:lineRule="exact" w:line="200"/>
            </w:pPr>
            <w:r>
              <w:rPr>
                <w:rFonts w:ascii="方正黑体_GBK" w:hAnsi="方正黑体_GBK" w:cs="宋体" w:eastAsia="方正黑体_GBK"/>
                <w:sz w:val="18"/>
                <w:szCs w:val="18"/>
              </w:rPr>
              <w:t>F份额：兴业银行股份有限公司。</w:t>
            </w:r>
          </w:p>
          <w:p>
            <w:pPr>
              <w:pStyle w:val="null10"/>
              <w:spacing w:lineRule="exact" w:line="200"/>
            </w:pPr>
            <w:r>
              <w:rPr>
                <w:rFonts w:ascii="方正黑体_GBK" w:hAnsi="方正黑体_GBK" w:cs="宋体" w:eastAsia="方正黑体_GBK"/>
                <w:sz w:val="18"/>
                <w:szCs w:val="18"/>
              </w:rPr>
              <w:t>L份额：潍坊银行股份有限公司、泰安银行股份有限公司（除私行客户外的其他客户）、天津农村商业银行股份有限公司(私钻客户)、江苏兴化农村商业银行股份有限公司(人民医院职工客户)。</w:t>
            </w:r>
          </w:p>
          <w:p>
            <w:pPr>
              <w:pStyle w:val="null10"/>
              <w:spacing w:lineRule="exact" w:line="200"/>
            </w:pPr>
            <w:r>
              <w:rPr>
                <w:rFonts w:ascii="方正黑体_GBK" w:hAnsi="方正黑体_GBK" w:cs="宋体" w:eastAsia="方正黑体_GBK"/>
                <w:sz w:val="18"/>
                <w:szCs w:val="18"/>
              </w:rPr>
              <w:t>O份额：吉林银行股份有限公司。</w:t>
            </w:r>
          </w:p>
          <w:p>
            <w:pPr>
              <w:pStyle w:val="null10"/>
              <w:spacing w:lineRule="exact" w:line="200"/>
            </w:pPr>
            <w:r>
              <w:rPr>
                <w:rFonts w:ascii="方正黑体_GBK" w:hAnsi="方正黑体_GBK" w:cs="宋体" w:eastAsia="方正黑体_GBK"/>
                <w:sz w:val="18"/>
                <w:szCs w:val="18"/>
              </w:rPr>
              <w:t>A2份额：朝阳银行股份有限公司。</w:t>
            </w:r>
          </w:p>
          <w:p>
            <w:pPr>
              <w:pStyle w:val="null10"/>
              <w:spacing w:lineRule="exact" w:line="200"/>
            </w:pPr>
            <w:r>
              <w:rPr>
                <w:rFonts w:ascii="方正黑体_GBK" w:hAnsi="方正黑体_GBK" w:cs="宋体" w:eastAsia="方正黑体_GBK"/>
                <w:sz w:val="18"/>
                <w:szCs w:val="18"/>
              </w:rPr>
              <w:t>B2份额：山西银行股份有限公司（aum增量大于0小于5万元客户）。</w:t>
            </w:r>
          </w:p>
          <w:p>
            <w:pPr>
              <w:pStyle w:val="null10"/>
              <w:spacing w:lineRule="exact" w:line="200"/>
            </w:pPr>
            <w:r>
              <w:rPr>
                <w:rFonts w:ascii="方正黑体_GBK" w:hAnsi="方正黑体_GBK" w:cs="宋体" w:eastAsia="方正黑体_GBK"/>
                <w:sz w:val="18"/>
                <w:szCs w:val="18"/>
              </w:rPr>
              <w:t>C2份额：山西银行股份有限公司（aum增量大于15万元小于40万元客户）。</w:t>
            </w:r>
          </w:p>
          <w:p>
            <w:pPr>
              <w:pStyle w:val="null10"/>
              <w:spacing w:lineRule="exact" w:line="200"/>
            </w:pPr>
            <w:r>
              <w:rPr>
                <w:rFonts w:ascii="方正黑体_GBK" w:hAnsi="方正黑体_GBK" w:cs="宋体" w:eastAsia="方正黑体_GBK"/>
                <w:sz w:val="18"/>
                <w:szCs w:val="18"/>
              </w:rPr>
              <w:t>Q份额：天津农村商业银行股份有限公司(私行客户)、泰安银行股份有限公司（私行客户）、桂林银行有限公司（财富客户）。</w:t>
            </w:r>
          </w:p>
          <w:p>
            <w:pPr>
              <w:pStyle w:val="null10"/>
              <w:spacing w:lineRule="exact" w:line="200"/>
            </w:pPr>
            <w:r>
              <w:rPr>
                <w:rFonts w:ascii="方正黑体_GBK" w:hAnsi="方正黑体_GBK" w:cs="宋体" w:eastAsia="方正黑体_GBK"/>
                <w:sz w:val="18"/>
                <w:szCs w:val="18"/>
              </w:rPr>
              <w:t>Q1份额：徽商银行股份有限公司（代发客户）。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A份额/B份额/C份额/F份额/L份额/O份额/A2份额/B2份额/C2份额/Q份额/Q1份额：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2026年06月10日 09:00—2026年06月16日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2026年06月17日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2026年06月17日—实际到期日（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2027年07月21日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A份额：业绩比较基准为年化2.4%-2.65% 。</w:t>
            </w:r>
          </w:p>
          <w:p>
            <w:pPr>
              <w:pStyle w:val="null10"/>
              <w:spacing w:lineRule="exact" w:line="200"/>
            </w:pPr>
            <w:r>
              <w:rPr>
                <w:rFonts w:ascii="方正黑体_GBK" w:hAnsi="方正黑体_GBK" w:cs="宋体" w:eastAsia="方正黑体_GBK"/>
                <w:sz w:val="18"/>
                <w:szCs w:val="18"/>
              </w:rPr>
              <w:t>B份额：业绩比较基准为年化2.5%-2.75% 。</w:t>
            </w:r>
          </w:p>
          <w:p>
            <w:pPr>
              <w:pStyle w:val="null10"/>
              <w:spacing w:lineRule="exact" w:line="200"/>
            </w:pPr>
            <w:r>
              <w:rPr>
                <w:rFonts w:ascii="方正黑体_GBK" w:hAnsi="方正黑体_GBK" w:cs="宋体" w:eastAsia="方正黑体_GBK"/>
                <w:sz w:val="18"/>
                <w:szCs w:val="18"/>
              </w:rPr>
              <w:t>C份额：业绩比较基准为年化2.6%-2.85% 。</w:t>
            </w:r>
          </w:p>
          <w:p>
            <w:pPr>
              <w:pStyle w:val="null10"/>
              <w:spacing w:lineRule="exact" w:line="200"/>
            </w:pPr>
            <w:r>
              <w:rPr>
                <w:rFonts w:ascii="方正黑体_GBK" w:hAnsi="方正黑体_GBK" w:cs="宋体" w:eastAsia="方正黑体_GBK"/>
                <w:sz w:val="18"/>
                <w:szCs w:val="18"/>
              </w:rPr>
              <w:t>F份额：业绩比较基准为年化2.4%-2.65% 。</w:t>
            </w:r>
          </w:p>
          <w:p>
            <w:pPr>
              <w:pStyle w:val="null10"/>
              <w:spacing w:lineRule="exact" w:line="200"/>
            </w:pPr>
            <w:r>
              <w:rPr>
                <w:rFonts w:ascii="方正黑体_GBK" w:hAnsi="方正黑体_GBK" w:cs="宋体" w:eastAsia="方正黑体_GBK"/>
                <w:sz w:val="18"/>
                <w:szCs w:val="18"/>
              </w:rPr>
              <w:t>L份额：业绩比较基准为年化2.65%-2.9% 。</w:t>
            </w:r>
          </w:p>
          <w:p>
            <w:pPr>
              <w:pStyle w:val="null10"/>
              <w:spacing w:lineRule="exact" w:line="200"/>
            </w:pPr>
            <w:r>
              <w:rPr>
                <w:rFonts w:ascii="方正黑体_GBK" w:hAnsi="方正黑体_GBK" w:cs="宋体" w:eastAsia="方正黑体_GBK"/>
                <w:sz w:val="18"/>
                <w:szCs w:val="18"/>
              </w:rPr>
              <w:t>O份额：业绩比较基准为年化2.5%-2.75% 。</w:t>
            </w:r>
          </w:p>
          <w:p>
            <w:pPr>
              <w:pStyle w:val="null10"/>
              <w:spacing w:lineRule="exact" w:line="200"/>
            </w:pPr>
            <w:r>
              <w:rPr>
                <w:rFonts w:ascii="方正黑体_GBK" w:hAnsi="方正黑体_GBK" w:cs="宋体" w:eastAsia="方正黑体_GBK"/>
                <w:sz w:val="18"/>
                <w:szCs w:val="18"/>
              </w:rPr>
              <w:t>A2份额：业绩比较基准为年化2.35%-2.6% 。</w:t>
            </w:r>
          </w:p>
          <w:p>
            <w:pPr>
              <w:pStyle w:val="null10"/>
              <w:spacing w:lineRule="exact" w:line="200"/>
            </w:pPr>
            <w:r>
              <w:rPr>
                <w:rFonts w:ascii="方正黑体_GBK" w:hAnsi="方正黑体_GBK" w:cs="宋体" w:eastAsia="方正黑体_GBK"/>
                <w:sz w:val="18"/>
                <w:szCs w:val="18"/>
              </w:rPr>
              <w:t>B2份额：业绩比较基准为年化2.45%-2.7% 。</w:t>
            </w:r>
          </w:p>
          <w:p>
            <w:pPr>
              <w:pStyle w:val="null10"/>
              <w:spacing w:lineRule="exact" w:line="200"/>
            </w:pPr>
            <w:r>
              <w:rPr>
                <w:rFonts w:ascii="方正黑体_GBK" w:hAnsi="方正黑体_GBK" w:cs="宋体" w:eastAsia="方正黑体_GBK"/>
                <w:sz w:val="18"/>
                <w:szCs w:val="18"/>
              </w:rPr>
              <w:t>C2份额：业绩比较基准为年化2.55%-2.8% 。</w:t>
            </w:r>
          </w:p>
          <w:p>
            <w:pPr>
              <w:pStyle w:val="null10"/>
              <w:spacing w:lineRule="exact" w:line="200"/>
            </w:pPr>
            <w:r>
              <w:rPr>
                <w:rFonts w:ascii="方正黑体_GBK" w:hAnsi="方正黑体_GBK" w:cs="宋体" w:eastAsia="方正黑体_GBK"/>
                <w:sz w:val="18"/>
                <w:szCs w:val="18"/>
              </w:rPr>
              <w:t>Q份额：业绩比较基准为年化2.55%-2.8% 。</w:t>
            </w:r>
          </w:p>
          <w:p>
            <w:pPr>
              <w:pStyle w:val="null10"/>
              <w:spacing w:lineRule="exact" w:line="200"/>
            </w:pPr>
            <w:r>
              <w:rPr>
                <w:rFonts w:ascii="方正黑体_GBK" w:hAnsi="方正黑体_GBK" w:cs="宋体" w:eastAsia="方正黑体_GBK"/>
                <w:sz w:val="18"/>
                <w:szCs w:val="18"/>
              </w:rPr>
              <w:t>Q1份额：业绩比较基准为年化2.53%-2.78%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B份额，C2份额：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C份额，L份额：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F份额，A2份额，B2份额：</w:t>
            </w:r>
          </w:p>
          <w:p>
            <w:pPr>
              <w:pStyle w:val="null10"/>
              <w:spacing w:lineRule="exact" w:line="200"/>
            </w:pPr>
            <w:r>
              <w:rPr>
                <w:rFonts w:ascii="方正黑体_GBK" w:hAnsi="方正黑体_GBK" w:cs="宋体" w:eastAsia="方正黑体_GBK"/>
                <w:sz w:val="18"/>
                <w:b/>
                <w:szCs w:val="18"/>
              </w:rPr>
              <w:t>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本理财产品一次性收取年化0.2%的销售费，按日摊销。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Q份额：</w:t>
            </w:r>
          </w:p>
          <w:p>
            <w:pPr>
              <w:pStyle w:val="null10"/>
              <w:spacing w:lineRule="exact" w:line="200"/>
            </w:pPr>
            <w:r>
              <w:rPr>
                <w:rFonts w:ascii="方正黑体_GBK" w:hAnsi="方正黑体_GBK" w:cs="宋体" w:eastAsia="方正黑体_GBK"/>
                <w:sz w:val="18"/>
                <w:b/>
                <w:szCs w:val="18"/>
              </w:rPr>
              <w:t>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Q1份额：</w:t>
            </w:r>
          </w:p>
          <w:p>
            <w:pPr>
              <w:pStyle w:val="null10"/>
              <w:spacing w:lineRule="exact" w:line="200"/>
            </w:pPr>
            <w:r>
              <w:rPr>
                <w:rFonts w:ascii="方正黑体_GBK" w:hAnsi="方正黑体_GBK" w:cs="宋体" w:eastAsia="方正黑体_GBK"/>
                <w:sz w:val="18"/>
                <w:b/>
                <w:szCs w:val="18"/>
              </w:rPr>
              <w:t>本理财产品按前一日理财产品资产净值收取年化0.17%的销售费，按日计提。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F份额：固定管理费年化0.15%</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A2份额：固定管理费年化0.2%</w:t>
            </w:r>
          </w:p>
          <w:p>
            <w:pPr>
              <w:pStyle w:val="null10"/>
              <w:spacing w:lineRule="exact" w:line="200"/>
            </w:pPr>
            <w:r>
              <w:rPr>
                <w:rFonts w:ascii="方正黑体_GBK" w:hAnsi="方正黑体_GBK" w:cs="宋体" w:eastAsia="方正黑体_GBK"/>
                <w:sz w:val="18"/>
                <w:b/>
                <w:szCs w:val="18"/>
              </w:rPr>
              <w:t>B2份额：固定管理费年化0.1%</w:t>
            </w:r>
          </w:p>
          <w:p>
            <w:pPr>
              <w:pStyle w:val="null10"/>
              <w:spacing w:lineRule="exact" w:line="200"/>
            </w:pPr>
            <w:r>
              <w:rPr>
                <w:rFonts w:ascii="方正黑体_GBK" w:hAnsi="方正黑体_GBK" w:cs="宋体" w:eastAsia="方正黑体_GBK"/>
                <w:sz w:val="18"/>
                <w:b/>
                <w:szCs w:val="18"/>
              </w:rPr>
              <w:t>C2份额：固定管理费年化0.1%</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Q1份额：固定管理费年化0.1%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A2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B2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C2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国对外经济贸易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27f86f04"/>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0328f5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0328f5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0328f59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0328f596"/>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0328f59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0328f59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0328f59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0328f596"/>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南银理财珠联璧合鑫逸稳一年277期（绿色金融主题）封闭式公募人民币理财产品</w:t>
      </w:r>
      <w:r>
        <w:rPr>
          <w:rFonts w:ascii="方正黑体_GBK" w:eastAsia="方正黑体_GBK" w:hint="eastAsia" w:hAnsi="方正黑体_GBK"/>
          <w:vanish w:val="0"/>
          <w:color w:val="3D3D3D"/>
          <w:kern w:val="0"/>
          <w:sz w:val="15"/>
          <w:szCs w:val="15"/>
        </w:rPr>
        <w:t>。</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0328f596"/>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0328f59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0328f59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0328f59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110ec42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110ec42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110ec42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110ec42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110ec42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110ec42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0328f59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0328f59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0328f596"/>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110ec424"/>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27f86f04"/>
        <w:keepNext w:val="0"/>
        <w:keepLines w:val="0"/>
        <w:pageBreakBefore w:val="0"/>
        <w:widowControl/>
        <w:suppressLineNumbers w:val="0"/>
        <w:suppressAutoHyphens w:val="0"/>
        <w:spacing w:line="200" w:lineRule="exact"/>
        <w:ind w:firstLineChars="200" w:firstLine="300"/>
        <w:rPr>
          <w:rStyle w:val="110ec424"/>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27f86f0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27f86f0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27f86f0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27f86f0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27f86f0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27f86f0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27f86f0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27f86f0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27f86f0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27f86f0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27f86f04"/>
        <w:keepNext w:val="0"/>
        <w:keepLines w:val="0"/>
        <w:pageBreakBefore w:val="0"/>
        <w:widowControl/>
        <w:numPr>
          <w:ilvl w:val="0"/>
          <w:numId w:val="4"/>
        </w:numPr>
        <w:suppressLineNumbers w:val="0"/>
        <w:suppressAutoHyphens w:val="0"/>
        <w:spacing w:line="200" w:lineRule="exact"/>
        <w:ind w:left="0" w:firstLineChars="200" w:firstLine="300"/>
        <w:rPr>
          <w:rFonts w:ascii="方正黑体_GBK" w:hint="eastAsia" w:hAnsi="方正黑体_GBK" w:eastAsia="方正黑体_GBK"/>
          <w:b/>
          <w:bCs/>
          <w:color w:val="3D3D3D"/>
          <w:kern w:val="0"/>
          <w:sz w:val="15"/>
          <w:szCs w:val="15"/>
        </w:rPr>
      </w:pPr>
      <w:bookmarkStart w:id="0" w:name="_GoBack"/>
      <w:bookmarkEnd w:id="0"/>
      <w:r>
        <w:rPr>
          <w:rFonts w:ascii="方正黑体_GBK" w:hint="eastAsia" w:hAnsi="方正黑体_GBK" w:eastAsia="方正黑体_GBK"/>
          <w:b/>
          <w:bCs/>
          <w:color w:val="3D3D3D"/>
          <w:kern w:val="0"/>
          <w:sz w:val="15"/>
          <w:szCs w:val="15"/>
        </w:rPr>
        <w:t>在本理财产品存续期内：</w:t>
      </w:r>
    </w:p>
    <w:p>
      <w:pPr>
        <w:pStyle w:val="27f86f04"/>
        <w:keepNext w:val="0"/>
        <w:keepLines w:val="0"/>
        <w:pageBreakBefore w:val="0"/>
        <w:widowControl/>
        <w:suppressLineNumbers w:val="0"/>
        <w:suppressAutoHyphens w:val="0"/>
        <w:spacing w:line="200" w:lineRule="exact"/>
        <w:ind w:firstLine="0"/>
        <w:rPr>
          <w:rFonts w:ascii="方正黑体_GBK" w:hint="eastAsia" w:hAnsi="方正黑体_GBK" w:eastAsia="方正黑体_GBK"/>
          <w:bCs/>
          <w:color w:val="3D3D3D"/>
          <w:kern w:val="0"/>
          <w:sz w:val="15"/>
          <w:szCs w:val="15"/>
        </w:rPr>
      </w:pPr>
      <w:r>
        <w:rPr>
          <w:rFonts w:ascii="方正黑体_GBK" w:hint="eastAsia" w:hAnsi="方正黑体_GBK" w:eastAsia="方正黑体_GBK"/>
          <w:b/>
          <w:bCs/>
          <w:color w:val="3D3D3D"/>
          <w:kern w:val="0"/>
          <w:sz w:val="15"/>
          <w:szCs w:val="15"/>
        </w:rPr>
        <w:t xml:space="preserve">    </w:t>
      </w:r>
      <w:r>
        <w:rPr>
          <w:rFonts w:ascii="方正黑体_GBK" w:hint="eastAsia" w:hAnsi="方正黑体_GBK" w:eastAsia="方正黑体_GBK"/>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27f86f0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27f86f0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27f86f0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27f86f0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27f86f04"/>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3"/>
  </w:num>
  <w:num w:numId="3">
    <w:abstractNumId w:val="4"/>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435eec8a">
    <w:name w:val="Normal435eec8a"/>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83f1aee">
    <w:name w:val="heading 1083f1aee"/>
    <w:basedOn w:val="435eec8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9a332e8">
    <w:name w:val="heading 239a332e8"/>
    <w:basedOn w:val="435eec8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dbe5033">
    <w:name w:val="heading 3edbe5033"/>
    <w:basedOn w:val="435eec8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77deafa">
    <w:name w:val="Default Paragraph Font977deafa"/>
  </w:style>
  <w:style xmlns:r="http://schemas.openxmlformats.org/officeDocument/2006/relationships" w:type="paragraph" w:styleId="84666ac0">
    <w:name w:val="toc 184666ac0"/>
    <w:basedOn w:val="435eec8a"/>
    <w:autoRedefine/>
    <w:next w:val="0"/>
  </w:style>
  <w:style xmlns:r="http://schemas.openxmlformats.org/officeDocument/2006/relationships" w:type="paragraph" w:styleId="68a7dbbe">
    <w:name w:val="toc 268a7dbbe"/>
    <w:basedOn w:val="435eec8a"/>
    <w:autoRedefine/>
    <w:next w:val="0"/>
    <w:pPr>
      <w:ind w:left="420"/>
    </w:pPr>
  </w:style>
  <w:style xmlns:r="http://schemas.openxmlformats.org/officeDocument/2006/relationships" w:type="paragraph" w:styleId="c59dbce0">
    <w:name w:val="toc 3c59dbce0"/>
    <w:basedOn w:val="435eec8a"/>
    <w:autoRedefine/>
    <w:next w:val="0"/>
    <w:pPr>
      <w:ind w:left="840"/>
    </w:pPr>
  </w:style>
  <w:style xmlns:r="http://schemas.openxmlformats.org/officeDocument/2006/relationships" w:type="paragraph" w:styleId="289b4878">
    <w:name w:val="toc 4289b4878"/>
    <w:basedOn w:val="435eec8a"/>
    <w:autoRedefine/>
    <w:next w:val="0"/>
    <w:pPr>
      <w:ind w:left="1260"/>
    </w:pPr>
  </w:style>
  <w:style xmlns:r="http://schemas.openxmlformats.org/officeDocument/2006/relationships" w:type="paragraph" w:styleId="784a8c63">
    <w:name w:val="toc 5784a8c63"/>
    <w:basedOn w:val="435eec8a"/>
    <w:autoRedefine/>
    <w:next w:val="0"/>
    <w:pPr>
      <w:ind w:left="1680"/>
    </w:pPr>
  </w:style>
  <w:style xmlns:r="http://schemas.openxmlformats.org/officeDocument/2006/relationships" w:type="paragraph" w:styleId="8dc47cc8">
    <w:name w:val="header8dc47cc8"/>
    <w:basedOn w:val="435eec8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0501462">
    <w:name w:val="footere0501462"/>
    <w:basedOn w:val="435eec8a"/>
    <w:pPr>
      <w:tabs>
        <w:tab w:val="center" w:pos="4153"/>
        <w:tab w:val="right" w:pos="8307"/>
      </w:tabs>
      <w:adjustRightInd/>
      <w:snapToGrid w:val="0"/>
      <w:contextualSpacing w:val="0"/>
      <w:jc w:val="left"/>
    </w:pPr>
    <w:rPr>
      <w:sz w:val="18"/>
    </w:rPr>
  </w:style>
  <w:style xmlns:r="http://schemas.openxmlformats.org/officeDocument/2006/relationships" w:type="character" w:styleId="b6ddf58a">
    <w:name w:val="Strongb6ddf58a"/>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7f86f04">
    <w:name w:val="Normal27f86f0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d41de9df">
    <w:name w:val="heading 1d41de9df"/>
    <w:basedOn w:val="27f86f0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66e7b4b">
    <w:name w:val="heading 2966e7b4b"/>
    <w:basedOn w:val="27f86f0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b3ba495">
    <w:name w:val="heading 3fb3ba495"/>
    <w:basedOn w:val="27f86f0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a4aeea8">
    <w:name w:val="Default Paragraph Font7a4aeea8"/>
  </w:style>
  <w:style xmlns:r="http://schemas.openxmlformats.org/officeDocument/2006/relationships" w:type="paragraph" w:styleId="f49fc6a5">
    <w:name w:val="Normal Indentf49fc6a5"/>
    <w:basedOn w:val="27f86f04"/>
    <w:pPr>
      <w:ind w:firstLineChars="200" w:firstLine="200"/>
    </w:pPr>
  </w:style>
  <w:style xmlns:r="http://schemas.openxmlformats.org/officeDocument/2006/relationships" w:type="paragraph" w:styleId="734420dd">
    <w:name w:val="toc 5734420dd"/>
    <w:basedOn w:val="27f86f04"/>
    <w:next w:val="0"/>
    <w:pPr>
      <w:ind w:left="1680"/>
    </w:pPr>
  </w:style>
  <w:style xmlns:r="http://schemas.openxmlformats.org/officeDocument/2006/relationships" w:type="paragraph" w:styleId="986c0077">
    <w:name w:val="toc 3986c0077"/>
    <w:basedOn w:val="27f86f04"/>
    <w:next w:val="0"/>
    <w:pPr>
      <w:ind w:left="840"/>
    </w:pPr>
  </w:style>
  <w:style xmlns:r="http://schemas.openxmlformats.org/officeDocument/2006/relationships" w:type="paragraph" w:styleId="be9bf803">
    <w:name w:val="footerbe9bf803"/>
    <w:basedOn w:val="27f86f04"/>
    <w:pPr>
      <w:tabs>
        <w:tab w:val="center" w:pos="4153"/>
        <w:tab w:val="right" w:pos="8307"/>
      </w:tabs>
      <w:adjustRightInd/>
      <w:snapToGrid w:val="0"/>
      <w:contextualSpacing w:val="0"/>
      <w:jc w:val="left"/>
    </w:pPr>
    <w:rPr>
      <w:sz w:val="18"/>
    </w:rPr>
  </w:style>
  <w:style xmlns:r="http://schemas.openxmlformats.org/officeDocument/2006/relationships" w:type="paragraph" w:styleId="b48dcc65">
    <w:name w:val="headerb48dcc65"/>
    <w:basedOn w:val="27f86f0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7d5c51e">
    <w:name w:val="toc 1a7d5c51e"/>
    <w:basedOn w:val="27f86f04"/>
    <w:next w:val="0"/>
  </w:style>
  <w:style xmlns:r="http://schemas.openxmlformats.org/officeDocument/2006/relationships" w:type="paragraph" w:styleId="62c532a5">
    <w:name w:val="toc 462c532a5"/>
    <w:basedOn w:val="27f86f04"/>
    <w:next w:val="0"/>
    <w:pPr>
      <w:ind w:left="1260"/>
    </w:pPr>
  </w:style>
  <w:style xmlns:r="http://schemas.openxmlformats.org/officeDocument/2006/relationships" w:type="paragraph" w:styleId="deb83047">
    <w:name w:val="toc 2deb83047"/>
    <w:basedOn w:val="27f86f04"/>
    <w:next w:val="0"/>
    <w:pPr>
      <w:ind w:left="420"/>
    </w:pPr>
  </w:style>
  <w:style xmlns:r="http://schemas.openxmlformats.org/officeDocument/2006/relationships" w:type="paragraph" w:styleId="b94eff8a">
    <w:name w:val="Normal (Web)b94eff8a"/>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328f596">
    <w:name w:val="Normal0328f5960328f59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015d322">
    <w:name w:val="heading 11015d3221015d322"/>
    <w:basedOn w:val="0328f59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318a182">
    <w:name w:val="heading 29318a1829318a182"/>
    <w:basedOn w:val="0328f59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7c29c81">
    <w:name w:val="heading 3d7c29c81d7c29c81"/>
    <w:basedOn w:val="0328f59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f0d6771">
    <w:name w:val="Default Paragraph Font6f0d67716f0d6771"/>
  </w:style>
  <w:style xmlns:r="http://schemas.openxmlformats.org/officeDocument/2006/relationships" w:type="paragraph" w:customStyle="1" w:styleId="3ea5ad1e">
    <w:name w:val="引文目录13ea5ad1e3ea5ad1e"/>
    <w:basedOn w:val="0328f596"/>
    <w:next w:val="0"/>
    <w:pPr>
      <w:ind w:leftChars="200" w:left="200"/>
    </w:pPr>
  </w:style>
  <w:style xmlns:r="http://schemas.openxmlformats.org/officeDocument/2006/relationships" w:type="paragraph" w:styleId="6089a7b4">
    <w:name w:val="toc 56089a7b46089a7b4"/>
    <w:basedOn w:val="0328f596"/>
    <w:next w:val="0"/>
    <w:pPr>
      <w:ind w:left="1680"/>
    </w:pPr>
  </w:style>
  <w:style xmlns:r="http://schemas.openxmlformats.org/officeDocument/2006/relationships" w:type="paragraph" w:styleId="ed686eed">
    <w:name w:val="toc 3ed686eeded686eed"/>
    <w:basedOn w:val="0328f596"/>
    <w:next w:val="0"/>
    <w:pPr>
      <w:ind w:left="840"/>
    </w:pPr>
  </w:style>
  <w:style xmlns:r="http://schemas.openxmlformats.org/officeDocument/2006/relationships" w:type="paragraph" w:styleId="0a116eca">
    <w:name w:val="footer0a116eca0a116eca"/>
    <w:basedOn w:val="0328f596"/>
    <w:pPr>
      <w:tabs>
        <w:tab w:val="center" w:pos="4153"/>
        <w:tab w:val="right" w:pos="8307"/>
      </w:tabs>
      <w:adjustRightInd/>
      <w:snapToGrid w:val="0"/>
      <w:contextualSpacing w:val="0"/>
      <w:jc w:val="left"/>
    </w:pPr>
    <w:rPr>
      <w:sz w:val="18"/>
    </w:rPr>
  </w:style>
  <w:style xmlns:r="http://schemas.openxmlformats.org/officeDocument/2006/relationships" w:type="paragraph" w:styleId="28a9e822">
    <w:name w:val="header28a9e82228a9e822"/>
    <w:basedOn w:val="0328f59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332dfd1">
    <w:name w:val="toc 11332dfd11332dfd1"/>
    <w:basedOn w:val="0328f596"/>
    <w:next w:val="0"/>
  </w:style>
  <w:style xmlns:r="http://schemas.openxmlformats.org/officeDocument/2006/relationships" w:type="paragraph" w:styleId="1e110166">
    <w:name w:val="toc 41e1101661e110166"/>
    <w:basedOn w:val="0328f596"/>
    <w:next w:val="0"/>
    <w:pPr>
      <w:ind w:left="1260"/>
    </w:pPr>
  </w:style>
  <w:style xmlns:r="http://schemas.openxmlformats.org/officeDocument/2006/relationships" w:type="paragraph" w:styleId="a0478eb3">
    <w:name w:val="toc 2a0478eb3a0478eb3"/>
    <w:basedOn w:val="0328f596"/>
    <w:next w:val="0"/>
    <w:pPr>
      <w:ind w:left="420"/>
    </w:pPr>
  </w:style>
  <w:style xmlns:r="http://schemas.openxmlformats.org/officeDocument/2006/relationships" w:type="paragraph" w:customStyle="1" w:styleId="110ec424">
    <w:name w:val="列出段落1110ec424110ec424"/>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