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val="en-US" w:eastAsia="zh-CN"/>
        </w:rPr>
        <w:t>附件2</w:t>
      </w:r>
    </w:p>
    <w:p>
      <w:pPr>
        <w:spacing w:line="520" w:lineRule="exact"/>
        <w:jc w:val="center"/>
        <w:rPr>
          <w:rFonts w:ascii="宋体" w:hAnsi="宋体" w:eastAsia="宋体" w:cs="Times New Roman"/>
          <w:b/>
          <w:sz w:val="32"/>
          <w:szCs w:val="32"/>
        </w:rPr>
      </w:pPr>
      <w:r>
        <w:rPr>
          <w:rFonts w:hint="eastAsia" w:ascii="宋体" w:hAnsi="宋体" w:eastAsia="宋体" w:cs="Times New Roman"/>
          <w:b/>
          <w:sz w:val="32"/>
          <w:szCs w:val="32"/>
        </w:rPr>
        <w:t>江苏南通农村商业银行股份有限公司</w:t>
      </w:r>
    </w:p>
    <w:p>
      <w:pPr>
        <w:spacing w:line="520" w:lineRule="exact"/>
        <w:jc w:val="center"/>
        <w:rPr>
          <w:rFonts w:ascii="宋体" w:hAnsi="宋体" w:eastAsia="宋体" w:cs="Times New Roman"/>
          <w:b/>
          <w:sz w:val="32"/>
          <w:szCs w:val="32"/>
        </w:rPr>
      </w:pPr>
      <w:r>
        <w:rPr>
          <w:rFonts w:hint="eastAsia" w:ascii="宋体" w:hAnsi="宋体" w:eastAsia="宋体" w:cs="Times New Roman"/>
          <w:b/>
          <w:sz w:val="32"/>
          <w:szCs w:val="32"/>
        </w:rPr>
        <w:t>20</w:t>
      </w:r>
      <w:r>
        <w:rPr>
          <w:rFonts w:ascii="宋体" w:hAnsi="宋体" w:eastAsia="宋体" w:cs="Times New Roman"/>
          <w:b/>
          <w:sz w:val="32"/>
          <w:szCs w:val="32"/>
        </w:rPr>
        <w:t>25</w:t>
      </w:r>
      <w:r>
        <w:rPr>
          <w:rFonts w:hint="eastAsia" w:ascii="宋体" w:hAnsi="宋体" w:eastAsia="宋体" w:cs="Times New Roman"/>
          <w:b/>
          <w:sz w:val="32"/>
          <w:szCs w:val="32"/>
        </w:rPr>
        <w:t>年年度股东会授权委托书</w:t>
      </w:r>
    </w:p>
    <w:p>
      <w:pPr>
        <w:spacing w:before="312" w:beforeLines="100" w:line="400" w:lineRule="exact"/>
        <w:ind w:firstLine="520" w:firstLineChars="200"/>
        <w:jc w:val="left"/>
        <w:rPr>
          <w:rFonts w:ascii="仿宋_GB2312" w:hAnsi="宋体" w:eastAsia="仿宋_GB2312" w:cs="Times New Roman"/>
          <w:sz w:val="26"/>
          <w:szCs w:val="26"/>
        </w:rPr>
      </w:pPr>
      <w:r>
        <w:rPr>
          <w:rFonts w:hint="eastAsia" w:ascii="仿宋_GB2312" w:hAnsi="宋体" w:eastAsia="仿宋_GB2312" w:cs="Times New Roman"/>
          <w:sz w:val="26"/>
          <w:szCs w:val="26"/>
        </w:rPr>
        <w:t>兹全权委托</w:t>
      </w:r>
      <w:r>
        <w:rPr>
          <w:rFonts w:hint="eastAsia" w:ascii="仿宋_GB2312" w:hAnsi="宋体" w:eastAsia="仿宋_GB2312" w:cs="Times New Roman"/>
          <w:sz w:val="26"/>
          <w:szCs w:val="26"/>
          <w:u w:val="single"/>
        </w:rPr>
        <w:t xml:space="preserve">   </w:t>
      </w:r>
      <w:r>
        <w:rPr>
          <w:rFonts w:ascii="仿宋_GB2312" w:hAnsi="宋体" w:eastAsia="仿宋_GB2312" w:cs="Times New Roman"/>
          <w:sz w:val="26"/>
          <w:szCs w:val="26"/>
          <w:u w:val="single"/>
        </w:rPr>
        <w:t xml:space="preserve">      </w:t>
      </w:r>
      <w:r>
        <w:rPr>
          <w:rFonts w:hint="eastAsia" w:ascii="仿宋_GB2312" w:hAnsi="宋体" w:eastAsia="仿宋_GB2312" w:cs="Times New Roman"/>
          <w:sz w:val="26"/>
          <w:szCs w:val="26"/>
        </w:rPr>
        <w:t>先生（女士）（身份证号码：</w:t>
      </w:r>
      <w:r>
        <w:rPr>
          <w:rFonts w:hint="eastAsia" w:ascii="仿宋_GB2312" w:hAnsi="宋体" w:eastAsia="仿宋_GB2312" w:cs="Times New Roman"/>
          <w:sz w:val="26"/>
          <w:szCs w:val="26"/>
          <w:u w:val="single"/>
        </w:rPr>
        <w:t xml:space="preserve">                      </w:t>
      </w:r>
      <w:r>
        <w:rPr>
          <w:rFonts w:hint="eastAsia" w:ascii="仿宋_GB2312" w:hAnsi="宋体" w:eastAsia="仿宋_GB2312" w:cs="Times New Roman"/>
          <w:sz w:val="26"/>
          <w:szCs w:val="26"/>
        </w:rPr>
        <w:t>联系方式：</w:t>
      </w:r>
      <w:r>
        <w:rPr>
          <w:rFonts w:hint="eastAsia" w:ascii="仿宋_GB2312" w:hAnsi="宋体" w:eastAsia="仿宋_GB2312" w:cs="Times New Roman"/>
          <w:sz w:val="26"/>
          <w:szCs w:val="26"/>
          <w:u w:val="single"/>
        </w:rPr>
        <w:t xml:space="preserve"> </w:t>
      </w:r>
      <w:r>
        <w:rPr>
          <w:rFonts w:ascii="仿宋_GB2312" w:hAnsi="宋体" w:eastAsia="仿宋_GB2312" w:cs="Times New Roman"/>
          <w:sz w:val="26"/>
          <w:szCs w:val="26"/>
          <w:u w:val="single"/>
        </w:rPr>
        <w:t xml:space="preserve">               </w:t>
      </w:r>
      <w:r>
        <w:rPr>
          <w:rFonts w:hint="eastAsia" w:ascii="仿宋_GB2312" w:hAnsi="宋体" w:eastAsia="仿宋_GB2312" w:cs="Times New Roman"/>
          <w:sz w:val="26"/>
          <w:szCs w:val="26"/>
        </w:rPr>
        <w:t>）代表本人（单位）出席江苏南通农村商业银行股份有限公司</w:t>
      </w:r>
      <w:r>
        <w:rPr>
          <w:rFonts w:hint="eastAsia" w:ascii="仿宋_GB2312" w:hAnsi="Times New Roman" w:eastAsia="仿宋_GB2312" w:cs="Times New Roman"/>
          <w:sz w:val="26"/>
          <w:szCs w:val="26"/>
        </w:rPr>
        <w:t>20</w:t>
      </w:r>
      <w:r>
        <w:rPr>
          <w:rFonts w:ascii="仿宋_GB2312" w:hAnsi="Times New Roman" w:eastAsia="仿宋_GB2312" w:cs="Times New Roman"/>
          <w:sz w:val="26"/>
          <w:szCs w:val="26"/>
        </w:rPr>
        <w:t>25</w:t>
      </w:r>
      <w:r>
        <w:rPr>
          <w:rFonts w:hint="eastAsia" w:ascii="仿宋_GB2312" w:hAnsi="Times New Roman" w:eastAsia="仿宋_GB2312" w:cs="Times New Roman"/>
          <w:sz w:val="26"/>
          <w:szCs w:val="26"/>
        </w:rPr>
        <w:t>年年度</w:t>
      </w:r>
      <w:r>
        <w:rPr>
          <w:rFonts w:hint="eastAsia" w:ascii="仿宋_GB2312" w:hAnsi="宋体" w:eastAsia="仿宋_GB2312" w:cs="Times New Roman"/>
          <w:sz w:val="26"/>
          <w:szCs w:val="26"/>
        </w:rPr>
        <w:t>股东会，并全权代为行使表决权。本授权委托书有效期自签署日起至本次股东会会议结束止。</w:t>
      </w:r>
    </w:p>
    <w:p>
      <w:pPr>
        <w:spacing w:after="156" w:afterLines="50" w:line="400" w:lineRule="exact"/>
        <w:ind w:firstLine="520" w:firstLineChars="200"/>
        <w:rPr>
          <w:rFonts w:ascii="仿宋_GB2312" w:hAnsi="宋体" w:eastAsia="仿宋_GB2312" w:cs="Times New Roman"/>
          <w:sz w:val="26"/>
          <w:szCs w:val="26"/>
        </w:rPr>
      </w:pPr>
      <w:r>
        <w:rPr>
          <w:rFonts w:hint="eastAsia" w:ascii="仿宋_GB2312" w:hAnsi="宋体" w:eastAsia="仿宋_GB2312" w:cs="Times New Roman"/>
          <w:sz w:val="26"/>
          <w:szCs w:val="26"/>
        </w:rPr>
        <w:t>本人（单位）对本次股东会审议的议案，</w:t>
      </w:r>
      <w:r>
        <w:rPr>
          <w:rFonts w:hint="eastAsia" w:ascii="仿宋_GB2312" w:hAnsi="宋体" w:eastAsia="仿宋_GB2312" w:cs="Times New Roman"/>
          <w:bCs/>
          <w:sz w:val="26"/>
          <w:szCs w:val="26"/>
        </w:rPr>
        <w:t>表决意见</w:t>
      </w:r>
      <w:r>
        <w:rPr>
          <w:rFonts w:hint="eastAsia" w:ascii="仿宋_GB2312" w:hAnsi="宋体" w:eastAsia="仿宋_GB2312" w:cs="Times New Roman"/>
          <w:sz w:val="26"/>
          <w:szCs w:val="26"/>
        </w:rPr>
        <w:t>如下：</w:t>
      </w:r>
    </w:p>
    <w:tbl>
      <w:tblPr>
        <w:tblStyle w:val="5"/>
        <w:tblW w:w="5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5885"/>
        <w:gridCol w:w="867"/>
        <w:gridCol w:w="875"/>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444" w:type="pct"/>
            <w:vMerge w:val="restart"/>
            <w:shd w:val="clear" w:color="auto" w:fill="D9D9D9"/>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3209" w:type="pct"/>
            <w:vMerge w:val="restart"/>
            <w:shd w:val="clear" w:color="auto" w:fill="D9D9D9"/>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议案名称</w:t>
            </w:r>
          </w:p>
        </w:tc>
        <w:tc>
          <w:tcPr>
            <w:tcW w:w="1347" w:type="pct"/>
            <w:gridSpan w:val="3"/>
            <w:shd w:val="clear" w:color="auto" w:fill="D9D9D9"/>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表决意见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444" w:type="pct"/>
            <w:vMerge w:val="continue"/>
            <w:vAlign w:val="center"/>
          </w:tcPr>
          <w:p>
            <w:pPr>
              <w:widowControl/>
              <w:jc w:val="left"/>
              <w:rPr>
                <w:rFonts w:ascii="宋体" w:hAnsi="宋体" w:eastAsia="宋体" w:cs="宋体"/>
                <w:b/>
                <w:bCs/>
                <w:color w:val="000000"/>
                <w:kern w:val="0"/>
                <w:sz w:val="24"/>
                <w:szCs w:val="24"/>
              </w:rPr>
            </w:pPr>
          </w:p>
        </w:tc>
        <w:tc>
          <w:tcPr>
            <w:tcW w:w="3209" w:type="pct"/>
            <w:vMerge w:val="continue"/>
            <w:tcBorders>
              <w:bottom w:val="single" w:color="auto" w:sz="4" w:space="0"/>
            </w:tcBorders>
            <w:vAlign w:val="center"/>
          </w:tcPr>
          <w:p>
            <w:pPr>
              <w:widowControl/>
              <w:jc w:val="left"/>
              <w:rPr>
                <w:rFonts w:ascii="宋体" w:hAnsi="宋体" w:eastAsia="宋体" w:cs="宋体"/>
                <w:b/>
                <w:bCs/>
                <w:color w:val="000000"/>
                <w:kern w:val="0"/>
                <w:sz w:val="24"/>
                <w:szCs w:val="24"/>
              </w:rPr>
            </w:pPr>
          </w:p>
        </w:tc>
        <w:tc>
          <w:tcPr>
            <w:tcW w:w="473" w:type="pct"/>
            <w:shd w:val="clear" w:color="auto" w:fill="D9D9D9"/>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同意</w:t>
            </w:r>
          </w:p>
        </w:tc>
        <w:tc>
          <w:tcPr>
            <w:tcW w:w="477" w:type="pct"/>
            <w:shd w:val="clear" w:color="auto" w:fill="D9D9D9"/>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反对</w:t>
            </w:r>
          </w:p>
        </w:tc>
        <w:tc>
          <w:tcPr>
            <w:tcW w:w="397" w:type="pct"/>
            <w:shd w:val="clear" w:color="auto" w:fill="D9D9D9"/>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44" w:type="pct"/>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3209" w:type="pct"/>
            <w:tcBorders>
              <w:top w:val="single" w:color="auto" w:sz="4" w:space="0"/>
              <w:left w:val="nil"/>
              <w:bottom w:val="single" w:color="auto" w:sz="4" w:space="0"/>
              <w:right w:val="nil"/>
            </w:tcBorders>
            <w:shd w:val="clear" w:color="auto" w:fill="auto"/>
            <w:vAlign w:val="bottom"/>
          </w:tcPr>
          <w:p>
            <w:pPr>
              <w:widowControl/>
              <w:jc w:val="left"/>
              <w:rPr>
                <w:rFonts w:ascii="仿宋_GB2312" w:hAnsi="等线" w:eastAsia="仿宋_GB2312"/>
                <w:color w:val="000000"/>
                <w:sz w:val="22"/>
              </w:rPr>
            </w:pPr>
            <w:r>
              <w:rPr>
                <w:rFonts w:hint="eastAsia" w:ascii="仿宋_GB2312" w:hAnsi="等线" w:eastAsia="仿宋_GB2312"/>
                <w:color w:val="000000"/>
                <w:sz w:val="22"/>
              </w:rPr>
              <w:t>江苏南通农村商业银行股份有限公司董事会2025年度工作报告</w:t>
            </w:r>
          </w:p>
        </w:tc>
        <w:tc>
          <w:tcPr>
            <w:tcW w:w="473" w:type="pct"/>
            <w:vAlign w:val="center"/>
          </w:tcPr>
          <w:p>
            <w:pPr>
              <w:widowControl/>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w:t>
            </w:r>
          </w:p>
        </w:tc>
        <w:tc>
          <w:tcPr>
            <w:tcW w:w="477" w:type="pct"/>
            <w:vAlign w:val="center"/>
          </w:tcPr>
          <w:p>
            <w:pPr>
              <w:widowControl/>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w:t>
            </w:r>
          </w:p>
        </w:tc>
        <w:tc>
          <w:tcPr>
            <w:tcW w:w="397" w:type="pct"/>
            <w:vAlign w:val="center"/>
          </w:tcPr>
          <w:p>
            <w:pPr>
              <w:widowControl/>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44" w:type="pct"/>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w:t>
            </w:r>
          </w:p>
        </w:tc>
        <w:tc>
          <w:tcPr>
            <w:tcW w:w="3209" w:type="pct"/>
            <w:tcBorders>
              <w:top w:val="single" w:color="auto" w:sz="4" w:space="0"/>
              <w:left w:val="nil"/>
              <w:bottom w:val="single" w:color="auto" w:sz="4" w:space="0"/>
              <w:right w:val="nil"/>
            </w:tcBorders>
            <w:shd w:val="clear" w:color="auto" w:fill="auto"/>
            <w:vAlign w:val="bottom"/>
          </w:tcPr>
          <w:p>
            <w:pPr>
              <w:rPr>
                <w:rFonts w:ascii="仿宋_GB2312" w:hAnsi="等线" w:eastAsia="仿宋_GB2312"/>
                <w:color w:val="000000"/>
                <w:sz w:val="22"/>
              </w:rPr>
            </w:pPr>
            <w:r>
              <w:rPr>
                <w:rFonts w:hint="eastAsia" w:ascii="仿宋_GB2312" w:hAnsi="等线" w:eastAsia="仿宋_GB2312"/>
                <w:color w:val="000000"/>
                <w:sz w:val="22"/>
              </w:rPr>
              <w:t>江苏南通农村商业银行股份有限公司监事会</w:t>
            </w:r>
            <w:r>
              <w:rPr>
                <w:rFonts w:ascii="仿宋_GB2312" w:hAnsi="等线" w:eastAsia="仿宋_GB2312"/>
                <w:color w:val="000000"/>
                <w:sz w:val="22"/>
              </w:rPr>
              <w:t>2025年度工作报告</w:t>
            </w:r>
          </w:p>
        </w:tc>
        <w:tc>
          <w:tcPr>
            <w:tcW w:w="473" w:type="pct"/>
            <w:vAlign w:val="center"/>
          </w:tcPr>
          <w:p>
            <w:pPr>
              <w:widowControl/>
              <w:jc w:val="center"/>
              <w:rPr>
                <w:rFonts w:ascii="Times New Roman" w:hAnsi="Times New Roman" w:eastAsia="宋体" w:cs="Times New Roman"/>
                <w:color w:val="000000"/>
                <w:kern w:val="0"/>
                <w:sz w:val="20"/>
                <w:szCs w:val="20"/>
              </w:rPr>
            </w:pPr>
          </w:p>
        </w:tc>
        <w:tc>
          <w:tcPr>
            <w:tcW w:w="477" w:type="pct"/>
            <w:vAlign w:val="center"/>
          </w:tcPr>
          <w:p>
            <w:pPr>
              <w:widowControl/>
              <w:jc w:val="center"/>
              <w:rPr>
                <w:rFonts w:ascii="Times New Roman" w:hAnsi="Times New Roman" w:eastAsia="宋体" w:cs="Times New Roman"/>
                <w:color w:val="000000"/>
                <w:kern w:val="0"/>
                <w:sz w:val="20"/>
                <w:szCs w:val="20"/>
              </w:rPr>
            </w:pPr>
          </w:p>
        </w:tc>
        <w:tc>
          <w:tcPr>
            <w:tcW w:w="397" w:type="pct"/>
            <w:vAlign w:val="center"/>
          </w:tcPr>
          <w:p>
            <w:pPr>
              <w:widowControl/>
              <w:jc w:val="center"/>
              <w:rPr>
                <w:rFonts w:ascii="Times New Roman" w:hAnsi="Times New Roman" w:eastAsia="宋体"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44" w:type="pct"/>
            <w:vAlign w:val="center"/>
          </w:tcPr>
          <w:p>
            <w:pPr>
              <w:widowControl/>
              <w:jc w:val="center"/>
              <w:rPr>
                <w:rFonts w:ascii="仿宋_GB2312" w:hAnsi="宋体" w:eastAsia="仿宋_GB2312" w:cs="宋体"/>
                <w:color w:val="000000"/>
                <w:kern w:val="0"/>
                <w:sz w:val="20"/>
                <w:szCs w:val="20"/>
              </w:rPr>
            </w:pPr>
            <w:r>
              <w:rPr>
                <w:rFonts w:ascii="仿宋_GB2312" w:hAnsi="宋体" w:eastAsia="仿宋_GB2312" w:cs="宋体"/>
                <w:color w:val="000000"/>
                <w:kern w:val="0"/>
                <w:sz w:val="20"/>
                <w:szCs w:val="20"/>
              </w:rPr>
              <w:t>3</w:t>
            </w:r>
          </w:p>
        </w:tc>
        <w:tc>
          <w:tcPr>
            <w:tcW w:w="3209" w:type="pct"/>
            <w:tcBorders>
              <w:top w:val="single" w:color="auto" w:sz="4" w:space="0"/>
              <w:left w:val="nil"/>
              <w:bottom w:val="single" w:color="auto" w:sz="4" w:space="0"/>
              <w:right w:val="nil"/>
            </w:tcBorders>
            <w:shd w:val="clear" w:color="auto" w:fill="auto"/>
            <w:vAlign w:val="bottom"/>
          </w:tcPr>
          <w:p>
            <w:pPr>
              <w:rPr>
                <w:rFonts w:ascii="仿宋_GB2312" w:hAnsi="等线" w:eastAsia="仿宋_GB2312"/>
                <w:color w:val="000000"/>
                <w:sz w:val="22"/>
              </w:rPr>
            </w:pPr>
            <w:r>
              <w:rPr>
                <w:rFonts w:hint="eastAsia" w:ascii="仿宋_GB2312" w:hAnsi="等线" w:eastAsia="仿宋_GB2312"/>
                <w:color w:val="000000"/>
                <w:sz w:val="22"/>
              </w:rPr>
              <w:t>江苏南通农村商业银行股份有限公司董事会审计委员会2025年度工作报告</w:t>
            </w:r>
          </w:p>
        </w:tc>
        <w:tc>
          <w:tcPr>
            <w:tcW w:w="473" w:type="pct"/>
            <w:vAlign w:val="center"/>
          </w:tcPr>
          <w:p>
            <w:pPr>
              <w:widowControl/>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w:t>
            </w:r>
          </w:p>
        </w:tc>
        <w:tc>
          <w:tcPr>
            <w:tcW w:w="477" w:type="pct"/>
            <w:vAlign w:val="center"/>
          </w:tcPr>
          <w:p>
            <w:pPr>
              <w:widowControl/>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w:t>
            </w:r>
          </w:p>
        </w:tc>
        <w:tc>
          <w:tcPr>
            <w:tcW w:w="397" w:type="pct"/>
            <w:vAlign w:val="center"/>
          </w:tcPr>
          <w:p>
            <w:pPr>
              <w:widowControl/>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44" w:type="pct"/>
            <w:vAlign w:val="center"/>
          </w:tcPr>
          <w:p>
            <w:pPr>
              <w:widowControl/>
              <w:jc w:val="center"/>
              <w:rPr>
                <w:rFonts w:ascii="仿宋_GB2312" w:hAnsi="宋体" w:eastAsia="仿宋_GB2312" w:cs="宋体"/>
                <w:color w:val="000000"/>
                <w:kern w:val="0"/>
                <w:sz w:val="20"/>
                <w:szCs w:val="20"/>
              </w:rPr>
            </w:pPr>
            <w:r>
              <w:rPr>
                <w:rFonts w:ascii="仿宋_GB2312" w:hAnsi="宋体" w:eastAsia="仿宋_GB2312" w:cs="宋体"/>
                <w:color w:val="000000"/>
                <w:kern w:val="0"/>
                <w:sz w:val="20"/>
                <w:szCs w:val="20"/>
              </w:rPr>
              <w:t>4</w:t>
            </w:r>
          </w:p>
        </w:tc>
        <w:tc>
          <w:tcPr>
            <w:tcW w:w="3209" w:type="pct"/>
            <w:tcBorders>
              <w:top w:val="single" w:color="auto" w:sz="4" w:space="0"/>
              <w:left w:val="nil"/>
              <w:bottom w:val="single" w:color="auto" w:sz="4" w:space="0"/>
              <w:right w:val="nil"/>
            </w:tcBorders>
            <w:shd w:val="clear" w:color="auto" w:fill="auto"/>
            <w:vAlign w:val="bottom"/>
          </w:tcPr>
          <w:p>
            <w:pPr>
              <w:rPr>
                <w:rFonts w:ascii="仿宋_GB2312" w:hAnsi="等线" w:eastAsia="仿宋_GB2312"/>
                <w:color w:val="000000"/>
                <w:sz w:val="22"/>
              </w:rPr>
            </w:pPr>
            <w:r>
              <w:rPr>
                <w:rFonts w:hint="eastAsia" w:ascii="仿宋_GB2312" w:hAnsi="等线" w:eastAsia="仿宋_GB2312"/>
                <w:color w:val="000000"/>
                <w:sz w:val="22"/>
              </w:rPr>
              <w:t>江苏南通农村商业银行股份有限公司关于2025年度财务决算方案的议案</w:t>
            </w:r>
          </w:p>
        </w:tc>
        <w:tc>
          <w:tcPr>
            <w:tcW w:w="473" w:type="pct"/>
            <w:vAlign w:val="center"/>
          </w:tcPr>
          <w:p>
            <w:pPr>
              <w:rPr>
                <w:rFonts w:ascii="宋体" w:hAnsi="宋体" w:eastAsia="宋体" w:cs="宋体"/>
                <w:color w:val="000000"/>
                <w:kern w:val="0"/>
                <w:sz w:val="20"/>
                <w:szCs w:val="20"/>
              </w:rPr>
            </w:pPr>
          </w:p>
        </w:tc>
        <w:tc>
          <w:tcPr>
            <w:tcW w:w="477" w:type="pct"/>
            <w:vAlign w:val="center"/>
          </w:tcPr>
          <w:p>
            <w:pPr>
              <w:widowControl/>
              <w:jc w:val="left"/>
              <w:rPr>
                <w:rFonts w:ascii="Calibri" w:hAnsi="Calibri" w:eastAsia="Times New Roman" w:cs="Times New Roman"/>
                <w:kern w:val="0"/>
                <w:sz w:val="20"/>
                <w:szCs w:val="20"/>
              </w:rPr>
            </w:pPr>
          </w:p>
        </w:tc>
        <w:tc>
          <w:tcPr>
            <w:tcW w:w="397" w:type="pct"/>
            <w:vAlign w:val="center"/>
          </w:tcPr>
          <w:p>
            <w:pPr>
              <w:widowControl/>
              <w:jc w:val="left"/>
              <w:rPr>
                <w:rFonts w:ascii="Calibri" w:hAnsi="Calibri" w:eastAsia="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44" w:type="pct"/>
            <w:vAlign w:val="center"/>
          </w:tcPr>
          <w:p>
            <w:pPr>
              <w:widowControl/>
              <w:jc w:val="center"/>
              <w:rPr>
                <w:rFonts w:ascii="仿宋_GB2312" w:hAnsi="宋体" w:eastAsia="仿宋_GB2312" w:cs="宋体"/>
                <w:color w:val="000000"/>
                <w:kern w:val="0"/>
                <w:sz w:val="20"/>
                <w:szCs w:val="20"/>
              </w:rPr>
            </w:pPr>
            <w:r>
              <w:rPr>
                <w:rFonts w:ascii="仿宋_GB2312" w:hAnsi="宋体" w:eastAsia="仿宋_GB2312" w:cs="宋体"/>
                <w:color w:val="000000"/>
                <w:kern w:val="0"/>
                <w:sz w:val="20"/>
                <w:szCs w:val="20"/>
              </w:rPr>
              <w:t>5</w:t>
            </w:r>
          </w:p>
        </w:tc>
        <w:tc>
          <w:tcPr>
            <w:tcW w:w="3209" w:type="pct"/>
            <w:tcBorders>
              <w:top w:val="single" w:color="auto" w:sz="4" w:space="0"/>
              <w:left w:val="nil"/>
              <w:bottom w:val="single" w:color="auto" w:sz="4" w:space="0"/>
              <w:right w:val="nil"/>
            </w:tcBorders>
            <w:shd w:val="clear" w:color="auto" w:fill="auto"/>
            <w:vAlign w:val="bottom"/>
          </w:tcPr>
          <w:p>
            <w:pPr>
              <w:rPr>
                <w:rFonts w:ascii="仿宋_GB2312" w:hAnsi="等线" w:eastAsia="仿宋_GB2312"/>
                <w:color w:val="000000"/>
                <w:sz w:val="22"/>
              </w:rPr>
            </w:pPr>
            <w:r>
              <w:rPr>
                <w:rFonts w:hint="eastAsia" w:ascii="仿宋_GB2312" w:hAnsi="等线" w:eastAsia="仿宋_GB2312"/>
                <w:color w:val="000000"/>
                <w:sz w:val="22"/>
              </w:rPr>
              <w:t>江苏南通农村商业银行股份有限公司关于2025年度利润分配方案的议案</w:t>
            </w:r>
          </w:p>
        </w:tc>
        <w:tc>
          <w:tcPr>
            <w:tcW w:w="473" w:type="pct"/>
            <w:vAlign w:val="center"/>
          </w:tcPr>
          <w:p>
            <w:pPr>
              <w:widowControl/>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w:t>
            </w:r>
          </w:p>
        </w:tc>
        <w:tc>
          <w:tcPr>
            <w:tcW w:w="477" w:type="pct"/>
            <w:vAlign w:val="center"/>
          </w:tcPr>
          <w:p>
            <w:pPr>
              <w:widowControl/>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w:t>
            </w:r>
          </w:p>
        </w:tc>
        <w:tc>
          <w:tcPr>
            <w:tcW w:w="397" w:type="pct"/>
            <w:vAlign w:val="center"/>
          </w:tcPr>
          <w:p>
            <w:pPr>
              <w:widowControl/>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44" w:type="pct"/>
            <w:vAlign w:val="center"/>
          </w:tcPr>
          <w:p>
            <w:pPr>
              <w:widowControl/>
              <w:jc w:val="center"/>
              <w:rPr>
                <w:rFonts w:ascii="仿宋_GB2312" w:hAnsi="宋体" w:eastAsia="仿宋_GB2312" w:cs="宋体"/>
                <w:color w:val="000000"/>
                <w:kern w:val="0"/>
                <w:sz w:val="20"/>
                <w:szCs w:val="20"/>
              </w:rPr>
            </w:pPr>
            <w:r>
              <w:rPr>
                <w:rFonts w:ascii="仿宋_GB2312" w:hAnsi="宋体" w:eastAsia="仿宋_GB2312" w:cs="宋体"/>
                <w:color w:val="000000"/>
                <w:kern w:val="0"/>
                <w:sz w:val="20"/>
                <w:szCs w:val="20"/>
              </w:rPr>
              <w:t>6</w:t>
            </w:r>
          </w:p>
        </w:tc>
        <w:tc>
          <w:tcPr>
            <w:tcW w:w="3209" w:type="pct"/>
            <w:tcBorders>
              <w:top w:val="single" w:color="auto" w:sz="4" w:space="0"/>
              <w:left w:val="nil"/>
              <w:bottom w:val="single" w:color="auto" w:sz="4" w:space="0"/>
              <w:right w:val="nil"/>
            </w:tcBorders>
            <w:shd w:val="clear" w:color="auto" w:fill="auto"/>
            <w:vAlign w:val="bottom"/>
          </w:tcPr>
          <w:p>
            <w:pPr>
              <w:rPr>
                <w:rFonts w:ascii="仿宋_GB2312" w:hAnsi="等线" w:eastAsia="仿宋_GB2312"/>
                <w:color w:val="000000"/>
                <w:sz w:val="22"/>
              </w:rPr>
            </w:pPr>
            <w:r>
              <w:rPr>
                <w:rFonts w:hint="eastAsia" w:ascii="仿宋_GB2312" w:hAnsi="等线" w:eastAsia="仿宋_GB2312"/>
                <w:color w:val="000000"/>
                <w:sz w:val="22"/>
              </w:rPr>
              <w:t>江苏南通农村商业银行股份有限公司关于2026年度财务预算方案的议案</w:t>
            </w:r>
          </w:p>
        </w:tc>
        <w:tc>
          <w:tcPr>
            <w:tcW w:w="473" w:type="pct"/>
            <w:vAlign w:val="center"/>
          </w:tcPr>
          <w:p>
            <w:pPr>
              <w:rPr>
                <w:rFonts w:ascii="宋体" w:hAnsi="宋体" w:eastAsia="宋体" w:cs="宋体"/>
                <w:color w:val="000000"/>
                <w:kern w:val="0"/>
                <w:sz w:val="20"/>
                <w:szCs w:val="20"/>
              </w:rPr>
            </w:pPr>
          </w:p>
        </w:tc>
        <w:tc>
          <w:tcPr>
            <w:tcW w:w="477" w:type="pct"/>
            <w:vAlign w:val="center"/>
          </w:tcPr>
          <w:p>
            <w:pPr>
              <w:widowControl/>
              <w:jc w:val="left"/>
              <w:rPr>
                <w:rFonts w:ascii="Calibri" w:hAnsi="Calibri" w:eastAsia="Times New Roman" w:cs="Times New Roman"/>
                <w:kern w:val="0"/>
                <w:sz w:val="20"/>
                <w:szCs w:val="20"/>
              </w:rPr>
            </w:pPr>
          </w:p>
        </w:tc>
        <w:tc>
          <w:tcPr>
            <w:tcW w:w="397" w:type="pct"/>
            <w:vAlign w:val="center"/>
          </w:tcPr>
          <w:p>
            <w:pPr>
              <w:widowControl/>
              <w:jc w:val="left"/>
              <w:rPr>
                <w:rFonts w:ascii="Calibri" w:hAnsi="Calibri" w:eastAsia="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44" w:type="pct"/>
            <w:vAlign w:val="center"/>
          </w:tcPr>
          <w:p>
            <w:pPr>
              <w:widowControl/>
              <w:jc w:val="center"/>
              <w:rPr>
                <w:rFonts w:ascii="仿宋_GB2312" w:hAnsi="宋体" w:eastAsia="仿宋_GB2312" w:cs="宋体"/>
                <w:color w:val="000000"/>
                <w:kern w:val="0"/>
                <w:sz w:val="20"/>
                <w:szCs w:val="20"/>
              </w:rPr>
            </w:pPr>
            <w:r>
              <w:rPr>
                <w:rFonts w:ascii="仿宋_GB2312" w:hAnsi="宋体" w:eastAsia="仿宋_GB2312" w:cs="宋体"/>
                <w:color w:val="000000"/>
                <w:kern w:val="0"/>
                <w:sz w:val="20"/>
                <w:szCs w:val="20"/>
              </w:rPr>
              <w:t>7</w:t>
            </w:r>
          </w:p>
        </w:tc>
        <w:tc>
          <w:tcPr>
            <w:tcW w:w="3209" w:type="pct"/>
            <w:tcBorders>
              <w:top w:val="single" w:color="auto" w:sz="4" w:space="0"/>
              <w:left w:val="nil"/>
              <w:bottom w:val="single" w:color="auto" w:sz="4" w:space="0"/>
              <w:right w:val="nil"/>
            </w:tcBorders>
            <w:shd w:val="clear" w:color="auto" w:fill="auto"/>
            <w:vAlign w:val="bottom"/>
          </w:tcPr>
          <w:p>
            <w:pPr>
              <w:rPr>
                <w:rFonts w:ascii="仿宋_GB2312" w:hAnsi="等线" w:eastAsia="仿宋_GB2312"/>
                <w:color w:val="000000"/>
                <w:sz w:val="22"/>
              </w:rPr>
            </w:pPr>
            <w:r>
              <w:rPr>
                <w:rFonts w:hint="eastAsia" w:ascii="仿宋_GB2312" w:hAnsi="等线" w:eastAsia="仿宋_GB2312"/>
                <w:color w:val="000000"/>
                <w:sz w:val="22"/>
              </w:rPr>
              <w:t>江苏南通农村商业银行股份有限公司董事会和董事2025年度履职情况评价报告</w:t>
            </w:r>
          </w:p>
        </w:tc>
        <w:tc>
          <w:tcPr>
            <w:tcW w:w="473" w:type="pct"/>
            <w:vAlign w:val="center"/>
          </w:tcPr>
          <w:p>
            <w:pPr>
              <w:widowControl/>
              <w:jc w:val="center"/>
              <w:rPr>
                <w:rFonts w:ascii="Times New Roman" w:hAnsi="Times New Roman" w:eastAsia="宋体" w:cs="Times New Roman"/>
                <w:color w:val="000000"/>
                <w:kern w:val="0"/>
                <w:sz w:val="20"/>
                <w:szCs w:val="20"/>
              </w:rPr>
            </w:pPr>
          </w:p>
        </w:tc>
        <w:tc>
          <w:tcPr>
            <w:tcW w:w="477" w:type="pct"/>
            <w:vAlign w:val="center"/>
          </w:tcPr>
          <w:p>
            <w:pPr>
              <w:widowControl/>
              <w:jc w:val="center"/>
              <w:rPr>
                <w:rFonts w:ascii="Times New Roman" w:hAnsi="Times New Roman" w:eastAsia="宋体" w:cs="Times New Roman"/>
                <w:color w:val="000000"/>
                <w:kern w:val="0"/>
                <w:sz w:val="20"/>
                <w:szCs w:val="20"/>
              </w:rPr>
            </w:pPr>
          </w:p>
        </w:tc>
        <w:tc>
          <w:tcPr>
            <w:tcW w:w="397" w:type="pct"/>
            <w:vAlign w:val="center"/>
          </w:tcPr>
          <w:p>
            <w:pPr>
              <w:widowControl/>
              <w:jc w:val="center"/>
              <w:rPr>
                <w:rFonts w:ascii="Times New Roman" w:hAnsi="Times New Roman" w:eastAsia="宋体"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4" w:type="pct"/>
            <w:vAlign w:val="center"/>
          </w:tcPr>
          <w:p>
            <w:pPr>
              <w:widowControl/>
              <w:jc w:val="center"/>
              <w:rPr>
                <w:rFonts w:ascii="仿宋_GB2312" w:hAnsi="宋体" w:eastAsia="仿宋_GB2312" w:cs="宋体"/>
                <w:color w:val="000000"/>
                <w:kern w:val="0"/>
                <w:sz w:val="20"/>
                <w:szCs w:val="20"/>
              </w:rPr>
            </w:pPr>
            <w:r>
              <w:rPr>
                <w:rFonts w:ascii="仿宋_GB2312" w:hAnsi="宋体" w:eastAsia="仿宋_GB2312" w:cs="宋体"/>
                <w:color w:val="000000"/>
                <w:kern w:val="0"/>
                <w:sz w:val="20"/>
                <w:szCs w:val="20"/>
              </w:rPr>
              <w:t>8</w:t>
            </w:r>
          </w:p>
        </w:tc>
        <w:tc>
          <w:tcPr>
            <w:tcW w:w="3209" w:type="pct"/>
            <w:tcBorders>
              <w:top w:val="single" w:color="auto" w:sz="4" w:space="0"/>
              <w:left w:val="nil"/>
              <w:bottom w:val="single" w:color="auto" w:sz="4" w:space="0"/>
              <w:right w:val="nil"/>
            </w:tcBorders>
            <w:shd w:val="clear" w:color="auto" w:fill="auto"/>
            <w:vAlign w:val="bottom"/>
          </w:tcPr>
          <w:p>
            <w:pPr>
              <w:rPr>
                <w:rFonts w:ascii="仿宋_GB2312" w:hAnsi="等线" w:eastAsia="仿宋_GB2312"/>
                <w:color w:val="000000"/>
                <w:sz w:val="22"/>
              </w:rPr>
            </w:pPr>
            <w:r>
              <w:rPr>
                <w:rFonts w:hint="eastAsia" w:ascii="仿宋_GB2312" w:hAnsi="等线" w:eastAsia="仿宋_GB2312"/>
                <w:color w:val="000000"/>
                <w:sz w:val="22"/>
              </w:rPr>
              <w:t>江苏南通农村商业银行股份有限公司高级管理层及其成员2025年度履职情况评价报告</w:t>
            </w:r>
          </w:p>
        </w:tc>
        <w:tc>
          <w:tcPr>
            <w:tcW w:w="473" w:type="pct"/>
            <w:vAlign w:val="center"/>
          </w:tcPr>
          <w:p>
            <w:pPr>
              <w:widowControl/>
              <w:jc w:val="center"/>
              <w:rPr>
                <w:rFonts w:ascii="Times New Roman" w:hAnsi="Times New Roman" w:eastAsia="宋体" w:cs="Times New Roman"/>
                <w:color w:val="000000"/>
                <w:kern w:val="0"/>
                <w:sz w:val="20"/>
                <w:szCs w:val="20"/>
              </w:rPr>
            </w:pPr>
          </w:p>
        </w:tc>
        <w:tc>
          <w:tcPr>
            <w:tcW w:w="477" w:type="pct"/>
            <w:vAlign w:val="center"/>
          </w:tcPr>
          <w:p>
            <w:pPr>
              <w:widowControl/>
              <w:jc w:val="center"/>
              <w:rPr>
                <w:rFonts w:ascii="Times New Roman" w:hAnsi="Times New Roman" w:eastAsia="宋体" w:cs="Times New Roman"/>
                <w:color w:val="000000"/>
                <w:kern w:val="0"/>
                <w:sz w:val="20"/>
                <w:szCs w:val="20"/>
              </w:rPr>
            </w:pPr>
          </w:p>
        </w:tc>
        <w:tc>
          <w:tcPr>
            <w:tcW w:w="397" w:type="pct"/>
            <w:vAlign w:val="center"/>
          </w:tcPr>
          <w:p>
            <w:pPr>
              <w:widowControl/>
              <w:jc w:val="center"/>
              <w:rPr>
                <w:rFonts w:ascii="Times New Roman" w:hAnsi="Times New Roman" w:eastAsia="宋体"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4" w:type="pct"/>
            <w:vAlign w:val="center"/>
          </w:tcPr>
          <w:p>
            <w:pPr>
              <w:widowControl/>
              <w:jc w:val="center"/>
              <w:rPr>
                <w:rFonts w:ascii="仿宋_GB2312" w:hAnsi="宋体" w:eastAsia="仿宋_GB2312" w:cs="宋体"/>
                <w:color w:val="000000"/>
                <w:kern w:val="0"/>
                <w:sz w:val="20"/>
                <w:szCs w:val="20"/>
              </w:rPr>
            </w:pPr>
            <w:r>
              <w:rPr>
                <w:rFonts w:ascii="仿宋_GB2312" w:hAnsi="宋体" w:eastAsia="仿宋_GB2312" w:cs="宋体"/>
                <w:color w:val="000000"/>
                <w:kern w:val="0"/>
                <w:sz w:val="20"/>
                <w:szCs w:val="20"/>
              </w:rPr>
              <w:t>9</w:t>
            </w:r>
          </w:p>
        </w:tc>
        <w:tc>
          <w:tcPr>
            <w:tcW w:w="3209" w:type="pct"/>
            <w:tcBorders>
              <w:top w:val="single" w:color="auto" w:sz="4" w:space="0"/>
              <w:left w:val="nil"/>
              <w:bottom w:val="single" w:color="auto" w:sz="4" w:space="0"/>
              <w:right w:val="nil"/>
            </w:tcBorders>
            <w:shd w:val="clear" w:color="auto" w:fill="auto"/>
            <w:vAlign w:val="bottom"/>
          </w:tcPr>
          <w:p>
            <w:pPr>
              <w:rPr>
                <w:rFonts w:ascii="仿宋_GB2312" w:hAnsi="等线" w:eastAsia="仿宋_GB2312"/>
                <w:color w:val="000000"/>
                <w:sz w:val="22"/>
              </w:rPr>
            </w:pPr>
            <w:r>
              <w:rPr>
                <w:rFonts w:hint="eastAsia" w:ascii="仿宋_GB2312" w:hAnsi="等线" w:eastAsia="仿宋_GB2312"/>
                <w:color w:val="000000"/>
                <w:sz w:val="22"/>
              </w:rPr>
              <w:t>江苏南通农村商业银行股份有限公司监事2025年度履职情况评价报告</w:t>
            </w:r>
          </w:p>
        </w:tc>
        <w:tc>
          <w:tcPr>
            <w:tcW w:w="473" w:type="pct"/>
            <w:vAlign w:val="center"/>
          </w:tcPr>
          <w:p>
            <w:pPr>
              <w:widowControl/>
              <w:jc w:val="center"/>
              <w:rPr>
                <w:rFonts w:ascii="Times New Roman" w:hAnsi="Times New Roman" w:eastAsia="宋体" w:cs="Times New Roman"/>
                <w:color w:val="000000"/>
                <w:kern w:val="0"/>
                <w:sz w:val="20"/>
                <w:szCs w:val="20"/>
              </w:rPr>
            </w:pPr>
          </w:p>
        </w:tc>
        <w:tc>
          <w:tcPr>
            <w:tcW w:w="477" w:type="pct"/>
            <w:vAlign w:val="center"/>
          </w:tcPr>
          <w:p>
            <w:pPr>
              <w:widowControl/>
              <w:jc w:val="center"/>
              <w:rPr>
                <w:rFonts w:ascii="Times New Roman" w:hAnsi="Times New Roman" w:eastAsia="宋体" w:cs="Times New Roman"/>
                <w:color w:val="000000"/>
                <w:kern w:val="0"/>
                <w:sz w:val="20"/>
                <w:szCs w:val="20"/>
              </w:rPr>
            </w:pPr>
          </w:p>
        </w:tc>
        <w:tc>
          <w:tcPr>
            <w:tcW w:w="397" w:type="pct"/>
            <w:vAlign w:val="center"/>
          </w:tcPr>
          <w:p>
            <w:pPr>
              <w:widowControl/>
              <w:jc w:val="center"/>
              <w:rPr>
                <w:rFonts w:ascii="Times New Roman" w:hAnsi="Times New Roman" w:eastAsia="宋体"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4" w:type="pct"/>
            <w:vAlign w:val="center"/>
          </w:tcPr>
          <w:p>
            <w:pPr>
              <w:widowControl/>
              <w:jc w:val="center"/>
              <w:rPr>
                <w:rFonts w:ascii="仿宋_GB2312" w:hAnsi="宋体" w:eastAsia="仿宋_GB2312" w:cs="宋体"/>
                <w:color w:val="000000"/>
                <w:kern w:val="0"/>
                <w:sz w:val="20"/>
                <w:szCs w:val="20"/>
              </w:rPr>
            </w:pPr>
            <w:r>
              <w:rPr>
                <w:rFonts w:ascii="仿宋_GB2312" w:hAnsi="宋体" w:eastAsia="仿宋_GB2312" w:cs="宋体"/>
                <w:color w:val="000000"/>
                <w:kern w:val="0"/>
                <w:sz w:val="20"/>
                <w:szCs w:val="20"/>
              </w:rPr>
              <w:t>10</w:t>
            </w:r>
          </w:p>
        </w:tc>
        <w:tc>
          <w:tcPr>
            <w:tcW w:w="3209" w:type="pct"/>
            <w:tcBorders>
              <w:top w:val="single" w:color="auto" w:sz="4" w:space="0"/>
              <w:left w:val="nil"/>
              <w:bottom w:val="single" w:color="auto" w:sz="4" w:space="0"/>
              <w:right w:val="nil"/>
            </w:tcBorders>
            <w:shd w:val="clear" w:color="auto" w:fill="auto"/>
            <w:vAlign w:val="bottom"/>
          </w:tcPr>
          <w:p>
            <w:pPr>
              <w:rPr>
                <w:rFonts w:ascii="仿宋_GB2312" w:hAnsi="等线" w:eastAsia="仿宋_GB2312"/>
                <w:color w:val="000000"/>
                <w:sz w:val="22"/>
              </w:rPr>
            </w:pPr>
            <w:r>
              <w:rPr>
                <w:rFonts w:hint="eastAsia" w:ascii="仿宋_GB2312" w:hAnsi="等线" w:eastAsia="仿宋_GB2312"/>
                <w:color w:val="000000"/>
                <w:sz w:val="22"/>
              </w:rPr>
              <w:t>江苏南通农村商业银行股份有限公司关于部分关联方关联交易预计额度的议案</w:t>
            </w:r>
          </w:p>
        </w:tc>
        <w:tc>
          <w:tcPr>
            <w:tcW w:w="473" w:type="pct"/>
            <w:vAlign w:val="center"/>
          </w:tcPr>
          <w:p>
            <w:pPr>
              <w:widowControl/>
              <w:jc w:val="center"/>
              <w:rPr>
                <w:rFonts w:ascii="Times New Roman" w:hAnsi="Times New Roman" w:eastAsia="宋体" w:cs="Times New Roman"/>
                <w:color w:val="000000"/>
                <w:kern w:val="0"/>
                <w:sz w:val="20"/>
                <w:szCs w:val="20"/>
              </w:rPr>
            </w:pPr>
          </w:p>
        </w:tc>
        <w:tc>
          <w:tcPr>
            <w:tcW w:w="477" w:type="pct"/>
            <w:vAlign w:val="center"/>
          </w:tcPr>
          <w:p>
            <w:pPr>
              <w:widowControl/>
              <w:jc w:val="center"/>
              <w:rPr>
                <w:rFonts w:ascii="Times New Roman" w:hAnsi="Times New Roman" w:eastAsia="宋体" w:cs="Times New Roman"/>
                <w:color w:val="000000"/>
                <w:kern w:val="0"/>
                <w:sz w:val="20"/>
                <w:szCs w:val="20"/>
              </w:rPr>
            </w:pPr>
          </w:p>
        </w:tc>
        <w:tc>
          <w:tcPr>
            <w:tcW w:w="397" w:type="pct"/>
            <w:vAlign w:val="center"/>
          </w:tcPr>
          <w:p>
            <w:pPr>
              <w:widowControl/>
              <w:jc w:val="center"/>
              <w:rPr>
                <w:rFonts w:ascii="Times New Roman" w:hAnsi="Times New Roman" w:eastAsia="宋体"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4" w:type="pct"/>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r>
              <w:rPr>
                <w:rFonts w:ascii="仿宋_GB2312" w:hAnsi="宋体" w:eastAsia="仿宋_GB2312" w:cs="宋体"/>
                <w:color w:val="000000"/>
                <w:kern w:val="0"/>
                <w:sz w:val="20"/>
                <w:szCs w:val="20"/>
              </w:rPr>
              <w:t>1</w:t>
            </w:r>
          </w:p>
        </w:tc>
        <w:tc>
          <w:tcPr>
            <w:tcW w:w="3209" w:type="pct"/>
            <w:tcBorders>
              <w:top w:val="single" w:color="auto" w:sz="4" w:space="0"/>
              <w:left w:val="nil"/>
              <w:bottom w:val="single" w:color="auto" w:sz="4" w:space="0"/>
              <w:right w:val="nil"/>
            </w:tcBorders>
            <w:shd w:val="clear" w:color="auto" w:fill="auto"/>
            <w:vAlign w:val="center"/>
          </w:tcPr>
          <w:p>
            <w:pPr>
              <w:jc w:val="center"/>
              <w:rPr>
                <w:rFonts w:ascii="仿宋_GB2312" w:hAnsi="等线" w:eastAsia="仿宋_GB2312"/>
                <w:color w:val="000000"/>
                <w:sz w:val="22"/>
              </w:rPr>
            </w:pPr>
            <w:r>
              <w:rPr>
                <w:rFonts w:hint="eastAsia" w:ascii="仿宋_GB2312" w:hAnsi="等线" w:eastAsia="仿宋_GB2312"/>
                <w:color w:val="000000"/>
                <w:sz w:val="22"/>
              </w:rPr>
              <w:t>江苏南通农村商业银行股份有限公司关于选举董事的议案</w:t>
            </w:r>
          </w:p>
        </w:tc>
        <w:tc>
          <w:tcPr>
            <w:tcW w:w="473" w:type="pct"/>
            <w:vAlign w:val="center"/>
          </w:tcPr>
          <w:p>
            <w:pPr>
              <w:widowControl/>
              <w:jc w:val="center"/>
              <w:rPr>
                <w:rFonts w:ascii="Times New Roman" w:hAnsi="Times New Roman" w:eastAsia="宋体" w:cs="Times New Roman"/>
                <w:color w:val="000000"/>
                <w:kern w:val="0"/>
                <w:sz w:val="20"/>
                <w:szCs w:val="20"/>
              </w:rPr>
            </w:pPr>
          </w:p>
        </w:tc>
        <w:tc>
          <w:tcPr>
            <w:tcW w:w="477" w:type="pct"/>
            <w:vAlign w:val="center"/>
          </w:tcPr>
          <w:p>
            <w:pPr>
              <w:widowControl/>
              <w:jc w:val="center"/>
              <w:rPr>
                <w:rFonts w:ascii="Times New Roman" w:hAnsi="Times New Roman" w:eastAsia="宋体" w:cs="Times New Roman"/>
                <w:color w:val="000000"/>
                <w:kern w:val="0"/>
                <w:sz w:val="20"/>
                <w:szCs w:val="20"/>
              </w:rPr>
            </w:pPr>
          </w:p>
        </w:tc>
        <w:tc>
          <w:tcPr>
            <w:tcW w:w="397" w:type="pct"/>
            <w:vAlign w:val="center"/>
          </w:tcPr>
          <w:p>
            <w:pPr>
              <w:widowControl/>
              <w:jc w:val="center"/>
              <w:rPr>
                <w:rFonts w:ascii="Times New Roman" w:hAnsi="Times New Roman" w:eastAsia="宋体"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4" w:type="pct"/>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r>
              <w:rPr>
                <w:rFonts w:ascii="仿宋_GB2312" w:hAnsi="宋体" w:eastAsia="仿宋_GB2312" w:cs="宋体"/>
                <w:color w:val="000000"/>
                <w:kern w:val="0"/>
                <w:sz w:val="20"/>
                <w:szCs w:val="20"/>
              </w:rPr>
              <w:t>2</w:t>
            </w:r>
          </w:p>
        </w:tc>
        <w:tc>
          <w:tcPr>
            <w:tcW w:w="3209" w:type="pct"/>
            <w:tcBorders>
              <w:top w:val="single" w:color="auto" w:sz="4" w:space="0"/>
              <w:left w:val="nil"/>
              <w:bottom w:val="single" w:color="auto" w:sz="4" w:space="0"/>
              <w:right w:val="nil"/>
            </w:tcBorders>
            <w:shd w:val="clear" w:color="auto" w:fill="auto"/>
            <w:vAlign w:val="bottom"/>
          </w:tcPr>
          <w:p>
            <w:pPr>
              <w:rPr>
                <w:rFonts w:ascii="仿宋_GB2312" w:hAnsi="等线" w:eastAsia="仿宋_GB2312"/>
                <w:color w:val="000000"/>
                <w:sz w:val="22"/>
              </w:rPr>
            </w:pPr>
            <w:r>
              <w:rPr>
                <w:rFonts w:hint="eastAsia" w:ascii="仿宋_GB2312" w:hAnsi="等线" w:eastAsia="仿宋_GB2312"/>
                <w:color w:val="000000"/>
                <w:sz w:val="22"/>
              </w:rPr>
              <w:t>关于修订《江苏南通农村商业银行股份有限公司章程》的议案</w:t>
            </w:r>
          </w:p>
        </w:tc>
        <w:tc>
          <w:tcPr>
            <w:tcW w:w="473" w:type="pct"/>
            <w:vAlign w:val="center"/>
          </w:tcPr>
          <w:p>
            <w:pPr>
              <w:widowControl/>
              <w:jc w:val="center"/>
              <w:rPr>
                <w:rFonts w:ascii="Times New Roman" w:hAnsi="Times New Roman" w:eastAsia="宋体" w:cs="Times New Roman"/>
                <w:color w:val="000000"/>
                <w:kern w:val="0"/>
                <w:sz w:val="20"/>
                <w:szCs w:val="20"/>
              </w:rPr>
            </w:pPr>
          </w:p>
        </w:tc>
        <w:tc>
          <w:tcPr>
            <w:tcW w:w="477" w:type="pct"/>
            <w:vAlign w:val="center"/>
          </w:tcPr>
          <w:p>
            <w:pPr>
              <w:widowControl/>
              <w:jc w:val="center"/>
              <w:rPr>
                <w:rFonts w:ascii="Times New Roman" w:hAnsi="Times New Roman" w:eastAsia="宋体" w:cs="Times New Roman"/>
                <w:color w:val="000000"/>
                <w:kern w:val="0"/>
                <w:sz w:val="20"/>
                <w:szCs w:val="20"/>
              </w:rPr>
            </w:pPr>
          </w:p>
        </w:tc>
        <w:tc>
          <w:tcPr>
            <w:tcW w:w="397" w:type="pct"/>
            <w:vAlign w:val="center"/>
          </w:tcPr>
          <w:p>
            <w:pPr>
              <w:widowControl/>
              <w:jc w:val="center"/>
              <w:rPr>
                <w:rFonts w:ascii="Times New Roman" w:hAnsi="Times New Roman" w:eastAsia="宋体"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4" w:type="pct"/>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r>
              <w:rPr>
                <w:rFonts w:ascii="仿宋_GB2312" w:hAnsi="宋体" w:eastAsia="仿宋_GB2312" w:cs="宋体"/>
                <w:color w:val="000000"/>
                <w:kern w:val="0"/>
                <w:sz w:val="20"/>
                <w:szCs w:val="20"/>
              </w:rPr>
              <w:t>3</w:t>
            </w:r>
          </w:p>
        </w:tc>
        <w:tc>
          <w:tcPr>
            <w:tcW w:w="3209" w:type="pct"/>
            <w:tcBorders>
              <w:top w:val="single" w:color="auto" w:sz="4" w:space="0"/>
              <w:left w:val="nil"/>
              <w:bottom w:val="single" w:color="auto" w:sz="4" w:space="0"/>
              <w:right w:val="nil"/>
            </w:tcBorders>
            <w:shd w:val="clear" w:color="auto" w:fill="auto"/>
            <w:vAlign w:val="bottom"/>
          </w:tcPr>
          <w:p>
            <w:pPr>
              <w:rPr>
                <w:rFonts w:ascii="仿宋_GB2312" w:hAnsi="等线" w:eastAsia="仿宋_GB2312"/>
                <w:color w:val="000000"/>
                <w:sz w:val="22"/>
              </w:rPr>
            </w:pPr>
            <w:r>
              <w:rPr>
                <w:rFonts w:hint="eastAsia" w:ascii="仿宋_GB2312" w:hAnsi="等线" w:eastAsia="仿宋_GB2312"/>
                <w:color w:val="000000"/>
                <w:sz w:val="22"/>
              </w:rPr>
              <w:t>关于修订《江苏南通农村商业银行股份有限公司股东会议事规则》的议案</w:t>
            </w:r>
          </w:p>
        </w:tc>
        <w:tc>
          <w:tcPr>
            <w:tcW w:w="473" w:type="pct"/>
            <w:vAlign w:val="center"/>
          </w:tcPr>
          <w:p>
            <w:pPr>
              <w:widowControl/>
              <w:jc w:val="center"/>
              <w:rPr>
                <w:rFonts w:ascii="Times New Roman" w:hAnsi="Times New Roman" w:eastAsia="宋体" w:cs="Times New Roman"/>
                <w:color w:val="000000"/>
                <w:kern w:val="0"/>
                <w:sz w:val="20"/>
                <w:szCs w:val="20"/>
              </w:rPr>
            </w:pPr>
          </w:p>
        </w:tc>
        <w:tc>
          <w:tcPr>
            <w:tcW w:w="477" w:type="pct"/>
            <w:vAlign w:val="center"/>
          </w:tcPr>
          <w:p>
            <w:pPr>
              <w:widowControl/>
              <w:jc w:val="center"/>
              <w:rPr>
                <w:rFonts w:ascii="Times New Roman" w:hAnsi="Times New Roman" w:eastAsia="宋体" w:cs="Times New Roman"/>
                <w:color w:val="000000"/>
                <w:kern w:val="0"/>
                <w:sz w:val="20"/>
                <w:szCs w:val="20"/>
              </w:rPr>
            </w:pPr>
          </w:p>
        </w:tc>
        <w:tc>
          <w:tcPr>
            <w:tcW w:w="397" w:type="pct"/>
            <w:vAlign w:val="center"/>
          </w:tcPr>
          <w:p>
            <w:pPr>
              <w:widowControl/>
              <w:jc w:val="center"/>
              <w:rPr>
                <w:rFonts w:ascii="Times New Roman" w:hAnsi="Times New Roman" w:eastAsia="宋体"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4" w:type="pct"/>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r>
              <w:rPr>
                <w:rFonts w:ascii="仿宋_GB2312" w:hAnsi="宋体" w:eastAsia="仿宋_GB2312" w:cs="宋体"/>
                <w:color w:val="000000"/>
                <w:kern w:val="0"/>
                <w:sz w:val="20"/>
                <w:szCs w:val="20"/>
              </w:rPr>
              <w:t>4</w:t>
            </w:r>
          </w:p>
        </w:tc>
        <w:tc>
          <w:tcPr>
            <w:tcW w:w="3209" w:type="pct"/>
            <w:tcBorders>
              <w:top w:val="single" w:color="auto" w:sz="4" w:space="0"/>
              <w:left w:val="nil"/>
              <w:bottom w:val="single" w:color="auto" w:sz="4" w:space="0"/>
              <w:right w:val="nil"/>
            </w:tcBorders>
            <w:shd w:val="clear" w:color="auto" w:fill="auto"/>
            <w:vAlign w:val="bottom"/>
          </w:tcPr>
          <w:p>
            <w:pPr>
              <w:rPr>
                <w:rFonts w:ascii="仿宋_GB2312" w:hAnsi="等线" w:eastAsia="仿宋_GB2312"/>
                <w:color w:val="000000"/>
                <w:sz w:val="22"/>
              </w:rPr>
            </w:pPr>
            <w:r>
              <w:rPr>
                <w:rFonts w:hint="eastAsia" w:ascii="仿宋_GB2312" w:hAnsi="等线" w:eastAsia="仿宋_GB2312"/>
                <w:color w:val="000000"/>
                <w:sz w:val="22"/>
              </w:rPr>
              <w:t>关于修订《江苏南通农村商业银行股份有限公司股份管理办法》的议案</w:t>
            </w:r>
          </w:p>
        </w:tc>
        <w:tc>
          <w:tcPr>
            <w:tcW w:w="473" w:type="pct"/>
            <w:vAlign w:val="center"/>
          </w:tcPr>
          <w:p>
            <w:pPr>
              <w:widowControl/>
              <w:jc w:val="center"/>
              <w:rPr>
                <w:rFonts w:ascii="Times New Roman" w:hAnsi="Times New Roman" w:eastAsia="宋体" w:cs="Times New Roman"/>
                <w:color w:val="000000"/>
                <w:kern w:val="0"/>
                <w:sz w:val="20"/>
                <w:szCs w:val="20"/>
              </w:rPr>
            </w:pPr>
          </w:p>
        </w:tc>
        <w:tc>
          <w:tcPr>
            <w:tcW w:w="477" w:type="pct"/>
            <w:vAlign w:val="center"/>
          </w:tcPr>
          <w:p>
            <w:pPr>
              <w:widowControl/>
              <w:jc w:val="center"/>
              <w:rPr>
                <w:rFonts w:ascii="Times New Roman" w:hAnsi="Times New Roman" w:eastAsia="宋体" w:cs="Times New Roman"/>
                <w:color w:val="000000"/>
                <w:kern w:val="0"/>
                <w:sz w:val="20"/>
                <w:szCs w:val="20"/>
              </w:rPr>
            </w:pPr>
          </w:p>
        </w:tc>
        <w:tc>
          <w:tcPr>
            <w:tcW w:w="397" w:type="pct"/>
            <w:vAlign w:val="center"/>
          </w:tcPr>
          <w:p>
            <w:pPr>
              <w:widowControl/>
              <w:jc w:val="center"/>
              <w:rPr>
                <w:rFonts w:ascii="Times New Roman" w:hAnsi="Times New Roman" w:eastAsia="宋体"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4" w:type="pct"/>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r>
              <w:rPr>
                <w:rFonts w:ascii="仿宋_GB2312" w:hAnsi="宋体" w:eastAsia="仿宋_GB2312" w:cs="宋体"/>
                <w:color w:val="000000"/>
                <w:kern w:val="0"/>
                <w:sz w:val="20"/>
                <w:szCs w:val="20"/>
              </w:rPr>
              <w:t>5</w:t>
            </w:r>
          </w:p>
        </w:tc>
        <w:tc>
          <w:tcPr>
            <w:tcW w:w="3209" w:type="pct"/>
            <w:tcBorders>
              <w:top w:val="single" w:color="auto" w:sz="4" w:space="0"/>
              <w:left w:val="nil"/>
              <w:bottom w:val="single" w:color="auto" w:sz="4" w:space="0"/>
              <w:right w:val="nil"/>
            </w:tcBorders>
            <w:shd w:val="clear" w:color="auto" w:fill="auto"/>
            <w:vAlign w:val="bottom"/>
          </w:tcPr>
          <w:p>
            <w:pPr>
              <w:rPr>
                <w:rFonts w:ascii="仿宋_GB2312" w:hAnsi="等线" w:eastAsia="仿宋_GB2312"/>
                <w:color w:val="000000"/>
                <w:sz w:val="22"/>
              </w:rPr>
            </w:pPr>
            <w:r>
              <w:rPr>
                <w:rFonts w:hint="eastAsia" w:ascii="仿宋_GB2312" w:hAnsi="等线" w:eastAsia="仿宋_GB2312"/>
                <w:color w:val="000000"/>
                <w:sz w:val="22"/>
              </w:rPr>
              <w:t>关于修订《江苏南通农村商业银行股份有限公司信息披露制度》的议案</w:t>
            </w:r>
          </w:p>
        </w:tc>
        <w:tc>
          <w:tcPr>
            <w:tcW w:w="473" w:type="pct"/>
            <w:vAlign w:val="center"/>
          </w:tcPr>
          <w:p>
            <w:pPr>
              <w:widowControl/>
              <w:jc w:val="center"/>
              <w:rPr>
                <w:rFonts w:ascii="Times New Roman" w:hAnsi="Times New Roman" w:eastAsia="宋体" w:cs="Times New Roman"/>
                <w:color w:val="000000"/>
                <w:kern w:val="0"/>
                <w:sz w:val="20"/>
                <w:szCs w:val="20"/>
              </w:rPr>
            </w:pPr>
          </w:p>
        </w:tc>
        <w:tc>
          <w:tcPr>
            <w:tcW w:w="477" w:type="pct"/>
            <w:vAlign w:val="center"/>
          </w:tcPr>
          <w:p>
            <w:pPr>
              <w:widowControl/>
              <w:jc w:val="center"/>
              <w:rPr>
                <w:rFonts w:ascii="Times New Roman" w:hAnsi="Times New Roman" w:eastAsia="宋体" w:cs="Times New Roman"/>
                <w:color w:val="000000"/>
                <w:kern w:val="0"/>
                <w:sz w:val="20"/>
                <w:szCs w:val="20"/>
              </w:rPr>
            </w:pPr>
          </w:p>
        </w:tc>
        <w:tc>
          <w:tcPr>
            <w:tcW w:w="397" w:type="pct"/>
            <w:vAlign w:val="center"/>
          </w:tcPr>
          <w:p>
            <w:pPr>
              <w:widowControl/>
              <w:jc w:val="center"/>
              <w:rPr>
                <w:rFonts w:ascii="Times New Roman" w:hAnsi="Times New Roman" w:eastAsia="宋体"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4" w:type="pct"/>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r>
              <w:rPr>
                <w:rFonts w:ascii="仿宋_GB2312" w:hAnsi="宋体" w:eastAsia="仿宋_GB2312" w:cs="宋体"/>
                <w:color w:val="000000"/>
                <w:kern w:val="0"/>
                <w:sz w:val="20"/>
                <w:szCs w:val="20"/>
              </w:rPr>
              <w:t>6</w:t>
            </w:r>
          </w:p>
        </w:tc>
        <w:tc>
          <w:tcPr>
            <w:tcW w:w="3209" w:type="pct"/>
            <w:tcBorders>
              <w:top w:val="single" w:color="auto" w:sz="4" w:space="0"/>
              <w:left w:val="nil"/>
              <w:bottom w:val="single" w:color="auto" w:sz="4" w:space="0"/>
              <w:right w:val="nil"/>
            </w:tcBorders>
            <w:shd w:val="clear" w:color="auto" w:fill="auto"/>
            <w:vAlign w:val="bottom"/>
          </w:tcPr>
          <w:p>
            <w:pPr>
              <w:rPr>
                <w:rFonts w:ascii="仿宋_GB2312" w:hAnsi="等线" w:eastAsia="仿宋_GB2312"/>
                <w:color w:val="000000"/>
                <w:sz w:val="22"/>
              </w:rPr>
            </w:pPr>
            <w:r>
              <w:rPr>
                <w:rFonts w:hint="eastAsia" w:ascii="仿宋_GB2312" w:hAnsi="等线" w:eastAsia="仿宋_GB2312"/>
                <w:color w:val="000000"/>
                <w:sz w:val="22"/>
              </w:rPr>
              <w:t>关于修订《江苏南通农村商业银行股份有限公司独立董事管理办法》的议案</w:t>
            </w:r>
          </w:p>
        </w:tc>
        <w:tc>
          <w:tcPr>
            <w:tcW w:w="473" w:type="pct"/>
            <w:vAlign w:val="center"/>
          </w:tcPr>
          <w:p>
            <w:pPr>
              <w:widowControl/>
              <w:jc w:val="center"/>
              <w:rPr>
                <w:rFonts w:ascii="Times New Roman" w:hAnsi="Times New Roman" w:eastAsia="宋体" w:cs="Times New Roman"/>
                <w:color w:val="000000"/>
                <w:kern w:val="0"/>
                <w:sz w:val="20"/>
                <w:szCs w:val="20"/>
              </w:rPr>
            </w:pPr>
          </w:p>
        </w:tc>
        <w:tc>
          <w:tcPr>
            <w:tcW w:w="477" w:type="pct"/>
            <w:vAlign w:val="center"/>
          </w:tcPr>
          <w:p>
            <w:pPr>
              <w:widowControl/>
              <w:jc w:val="center"/>
              <w:rPr>
                <w:rFonts w:ascii="Times New Roman" w:hAnsi="Times New Roman" w:eastAsia="宋体" w:cs="Times New Roman"/>
                <w:color w:val="000000"/>
                <w:kern w:val="0"/>
                <w:sz w:val="20"/>
                <w:szCs w:val="20"/>
              </w:rPr>
            </w:pPr>
          </w:p>
        </w:tc>
        <w:tc>
          <w:tcPr>
            <w:tcW w:w="397" w:type="pct"/>
            <w:vAlign w:val="center"/>
          </w:tcPr>
          <w:p>
            <w:pPr>
              <w:widowControl/>
              <w:jc w:val="center"/>
              <w:rPr>
                <w:rFonts w:ascii="Times New Roman" w:hAnsi="Times New Roman" w:eastAsia="宋体" w:cs="Times New Roman"/>
                <w:color w:val="000000"/>
                <w:kern w:val="0"/>
                <w:sz w:val="20"/>
                <w:szCs w:val="20"/>
              </w:rPr>
            </w:pPr>
          </w:p>
        </w:tc>
      </w:tr>
    </w:tbl>
    <w:p>
      <w:pPr>
        <w:spacing w:before="62" w:beforeLines="20" w:line="360" w:lineRule="exact"/>
        <w:ind w:firstLine="520" w:firstLineChars="200"/>
        <w:jc w:val="left"/>
        <w:rPr>
          <w:rFonts w:ascii="仿宋_GB2312" w:hAnsi="宋体" w:eastAsia="仿宋_GB2312" w:cs="Times New Roman"/>
          <w:sz w:val="26"/>
          <w:szCs w:val="26"/>
        </w:rPr>
      </w:pPr>
      <w:r>
        <w:rPr>
          <w:rFonts w:hint="eastAsia" w:ascii="仿宋_GB2312" w:hAnsi="宋体" w:eastAsia="仿宋_GB2312" w:cs="Times New Roman"/>
          <w:sz w:val="26"/>
          <w:szCs w:val="26"/>
        </w:rPr>
        <w:t>注：委托人应对上述审议议案选择“同意、反对、弃权”，并在相应表格内划“√”,并且只能选择一项，未填、错填、字迹无法辨认的，视为委托人不作具体指示或指示不明。</w:t>
      </w:r>
    </w:p>
    <w:p>
      <w:pPr>
        <w:spacing w:before="156" w:beforeLines="50" w:line="360" w:lineRule="exact"/>
        <w:ind w:firstLine="522" w:firstLineChars="200"/>
        <w:jc w:val="left"/>
        <w:rPr>
          <w:rFonts w:ascii="仿宋_GB2312" w:hAnsi="宋体" w:eastAsia="仿宋_GB2312" w:cs="Times New Roman"/>
          <w:b/>
          <w:sz w:val="26"/>
          <w:szCs w:val="26"/>
        </w:rPr>
      </w:pPr>
      <w:r>
        <w:rPr>
          <w:rFonts w:hint="eastAsia" w:ascii="仿宋_GB2312" w:hAnsi="宋体" w:eastAsia="仿宋_GB2312" w:cs="Times New Roman"/>
          <w:b/>
          <w:sz w:val="26"/>
          <w:szCs w:val="26"/>
        </w:rPr>
        <w:t>若委托人不作具体指示或指示不明时，代理人可以按自己的意思表决，由此造成的法律后果应由委托人承担。</w:t>
      </w:r>
    </w:p>
    <w:p>
      <w:pPr>
        <w:spacing w:before="156" w:beforeLines="50" w:line="360" w:lineRule="exact"/>
        <w:ind w:firstLine="522" w:firstLineChars="200"/>
        <w:jc w:val="left"/>
        <w:rPr>
          <w:rFonts w:ascii="仿宋_GB2312" w:hAnsi="宋体" w:eastAsia="仿宋_GB2312" w:cs="Times New Roman"/>
          <w:b/>
          <w:sz w:val="26"/>
          <w:szCs w:val="26"/>
        </w:rPr>
      </w:pPr>
    </w:p>
    <w:p>
      <w:pPr>
        <w:spacing w:before="156" w:beforeLines="50" w:line="360" w:lineRule="exact"/>
        <w:ind w:right="480" w:firstLine="4680" w:firstLineChars="1800"/>
        <w:jc w:val="left"/>
        <w:rPr>
          <w:rFonts w:ascii="仿宋_GB2312" w:hAnsi="宋体" w:eastAsia="仿宋_GB2312" w:cs="Times New Roman"/>
          <w:b/>
          <w:bCs/>
          <w:sz w:val="26"/>
          <w:szCs w:val="26"/>
        </w:rPr>
      </w:pPr>
      <w:r>
        <w:rPr>
          <w:rFonts w:hint="eastAsia" w:ascii="仿宋_GB2312" w:hAnsi="宋体" w:eastAsia="仿宋_GB2312" w:cs="Times New Roman"/>
          <w:sz w:val="26"/>
          <w:szCs w:val="26"/>
        </w:rPr>
        <w:t>委托人：</w:t>
      </w:r>
      <w:r>
        <w:rPr>
          <w:rFonts w:ascii="仿宋_GB2312" w:hAnsi="宋体" w:eastAsia="仿宋_GB2312" w:cs="Times New Roman"/>
          <w:sz w:val="26"/>
          <w:szCs w:val="26"/>
          <w:u w:val="single"/>
        </w:rPr>
        <w:t xml:space="preserve">                       </w:t>
      </w:r>
    </w:p>
    <w:p>
      <w:pPr>
        <w:spacing w:line="360" w:lineRule="exact"/>
        <w:ind w:left="3855" w:leftChars="350" w:hanging="3120" w:hangingChars="1200"/>
        <w:jc w:val="right"/>
        <w:rPr>
          <w:rFonts w:ascii="仿宋_GB2312" w:hAnsi="宋体" w:eastAsia="仿宋_GB2312" w:cs="Times New Roman"/>
          <w:sz w:val="26"/>
          <w:szCs w:val="26"/>
        </w:rPr>
      </w:pPr>
      <w:r>
        <w:rPr>
          <w:rFonts w:hint="eastAsia" w:ascii="仿宋_GB2312" w:hAnsi="宋体" w:eastAsia="仿宋_GB2312" w:cs="Times New Roman"/>
          <w:sz w:val="26"/>
          <w:szCs w:val="26"/>
        </w:rPr>
        <w:t>(委托人签名或盖章；委托人为法人股东的，应加盖法人单位印章)</w:t>
      </w:r>
      <w:r>
        <w:rPr>
          <w:rFonts w:ascii="仿宋_GB2312" w:hAnsi="宋体" w:eastAsia="仿宋_GB2312" w:cs="Times New Roman"/>
          <w:sz w:val="26"/>
          <w:szCs w:val="26"/>
        </w:rPr>
        <w:t xml:space="preserve"> </w:t>
      </w:r>
    </w:p>
    <w:p>
      <w:pPr>
        <w:spacing w:before="93" w:beforeLines="30" w:line="360" w:lineRule="exact"/>
        <w:ind w:right="390"/>
        <w:jc w:val="right"/>
        <w:rPr>
          <w:rFonts w:ascii="仿宋_GB2312" w:eastAsia="仿宋_GB2312"/>
          <w:sz w:val="24"/>
          <w:szCs w:val="24"/>
        </w:rPr>
      </w:pPr>
      <w:r>
        <w:rPr>
          <w:rFonts w:hint="eastAsia" w:ascii="仿宋_GB2312" w:hAnsi="宋体" w:eastAsia="仿宋_GB2312" w:cs="Times New Roman"/>
          <w:kern w:val="0"/>
          <w:sz w:val="26"/>
          <w:szCs w:val="26"/>
        </w:rPr>
        <w:t xml:space="preserve">年   月   日    </w:t>
      </w:r>
      <w:r>
        <w:rPr>
          <w:rFonts w:ascii="仿宋_GB2312" w:hAnsi="宋体" w:eastAsia="仿宋_GB2312" w:cs="Times New Roman"/>
          <w:kern w:val="0"/>
          <w:sz w:val="26"/>
          <w:szCs w:val="26"/>
        </w:rPr>
        <w:t xml:space="preserve"> </w:t>
      </w:r>
      <w:r>
        <w:rPr>
          <w:rFonts w:hint="eastAsia" w:ascii="仿宋_GB2312" w:hAnsi="宋体" w:eastAsia="仿宋_GB2312" w:cs="Times New Roman"/>
          <w:kern w:val="0"/>
          <w:sz w:val="26"/>
          <w:szCs w:val="26"/>
        </w:rPr>
        <w:t xml:space="preserve">   </w:t>
      </w:r>
      <w:r>
        <w:rPr>
          <w:rFonts w:hint="eastAsia" w:ascii="仿宋_GB2312" w:hAnsi="宋体" w:eastAsia="仿宋_GB2312" w:cs="Times New Roman"/>
          <w:kern w:val="0"/>
          <w:sz w:val="24"/>
          <w:szCs w:val="24"/>
        </w:rPr>
        <w:t xml:space="preserve"> </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D050000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050000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 w:name="方正书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4631710"/>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6912" o:spid="_x0000_s2049" o:spt="136" type="#_x0000_t136" style="position:absolute;left:0pt;height:14.1pt;width:226.25pt;mso-position-horizontal:center;mso-position-horizontal-relative:margin;mso-position-vertical:center;mso-position-vertical-relative:margin;rotation:-2949120f;z-index:-251658240;mso-width-relative:page;mso-height-relative:page;" fillcolor="#050505" filled="t" stroked="f" coordsize="21600,21600" adj="10800">
          <v:path/>
          <v:fill on="t" opacity="13107f" focussize="0,0"/>
          <v:stroke on="f"/>
          <v:imagedata o:title=""/>
          <o:lock v:ext="edit" aspectratio="t"/>
          <v:textpath on="t" fitpath="t" trim="t" xscale="f" string=" 姜红霞 办公室  2026-06-04 17:51:18" style="font-family:Sans Serif;font-size:14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D6"/>
    <w:rsid w:val="00004465"/>
    <w:rsid w:val="00042E17"/>
    <w:rsid w:val="0008746C"/>
    <w:rsid w:val="000D3003"/>
    <w:rsid w:val="000F689A"/>
    <w:rsid w:val="00134DF9"/>
    <w:rsid w:val="00135DEF"/>
    <w:rsid w:val="00186D60"/>
    <w:rsid w:val="001A18A9"/>
    <w:rsid w:val="002116C5"/>
    <w:rsid w:val="00211A08"/>
    <w:rsid w:val="00214ED6"/>
    <w:rsid w:val="0023752A"/>
    <w:rsid w:val="00266DC3"/>
    <w:rsid w:val="002D31BA"/>
    <w:rsid w:val="003C7096"/>
    <w:rsid w:val="0041373B"/>
    <w:rsid w:val="00417601"/>
    <w:rsid w:val="00417BE3"/>
    <w:rsid w:val="00457745"/>
    <w:rsid w:val="00475DF1"/>
    <w:rsid w:val="004808F8"/>
    <w:rsid w:val="00492F42"/>
    <w:rsid w:val="004B067D"/>
    <w:rsid w:val="004F4586"/>
    <w:rsid w:val="00541801"/>
    <w:rsid w:val="00541D34"/>
    <w:rsid w:val="00593B0D"/>
    <w:rsid w:val="005B20A4"/>
    <w:rsid w:val="005C2D7E"/>
    <w:rsid w:val="006132D5"/>
    <w:rsid w:val="00634075"/>
    <w:rsid w:val="00662821"/>
    <w:rsid w:val="0069742A"/>
    <w:rsid w:val="006A5646"/>
    <w:rsid w:val="006E3B2C"/>
    <w:rsid w:val="007716E4"/>
    <w:rsid w:val="00796A5E"/>
    <w:rsid w:val="00825EB6"/>
    <w:rsid w:val="00886A83"/>
    <w:rsid w:val="00930551"/>
    <w:rsid w:val="00966D33"/>
    <w:rsid w:val="009B177F"/>
    <w:rsid w:val="009B675F"/>
    <w:rsid w:val="009C703C"/>
    <w:rsid w:val="009F493D"/>
    <w:rsid w:val="00A079AD"/>
    <w:rsid w:val="00AD0466"/>
    <w:rsid w:val="00B07F64"/>
    <w:rsid w:val="00B33002"/>
    <w:rsid w:val="00B4113C"/>
    <w:rsid w:val="00B719C4"/>
    <w:rsid w:val="00B72D6F"/>
    <w:rsid w:val="00BA1DCC"/>
    <w:rsid w:val="00BE5CBD"/>
    <w:rsid w:val="00C03C7A"/>
    <w:rsid w:val="00C54741"/>
    <w:rsid w:val="00C70C24"/>
    <w:rsid w:val="00CB09B9"/>
    <w:rsid w:val="00CB43DA"/>
    <w:rsid w:val="00CC3DAF"/>
    <w:rsid w:val="00D270B1"/>
    <w:rsid w:val="00D34BAB"/>
    <w:rsid w:val="00D67A57"/>
    <w:rsid w:val="00DD2AAA"/>
    <w:rsid w:val="00DD39C5"/>
    <w:rsid w:val="00E221B9"/>
    <w:rsid w:val="00E52B46"/>
    <w:rsid w:val="00E616F1"/>
    <w:rsid w:val="00EA5B40"/>
    <w:rsid w:val="00ED4F24"/>
    <w:rsid w:val="00EE2CC9"/>
    <w:rsid w:val="00F7277E"/>
    <w:rsid w:val="00F906F4"/>
    <w:rsid w:val="00FB65CE"/>
    <w:rsid w:val="196231A7"/>
    <w:rsid w:val="4FDA7BAB"/>
    <w:rsid w:val="59C114FE"/>
    <w:rsid w:val="7E7F0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160</Words>
  <Characters>918</Characters>
  <Lines>7</Lines>
  <Paragraphs>2</Paragraphs>
  <TotalTime>67</TotalTime>
  <ScaleCrop>false</ScaleCrop>
  <LinksUpToDate>false</LinksUpToDate>
  <CharactersWithSpaces>1076</CharactersWithSpaces>
  <Application>WPS Office_11.8.2.10309_F1E327BC-269C-435d-A152-05C5408002CA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2019-04-25T11:18:00Z</dcterms:created>
  <dc:creator>a</dc:creator>
  <cp:lastModifiedBy>root</cp:lastModifiedBy>
  <cp:lastPrinted>2023-12-23T10:32:00Z</cp:lastPrinted>
  <dcterms:modified xsi:type="dcterms:W3CDTF">2026-06-04T18:28:48Z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eyJoZGlkIjoiYTVlMmQ0ZTdhOGVhYjRmMWExY2M2MDBjYTM0NTRiNmUiLCJ1c2VySWQiOiIyNjk0NzYxNzgifQ==</vt:lpwstr>
  </property>
  <property fmtid="{D5CDD505-2E9C-101B-9397-08002B2CF9AE}" pid="3" name="KSOProductBuildVer">
    <vt:lpwstr>2052-11.8.2.10309</vt:lpwstr>
  </property>
  <property fmtid="{D5CDD505-2E9C-101B-9397-08002B2CF9AE}" pid="4" name="ICV">
    <vt:lpwstr>D653258F59014663A451FF7E3BBB037C_12</vt:lpwstr>
  </property>
</Properties>
</file>