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E4CDD">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280DBA4D">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51B6505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1"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定期开放式、固定收益类、公募、净值型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75AE1C4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1"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61FE977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1"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4D08A2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603560C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51C64D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75CED51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6D8F135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2658C6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707BD2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206F1F1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1B715C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433817F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743E8EA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689B2D4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06808A7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32E51A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38E97CB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308313D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65195F3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0CAA01D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151713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73535E6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4305D62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0FF370AB">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00ACE89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46311B81">
      <w:pPr>
        <w:spacing w:line="200" w:lineRule="exact"/>
      </w:pPr>
      <w:r>
        <w:rPr>
          <w:rFonts w:ascii="方正黑体_GBK" w:hAnsi="方正黑体_GBK" w:eastAsia="方正黑体_GBK" w:cs="宋体"/>
          <w:b/>
          <w:sz w:val="13"/>
          <w:szCs w:val="20"/>
        </w:rPr>
        <w:t xml:space="preserve">    1.债券类资产投资风险</w:t>
      </w:r>
    </w:p>
    <w:p w14:paraId="1866B160">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11A26768">
      <w:pPr>
        <w:spacing w:line="200" w:lineRule="exact"/>
      </w:pPr>
      <w:r>
        <w:rPr>
          <w:rFonts w:ascii="方正黑体_GBK" w:hAnsi="方正黑体_GBK" w:eastAsia="方正黑体_GBK" w:cs="宋体"/>
          <w:b/>
          <w:sz w:val="13"/>
          <w:szCs w:val="20"/>
        </w:rPr>
        <w:t xml:space="preserve">    2.非标准化债权类资产投资风险</w:t>
      </w:r>
    </w:p>
    <w:p w14:paraId="12543871">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5E37DFE">
      <w:pPr>
        <w:spacing w:line="200" w:lineRule="exact"/>
      </w:pPr>
      <w:r>
        <w:rPr>
          <w:rFonts w:ascii="方正黑体_GBK" w:hAnsi="方正黑体_GBK" w:eastAsia="方正黑体_GBK" w:cs="宋体"/>
          <w:b/>
          <w:sz w:val="13"/>
          <w:szCs w:val="20"/>
        </w:rPr>
        <w:t xml:space="preserve">    3.资产管理产品投资风险</w:t>
      </w:r>
    </w:p>
    <w:p w14:paraId="6BC194D9">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152AC5F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类型：定期开放式、固定收益类、公募、净值型。</w:t>
      </w:r>
    </w:p>
    <w:p w14:paraId="00746DF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10年</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14:paraId="01A03751">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0DC2B1F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1"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5105C87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1"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CAB1F3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6895FEA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4266F0C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4254B13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2361D53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0784145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09F68041">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01B940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26F6C5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65E6787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52FCEE5F">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50EAFAD1">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2264667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479DA99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1322A113">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19A765E5">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75C64FD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2B2DBA4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6CCC432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1259308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3082117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4DD34C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32BDC14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0A7E47C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72DDC79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34A9B1BB">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3791CD0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13F8588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AEB742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399BE1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47147C0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560ECF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602576C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5170993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0E58487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3E64395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290F38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2DACA8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6935B9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CC1A32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1"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CD388E5">
      <w:r>
        <w:rPr>
          <w:rFonts w:ascii="方正黑体_GBK" w:hAnsi="方正黑体_GBK" w:eastAsia="方正黑体_GBK"/>
        </w:rPr>
        <w:br w:type="page"/>
      </w:r>
    </w:p>
    <w:p w14:paraId="6D1236AA">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3E7F2B2B">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4E98CF15">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1542B5A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74E605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1D6F53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南银理财珠联璧合安稳1911一年定开公募人民币理财产品</w:t>
            </w:r>
          </w:p>
        </w:tc>
      </w:tr>
      <w:tr w14:paraId="4CF330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7DCFA8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1A250F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定期开放式、固定收益类、公募、净值型</w:t>
            </w:r>
          </w:p>
        </w:tc>
      </w:tr>
      <w:tr w14:paraId="2E58D6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3AA15FE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7B14A5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0A0C73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4F20D43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112327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ZC108691944658</w:t>
            </w:r>
          </w:p>
        </w:tc>
      </w:tr>
      <w:tr w14:paraId="6E30A9B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AFCFD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46E07A4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Z7003221000020(投资者可依据该编码在中国理财网www.chinawealth.com.cn查询理财产品相关信息）</w:t>
            </w:r>
          </w:p>
        </w:tc>
      </w:tr>
      <w:tr w14:paraId="1B5C0EA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B09E9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7A5B3826">
            <w:pPr>
              <w:spacing w:line="200" w:lineRule="exact"/>
            </w:pPr>
            <w:r>
              <w:rPr>
                <w:rFonts w:ascii="方正黑体_GBK" w:hAnsi="方正黑体_GBK" w:eastAsia="方正黑体_GBK" w:cs="宋体"/>
                <w:sz w:val="18"/>
                <w:szCs w:val="18"/>
              </w:rPr>
              <w:t>A份额：Z30007</w:t>
            </w:r>
          </w:p>
          <w:p w14:paraId="052AC8C8">
            <w:pPr>
              <w:spacing w:line="200" w:lineRule="exact"/>
            </w:pPr>
            <w:r>
              <w:rPr>
                <w:rFonts w:ascii="方正黑体_GBK" w:hAnsi="方正黑体_GBK" w:eastAsia="方正黑体_GBK" w:cs="宋体"/>
                <w:sz w:val="18"/>
                <w:szCs w:val="18"/>
              </w:rPr>
              <w:t>C份额：Z31007</w:t>
            </w:r>
          </w:p>
          <w:p w14:paraId="33856D1F">
            <w:pPr>
              <w:spacing w:line="200" w:lineRule="exact"/>
            </w:pPr>
            <w:r>
              <w:rPr>
                <w:rFonts w:ascii="方正黑体_GBK" w:hAnsi="方正黑体_GBK" w:eastAsia="方正黑体_GBK" w:cs="宋体"/>
                <w:sz w:val="18"/>
                <w:szCs w:val="18"/>
              </w:rPr>
              <w:t>E份额：Z32007</w:t>
            </w:r>
          </w:p>
          <w:p w14:paraId="5A88D1E0">
            <w:pPr>
              <w:spacing w:line="200" w:lineRule="exact"/>
            </w:pPr>
            <w:r>
              <w:rPr>
                <w:rFonts w:ascii="方正黑体_GBK" w:hAnsi="方正黑体_GBK" w:eastAsia="方正黑体_GBK" w:cs="宋体"/>
                <w:sz w:val="18"/>
                <w:szCs w:val="18"/>
              </w:rPr>
              <w:t>B2份额：ZB31007</w:t>
            </w:r>
          </w:p>
          <w:p w14:paraId="50FDD4AA">
            <w:pPr>
              <w:spacing w:line="200" w:lineRule="exact"/>
            </w:pPr>
            <w:r>
              <w:rPr>
                <w:rFonts w:ascii="方正黑体_GBK" w:hAnsi="方正黑体_GBK" w:eastAsia="方正黑体_GBK" w:cs="宋体"/>
                <w:sz w:val="18"/>
                <w:szCs w:val="18"/>
              </w:rPr>
              <w:t>C2份额：ZC31007</w:t>
            </w:r>
          </w:p>
          <w:p w14:paraId="610D223B">
            <w:pPr>
              <w:spacing w:line="200" w:lineRule="exact"/>
            </w:pPr>
            <w:r>
              <w:rPr>
                <w:rFonts w:ascii="方正黑体_GBK" w:hAnsi="方正黑体_GBK" w:eastAsia="方正黑体_GBK" w:cs="宋体"/>
                <w:sz w:val="18"/>
                <w:szCs w:val="18"/>
              </w:rPr>
              <w:t>D2份额：ZD31007</w:t>
            </w:r>
          </w:p>
          <w:p w14:paraId="1A5AD0AC">
            <w:pPr>
              <w:spacing w:line="200" w:lineRule="exact"/>
            </w:pPr>
            <w:r>
              <w:rPr>
                <w:rFonts w:ascii="方正黑体_GBK" w:hAnsi="方正黑体_GBK" w:eastAsia="方正黑体_GBK" w:cs="宋体"/>
                <w:sz w:val="18"/>
                <w:szCs w:val="18"/>
              </w:rPr>
              <w:t>E2份额：ZE31007</w:t>
            </w:r>
          </w:p>
          <w:p w14:paraId="61F114A4">
            <w:pPr>
              <w:spacing w:line="200" w:lineRule="exact"/>
            </w:pPr>
            <w:r>
              <w:rPr>
                <w:rFonts w:ascii="方正黑体_GBK" w:hAnsi="方正黑体_GBK" w:eastAsia="方正黑体_GBK" w:cs="宋体"/>
                <w:sz w:val="18"/>
                <w:szCs w:val="18"/>
              </w:rPr>
              <w:t>B3份额：ZB32007</w:t>
            </w:r>
          </w:p>
          <w:p w14:paraId="37BEA02F">
            <w:pPr>
              <w:spacing w:line="200" w:lineRule="exact"/>
            </w:pPr>
            <w:r>
              <w:rPr>
                <w:rFonts w:ascii="方正黑体_GBK" w:hAnsi="方正黑体_GBK" w:eastAsia="方正黑体_GBK" w:cs="宋体"/>
                <w:sz w:val="18"/>
                <w:szCs w:val="18"/>
              </w:rPr>
              <w:t>C3份额：ZC32007</w:t>
            </w:r>
          </w:p>
          <w:p w14:paraId="7AA2A9A1">
            <w:pPr>
              <w:spacing w:line="200" w:lineRule="exact"/>
            </w:pPr>
            <w:r>
              <w:rPr>
                <w:rFonts w:ascii="方正黑体_GBK" w:hAnsi="方正黑体_GBK" w:eastAsia="方正黑体_GBK" w:cs="宋体"/>
                <w:sz w:val="18"/>
                <w:szCs w:val="18"/>
              </w:rPr>
              <w:t>D3份额：ZD32007</w:t>
            </w:r>
          </w:p>
          <w:p w14:paraId="338071B0">
            <w:pPr>
              <w:spacing w:line="200" w:lineRule="exact"/>
            </w:pPr>
            <w:r>
              <w:rPr>
                <w:rFonts w:ascii="方正黑体_GBK" w:hAnsi="方正黑体_GBK" w:eastAsia="方正黑体_GBK" w:cs="宋体"/>
                <w:sz w:val="18"/>
                <w:szCs w:val="18"/>
              </w:rPr>
              <w:t>E3份额：ZE32007</w:t>
            </w:r>
          </w:p>
          <w:p w14:paraId="1A7A1ACA">
            <w:pPr>
              <w:spacing w:line="200" w:lineRule="exact"/>
            </w:pPr>
            <w:r>
              <w:rPr>
                <w:rFonts w:ascii="方正黑体_GBK" w:hAnsi="方正黑体_GBK" w:eastAsia="方正黑体_GBK" w:cs="宋体"/>
                <w:sz w:val="18"/>
                <w:szCs w:val="18"/>
              </w:rPr>
              <w:t>F2份额：ZF31007</w:t>
            </w:r>
          </w:p>
          <w:p w14:paraId="761B4EDD">
            <w:pPr>
              <w:spacing w:line="200" w:lineRule="exact"/>
            </w:pPr>
            <w:r>
              <w:rPr>
                <w:rFonts w:ascii="方正黑体_GBK" w:hAnsi="方正黑体_GBK" w:eastAsia="方正黑体_GBK" w:cs="宋体"/>
                <w:sz w:val="18"/>
                <w:szCs w:val="18"/>
              </w:rPr>
              <w:t>F3份额：ZF32007</w:t>
            </w:r>
          </w:p>
          <w:p w14:paraId="02E4E257">
            <w:pPr>
              <w:spacing w:line="200" w:lineRule="exact"/>
            </w:pPr>
            <w:r>
              <w:rPr>
                <w:rFonts w:ascii="方正黑体_GBK" w:hAnsi="方正黑体_GBK" w:eastAsia="方正黑体_GBK" w:cs="宋体"/>
                <w:sz w:val="18"/>
                <w:szCs w:val="18"/>
              </w:rPr>
              <w:t>G2份额：ZG31007</w:t>
            </w:r>
          </w:p>
          <w:p w14:paraId="65DCBFF3">
            <w:pPr>
              <w:spacing w:line="200" w:lineRule="exact"/>
            </w:pPr>
            <w:r>
              <w:rPr>
                <w:rFonts w:ascii="方正黑体_GBK" w:hAnsi="方正黑体_GBK" w:eastAsia="方正黑体_GBK" w:cs="宋体"/>
                <w:sz w:val="18"/>
                <w:szCs w:val="18"/>
              </w:rPr>
              <w:t>G3份额：ZG32007</w:t>
            </w:r>
          </w:p>
          <w:p w14:paraId="0D304DA8">
            <w:pPr>
              <w:spacing w:line="200" w:lineRule="exact"/>
            </w:pPr>
            <w:r>
              <w:rPr>
                <w:rFonts w:ascii="方正黑体_GBK" w:hAnsi="方正黑体_GBK" w:eastAsia="方正黑体_GBK" w:cs="宋体"/>
                <w:sz w:val="18"/>
                <w:szCs w:val="18"/>
              </w:rPr>
              <w:t>J2份额：ZJ31007</w:t>
            </w:r>
          </w:p>
          <w:p w14:paraId="5C0E5B1A">
            <w:pPr>
              <w:spacing w:line="200" w:lineRule="exact"/>
            </w:pPr>
            <w:r>
              <w:rPr>
                <w:rFonts w:ascii="方正黑体_GBK" w:hAnsi="方正黑体_GBK" w:eastAsia="方正黑体_GBK" w:cs="宋体"/>
                <w:sz w:val="18"/>
                <w:szCs w:val="18"/>
              </w:rPr>
              <w:t>K2份额：ZK31007</w:t>
            </w:r>
          </w:p>
          <w:p w14:paraId="590AAF56">
            <w:pPr>
              <w:spacing w:line="200" w:lineRule="exact"/>
            </w:pPr>
            <w:r>
              <w:rPr>
                <w:rFonts w:ascii="方正黑体_GBK" w:hAnsi="方正黑体_GBK" w:eastAsia="方正黑体_GBK" w:cs="宋体"/>
                <w:sz w:val="18"/>
                <w:szCs w:val="18"/>
              </w:rPr>
              <w:t>L2份额：ZL31007</w:t>
            </w:r>
          </w:p>
          <w:p w14:paraId="1062E71C">
            <w:pPr>
              <w:spacing w:line="200" w:lineRule="exact"/>
            </w:pPr>
            <w:r>
              <w:rPr>
                <w:rFonts w:ascii="方正黑体_GBK" w:hAnsi="方正黑体_GBK" w:eastAsia="方正黑体_GBK" w:cs="宋体"/>
                <w:sz w:val="18"/>
                <w:szCs w:val="18"/>
              </w:rPr>
              <w:t>J3份额：ZJ32007</w:t>
            </w:r>
          </w:p>
          <w:p w14:paraId="2DF25C9B">
            <w:pPr>
              <w:spacing w:line="200" w:lineRule="exact"/>
            </w:pPr>
            <w:r>
              <w:rPr>
                <w:rFonts w:ascii="方正黑体_GBK" w:hAnsi="方正黑体_GBK" w:eastAsia="方正黑体_GBK" w:cs="宋体"/>
                <w:sz w:val="18"/>
                <w:szCs w:val="18"/>
              </w:rPr>
              <w:t>K3份额：ZK32007</w:t>
            </w:r>
          </w:p>
          <w:p w14:paraId="675FF62F">
            <w:pPr>
              <w:spacing w:line="200" w:lineRule="exact"/>
            </w:pPr>
            <w:r>
              <w:rPr>
                <w:rFonts w:ascii="方正黑体_GBK" w:hAnsi="方正黑体_GBK" w:eastAsia="方正黑体_GBK" w:cs="宋体"/>
                <w:sz w:val="18"/>
                <w:szCs w:val="18"/>
              </w:rPr>
              <w:t>L3份额：ZL32007</w:t>
            </w:r>
          </w:p>
          <w:p w14:paraId="35E521A4">
            <w:pPr>
              <w:spacing w:line="200" w:lineRule="exact"/>
            </w:pPr>
            <w:r>
              <w:rPr>
                <w:rFonts w:ascii="方正黑体_GBK" w:hAnsi="方正黑体_GBK" w:eastAsia="方正黑体_GBK" w:cs="宋体"/>
                <w:sz w:val="18"/>
                <w:szCs w:val="18"/>
              </w:rPr>
              <w:t>M2份额：ZM31007</w:t>
            </w:r>
          </w:p>
          <w:p w14:paraId="14E1B0FF">
            <w:pPr>
              <w:spacing w:line="200" w:lineRule="exact"/>
            </w:pPr>
            <w:r>
              <w:rPr>
                <w:rFonts w:ascii="方正黑体_GBK" w:hAnsi="方正黑体_GBK" w:eastAsia="方正黑体_GBK" w:cs="宋体"/>
                <w:sz w:val="18"/>
                <w:szCs w:val="18"/>
              </w:rPr>
              <w:t>M3份额：ZM32007</w:t>
            </w:r>
          </w:p>
          <w:p w14:paraId="7E0A4A94">
            <w:pPr>
              <w:spacing w:line="200" w:lineRule="exact"/>
            </w:pPr>
            <w:r>
              <w:rPr>
                <w:rFonts w:ascii="方正黑体_GBK" w:hAnsi="方正黑体_GBK" w:eastAsia="方正黑体_GBK" w:cs="宋体"/>
                <w:sz w:val="18"/>
                <w:szCs w:val="18"/>
              </w:rPr>
              <w:t>O2份额：ZO31007</w:t>
            </w:r>
          </w:p>
          <w:p w14:paraId="128F38DA">
            <w:pPr>
              <w:spacing w:line="200" w:lineRule="exact"/>
            </w:pPr>
            <w:r>
              <w:rPr>
                <w:rFonts w:ascii="方正黑体_GBK" w:hAnsi="方正黑体_GBK" w:eastAsia="方正黑体_GBK" w:cs="宋体"/>
                <w:sz w:val="18"/>
                <w:szCs w:val="18"/>
              </w:rPr>
              <w:t>O3份额：ZO32007</w:t>
            </w:r>
          </w:p>
          <w:p w14:paraId="03020FE6">
            <w:pPr>
              <w:spacing w:line="200" w:lineRule="exact"/>
            </w:pPr>
            <w:r>
              <w:rPr>
                <w:rFonts w:ascii="方正黑体_GBK" w:hAnsi="方正黑体_GBK" w:eastAsia="方正黑体_GBK" w:cs="宋体"/>
                <w:sz w:val="18"/>
                <w:szCs w:val="18"/>
              </w:rPr>
              <w:t>Q1份额：ZQ30007</w:t>
            </w:r>
          </w:p>
          <w:p w14:paraId="1EE90071">
            <w:pPr>
              <w:spacing w:line="200" w:lineRule="exact"/>
            </w:pPr>
            <w:r>
              <w:rPr>
                <w:rFonts w:ascii="方正黑体_GBK" w:hAnsi="方正黑体_GBK" w:eastAsia="方正黑体_GBK" w:cs="宋体"/>
                <w:sz w:val="18"/>
                <w:szCs w:val="18"/>
              </w:rPr>
              <w:t>R1份额：ZR30007</w:t>
            </w:r>
          </w:p>
          <w:p w14:paraId="052797DA">
            <w:pPr>
              <w:spacing w:line="200" w:lineRule="exact"/>
            </w:pPr>
            <w:r>
              <w:rPr>
                <w:rFonts w:ascii="方正黑体_GBK" w:hAnsi="方正黑体_GBK" w:eastAsia="方正黑体_GBK" w:cs="宋体"/>
                <w:sz w:val="18"/>
                <w:szCs w:val="18"/>
              </w:rPr>
              <w:t>Q2份额：ZQ31007</w:t>
            </w:r>
          </w:p>
          <w:p w14:paraId="3FD64029">
            <w:pPr>
              <w:spacing w:line="200" w:lineRule="exact"/>
            </w:pPr>
            <w:r>
              <w:rPr>
                <w:rFonts w:ascii="方正黑体_GBK" w:hAnsi="方正黑体_GBK" w:eastAsia="方正黑体_GBK" w:cs="宋体"/>
                <w:sz w:val="18"/>
                <w:szCs w:val="18"/>
              </w:rPr>
              <w:t>R2份额：ZR31007</w:t>
            </w:r>
          </w:p>
          <w:p w14:paraId="7EB681B7">
            <w:pPr>
              <w:spacing w:line="200" w:lineRule="exact"/>
            </w:pPr>
            <w:r>
              <w:rPr>
                <w:rFonts w:ascii="方正黑体_GBK" w:hAnsi="方正黑体_GBK" w:eastAsia="方正黑体_GBK" w:cs="宋体"/>
                <w:sz w:val="18"/>
                <w:szCs w:val="18"/>
              </w:rPr>
              <w:t>Q3份额：ZQ32007</w:t>
            </w:r>
          </w:p>
          <w:p w14:paraId="0DFA7978">
            <w:pPr>
              <w:spacing w:line="200" w:lineRule="exact"/>
            </w:pPr>
            <w:r>
              <w:rPr>
                <w:rFonts w:ascii="方正黑体_GBK" w:hAnsi="方正黑体_GBK" w:eastAsia="方正黑体_GBK" w:cs="宋体"/>
                <w:sz w:val="18"/>
                <w:szCs w:val="18"/>
              </w:rPr>
              <w:t>R3份额：ZR32007</w:t>
            </w:r>
          </w:p>
          <w:p w14:paraId="6D79B894">
            <w:pPr>
              <w:spacing w:line="200" w:lineRule="exact"/>
            </w:pPr>
            <w:r>
              <w:rPr>
                <w:rFonts w:ascii="方正黑体_GBK" w:hAnsi="方正黑体_GBK" w:eastAsia="方正黑体_GBK" w:cs="宋体"/>
                <w:sz w:val="18"/>
                <w:szCs w:val="18"/>
              </w:rPr>
              <w:t>B1份额：ZB30007</w:t>
            </w:r>
          </w:p>
          <w:p w14:paraId="76522346">
            <w:pPr>
              <w:spacing w:line="200" w:lineRule="exact"/>
            </w:pPr>
            <w:r>
              <w:rPr>
                <w:rFonts w:ascii="方正黑体_GBK" w:hAnsi="方正黑体_GBK" w:eastAsia="方正黑体_GBK" w:cs="宋体"/>
                <w:sz w:val="18"/>
                <w:szCs w:val="18"/>
              </w:rPr>
              <w:t>C1份额：ZC30007</w:t>
            </w:r>
          </w:p>
          <w:p w14:paraId="7C8A72B6">
            <w:pPr>
              <w:spacing w:line="200" w:lineRule="exact"/>
            </w:pPr>
            <w:r>
              <w:rPr>
                <w:rFonts w:ascii="方正黑体_GBK" w:hAnsi="方正黑体_GBK" w:eastAsia="方正黑体_GBK" w:cs="宋体"/>
                <w:sz w:val="18"/>
                <w:szCs w:val="18"/>
              </w:rPr>
              <w:t>D1份额：ZD30007</w:t>
            </w:r>
          </w:p>
          <w:p w14:paraId="69D2C704">
            <w:pPr>
              <w:spacing w:line="200" w:lineRule="exact"/>
            </w:pPr>
            <w:r>
              <w:rPr>
                <w:rFonts w:ascii="方正黑体_GBK" w:hAnsi="方正黑体_GBK" w:eastAsia="方正黑体_GBK" w:cs="宋体"/>
                <w:sz w:val="18"/>
                <w:szCs w:val="18"/>
              </w:rPr>
              <w:t>E1份额：ZE30007</w:t>
            </w:r>
          </w:p>
          <w:p w14:paraId="219E6FC0">
            <w:pPr>
              <w:spacing w:line="200" w:lineRule="exact"/>
            </w:pPr>
            <w:r>
              <w:rPr>
                <w:rFonts w:ascii="方正黑体_GBK" w:hAnsi="方正黑体_GBK" w:eastAsia="方正黑体_GBK" w:cs="宋体"/>
                <w:sz w:val="18"/>
                <w:szCs w:val="18"/>
              </w:rPr>
              <w:t>F1份额：ZF30007</w:t>
            </w:r>
          </w:p>
          <w:p w14:paraId="46F283E4">
            <w:pPr>
              <w:spacing w:line="200" w:lineRule="exact"/>
            </w:pPr>
            <w:r>
              <w:rPr>
                <w:rFonts w:ascii="方正黑体_GBK" w:hAnsi="方正黑体_GBK" w:eastAsia="方正黑体_GBK" w:cs="宋体"/>
                <w:sz w:val="18"/>
                <w:szCs w:val="18"/>
              </w:rPr>
              <w:t>G1份额：ZG30007</w:t>
            </w:r>
          </w:p>
          <w:p w14:paraId="5AA08D43">
            <w:pPr>
              <w:spacing w:line="200" w:lineRule="exact"/>
            </w:pPr>
            <w:r>
              <w:rPr>
                <w:rFonts w:ascii="方正黑体_GBK" w:hAnsi="方正黑体_GBK" w:eastAsia="方正黑体_GBK" w:cs="宋体"/>
                <w:sz w:val="18"/>
                <w:szCs w:val="18"/>
              </w:rPr>
              <w:t>H1份额：ZH30007</w:t>
            </w:r>
          </w:p>
          <w:p w14:paraId="23EC2798">
            <w:pPr>
              <w:spacing w:line="200" w:lineRule="exact"/>
            </w:pPr>
            <w:r>
              <w:rPr>
                <w:rFonts w:ascii="方正黑体_GBK" w:hAnsi="方正黑体_GBK" w:eastAsia="方正黑体_GBK" w:cs="宋体"/>
                <w:sz w:val="18"/>
                <w:szCs w:val="18"/>
              </w:rPr>
              <w:t>J1份额：ZJ30007</w:t>
            </w:r>
          </w:p>
          <w:p w14:paraId="751B6C67">
            <w:pPr>
              <w:spacing w:line="200" w:lineRule="exact"/>
            </w:pPr>
            <w:r>
              <w:rPr>
                <w:rFonts w:ascii="方正黑体_GBK" w:hAnsi="方正黑体_GBK" w:eastAsia="方正黑体_GBK" w:cs="宋体"/>
                <w:sz w:val="18"/>
                <w:szCs w:val="18"/>
              </w:rPr>
              <w:t>K1份额：ZK30007</w:t>
            </w:r>
          </w:p>
          <w:p w14:paraId="39516728">
            <w:pPr>
              <w:spacing w:line="200" w:lineRule="exact"/>
            </w:pPr>
            <w:r>
              <w:rPr>
                <w:rFonts w:ascii="方正黑体_GBK" w:hAnsi="方正黑体_GBK" w:eastAsia="方正黑体_GBK" w:cs="宋体"/>
                <w:sz w:val="18"/>
                <w:szCs w:val="18"/>
              </w:rPr>
              <w:t>L1份额：ZL30007</w:t>
            </w:r>
          </w:p>
          <w:p w14:paraId="097F8DDE">
            <w:pPr>
              <w:spacing w:line="200" w:lineRule="exact"/>
            </w:pPr>
            <w:r>
              <w:rPr>
                <w:rFonts w:ascii="方正黑体_GBK" w:hAnsi="方正黑体_GBK" w:eastAsia="方正黑体_GBK" w:cs="宋体"/>
                <w:sz w:val="18"/>
                <w:szCs w:val="18"/>
              </w:rPr>
              <w:t>M1份额：ZM30007</w:t>
            </w:r>
          </w:p>
          <w:p w14:paraId="2165480C">
            <w:pPr>
              <w:spacing w:line="200" w:lineRule="exact"/>
            </w:pPr>
            <w:r>
              <w:rPr>
                <w:rFonts w:ascii="方正黑体_GBK" w:hAnsi="方正黑体_GBK" w:eastAsia="方正黑体_GBK" w:cs="宋体"/>
                <w:sz w:val="18"/>
                <w:szCs w:val="18"/>
              </w:rPr>
              <w:t>N1份额：ZN30007</w:t>
            </w:r>
          </w:p>
          <w:p w14:paraId="5F8F3027">
            <w:pPr>
              <w:spacing w:line="200" w:lineRule="exact"/>
            </w:pPr>
            <w:r>
              <w:rPr>
                <w:rFonts w:ascii="方正黑体_GBK" w:hAnsi="方正黑体_GBK" w:eastAsia="方正黑体_GBK" w:cs="宋体"/>
                <w:sz w:val="18"/>
                <w:szCs w:val="18"/>
              </w:rPr>
              <w:t>O1份额：ZO30007</w:t>
            </w:r>
          </w:p>
          <w:p w14:paraId="7E466E2E">
            <w:pPr>
              <w:spacing w:line="200" w:lineRule="exact"/>
            </w:pPr>
            <w:r>
              <w:rPr>
                <w:rFonts w:ascii="方正黑体_GBK" w:hAnsi="方正黑体_GBK" w:eastAsia="方正黑体_GBK" w:cs="宋体"/>
                <w:sz w:val="18"/>
                <w:szCs w:val="18"/>
              </w:rPr>
              <w:t>S1份额：ZS30007</w:t>
            </w:r>
          </w:p>
          <w:p w14:paraId="62898597">
            <w:pPr>
              <w:spacing w:line="200" w:lineRule="exact"/>
            </w:pPr>
            <w:r>
              <w:rPr>
                <w:rFonts w:ascii="方正黑体_GBK" w:hAnsi="方正黑体_GBK" w:eastAsia="方正黑体_GBK" w:cs="宋体"/>
                <w:sz w:val="18"/>
                <w:szCs w:val="18"/>
              </w:rPr>
              <w:t>S2份额：ZS31007</w:t>
            </w:r>
          </w:p>
          <w:p w14:paraId="0FD0179D">
            <w:pPr>
              <w:spacing w:line="200" w:lineRule="exact"/>
            </w:pPr>
            <w:r>
              <w:rPr>
                <w:rFonts w:ascii="方正黑体_GBK" w:hAnsi="方正黑体_GBK" w:eastAsia="方正黑体_GBK" w:cs="宋体"/>
                <w:sz w:val="18"/>
                <w:szCs w:val="18"/>
              </w:rPr>
              <w:t>S3份额：ZS32007</w:t>
            </w:r>
          </w:p>
          <w:p w14:paraId="5785B289">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474BAF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43135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理财期限</w:t>
            </w:r>
          </w:p>
        </w:tc>
        <w:tc>
          <w:tcPr>
            <w:tcW w:w="5543" w:type="dxa"/>
            <w:tcBorders>
              <w:top w:val="single" w:color="auto" w:sz="4" w:space="0"/>
              <w:left w:val="nil"/>
              <w:bottom w:val="single" w:color="auto" w:sz="4" w:space="0"/>
              <w:right w:val="single" w:color="auto" w:sz="4" w:space="0"/>
              <w:tl2br w:val="nil"/>
              <w:tr2bl w:val="nil"/>
            </w:tcBorders>
            <w:vAlign w:val="center"/>
          </w:tcPr>
          <w:p w14:paraId="7B50137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sz w:val="18"/>
                <w:szCs w:val="18"/>
              </w:rPr>
              <w:t>10年</w:t>
            </w:r>
            <w:r>
              <w:rPr>
                <w:rFonts w:hint="eastAsia" w:ascii="方正黑体_GBK" w:hAnsi="方正黑体_GBK" w:eastAsia="方正黑体_GBK" w:cs="宋体"/>
                <w:kern w:val="0"/>
                <w:sz w:val="18"/>
                <w:szCs w:val="18"/>
                <w:lang w:val="en-US" w:eastAsia="zh-CN"/>
              </w:rPr>
              <w:t>（管理人有权提前终止或延期终止）</w:t>
            </w:r>
          </w:p>
        </w:tc>
      </w:tr>
      <w:tr w14:paraId="45B5F7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855B0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1FB1AC24">
            <w:pPr>
              <w:spacing w:line="200" w:lineRule="exact"/>
            </w:pPr>
            <w:r>
              <w:rPr>
                <w:rFonts w:ascii="方正黑体_GBK" w:hAnsi="方正黑体_GBK" w:eastAsia="方正黑体_GBK" w:cs="宋体"/>
                <w:sz w:val="18"/>
                <w:szCs w:val="18"/>
              </w:rPr>
              <w:t>全国</w:t>
            </w:r>
          </w:p>
        </w:tc>
      </w:tr>
      <w:tr w14:paraId="565B96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01FF31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6123B14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121B973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338DD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61DA0A06">
            <w:pPr>
              <w:spacing w:line="200" w:lineRule="exact"/>
            </w:pPr>
            <w:r>
              <w:rPr>
                <w:rFonts w:ascii="方正黑体_GBK" w:hAnsi="方正黑体_GBK" w:eastAsia="方正黑体_GBK" w:cs="宋体"/>
                <w:sz w:val="18"/>
                <w:szCs w:val="18"/>
              </w:rPr>
              <w:t>本理财产品规模上限为500亿元。理财产品管理人有权对上述规模上限根据实际业务需求进行调整。</w:t>
            </w:r>
          </w:p>
        </w:tc>
      </w:tr>
      <w:tr w14:paraId="052FA6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971D7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75D76B73">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24998DFF">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6C0FD3D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1AF5F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E704DAA">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5C1BAFBA">
            <w:pPr>
              <w:spacing w:line="200" w:lineRule="exact"/>
            </w:pPr>
            <w:r>
              <w:rPr>
                <w:rFonts w:ascii="方正黑体_GBK" w:hAnsi="方正黑体_GBK" w:eastAsia="方正黑体_GBK" w:cs="宋体"/>
                <w:sz w:val="18"/>
                <w:szCs w:val="18"/>
              </w:rPr>
              <w:t>A份额：南京银行股份有限公司、南银理财有限责任公司、江苏常熟农村商业银行股份有限公司、日照银行股份有限公司、秦皇岛银行股份有限公司、齐鲁银行股份有限公司、深圳前海微众银行股份有限公司、九江银行股份有限公司、重庆富民银行股份有限公司、无锡锡商银行股份有限公司、江苏如皋农村商业银行股份有限公司、江苏江阴农村商业银行股份有限公司、北京中关村银行股份有限公司。</w:t>
            </w:r>
          </w:p>
          <w:p w14:paraId="18839AAC">
            <w:pPr>
              <w:spacing w:line="200" w:lineRule="exact"/>
            </w:pPr>
            <w:r>
              <w:rPr>
                <w:rFonts w:ascii="方正黑体_GBK" w:hAnsi="方正黑体_GBK" w:eastAsia="方正黑体_GBK" w:cs="宋体"/>
                <w:sz w:val="18"/>
                <w:szCs w:val="18"/>
              </w:rPr>
              <w:t>C份额：南京银行股份有限公司、齐鲁银行股份有限公司、九江银行股份有限公司。</w:t>
            </w:r>
          </w:p>
          <w:p w14:paraId="20FDD8E8">
            <w:pPr>
              <w:spacing w:line="200" w:lineRule="exact"/>
            </w:pPr>
            <w:r>
              <w:rPr>
                <w:rFonts w:ascii="方正黑体_GBK" w:hAnsi="方正黑体_GBK" w:eastAsia="方正黑体_GBK" w:cs="宋体"/>
                <w:sz w:val="18"/>
                <w:szCs w:val="18"/>
              </w:rPr>
              <w:t>E份额：南京银行股份有限公司、齐鲁银行股份有限公司、九江银行股份有限公司。</w:t>
            </w:r>
          </w:p>
          <w:p w14:paraId="74532D81">
            <w:pPr>
              <w:spacing w:line="200" w:lineRule="exact"/>
            </w:pPr>
            <w:r>
              <w:rPr>
                <w:rFonts w:ascii="方正黑体_GBK" w:hAnsi="方正黑体_GBK" w:eastAsia="方正黑体_GBK" w:cs="宋体"/>
                <w:sz w:val="18"/>
                <w:szCs w:val="18"/>
              </w:rPr>
              <w:t>B2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14:paraId="386DBEBF">
            <w:pPr>
              <w:spacing w:line="200" w:lineRule="exact"/>
            </w:pPr>
            <w:r>
              <w:rPr>
                <w:rFonts w:ascii="方正黑体_GBK" w:hAnsi="方正黑体_GBK" w:eastAsia="方正黑体_GBK" w:cs="宋体"/>
                <w:sz w:val="18"/>
                <w:szCs w:val="18"/>
              </w:rPr>
              <w:t>C2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14:paraId="6C7E5AD7">
            <w:pPr>
              <w:spacing w:line="200" w:lineRule="exact"/>
            </w:pPr>
            <w:r>
              <w:rPr>
                <w:rFonts w:ascii="方正黑体_GBK" w:hAnsi="方正黑体_GBK" w:eastAsia="方正黑体_GBK" w:cs="宋体"/>
                <w:sz w:val="18"/>
                <w:szCs w:val="18"/>
              </w:rPr>
              <w:t>D2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14:paraId="586AB5EA">
            <w:pPr>
              <w:spacing w:line="200" w:lineRule="exact"/>
            </w:pPr>
            <w:r>
              <w:rPr>
                <w:rFonts w:ascii="方正黑体_GBK" w:hAnsi="方正黑体_GBK" w:eastAsia="方正黑体_GBK" w:cs="宋体"/>
                <w:sz w:val="18"/>
                <w:szCs w:val="18"/>
              </w:rPr>
              <w:t>E2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14:paraId="76AF1180">
            <w:pPr>
              <w:spacing w:line="200" w:lineRule="exact"/>
            </w:pPr>
            <w:r>
              <w:rPr>
                <w:rFonts w:ascii="方正黑体_GBK" w:hAnsi="方正黑体_GBK" w:eastAsia="方正黑体_GBK" w:cs="宋体"/>
                <w:sz w:val="18"/>
                <w:szCs w:val="18"/>
              </w:rPr>
              <w:t>B3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14:paraId="46A6742D">
            <w:pPr>
              <w:spacing w:line="200" w:lineRule="exact"/>
            </w:pPr>
            <w:r>
              <w:rPr>
                <w:rFonts w:ascii="方正黑体_GBK" w:hAnsi="方正黑体_GBK" w:eastAsia="方正黑体_GBK" w:cs="宋体"/>
                <w:sz w:val="18"/>
                <w:szCs w:val="18"/>
              </w:rPr>
              <w:t>C3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14:paraId="4E00DC31">
            <w:pPr>
              <w:spacing w:line="200" w:lineRule="exact"/>
            </w:pPr>
            <w:r>
              <w:rPr>
                <w:rFonts w:ascii="方正黑体_GBK" w:hAnsi="方正黑体_GBK" w:eastAsia="方正黑体_GBK" w:cs="宋体"/>
                <w:sz w:val="18"/>
                <w:szCs w:val="18"/>
              </w:rPr>
              <w:t>D3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14:paraId="7C5E0E97">
            <w:pPr>
              <w:spacing w:line="200" w:lineRule="exact"/>
            </w:pPr>
            <w:r>
              <w:rPr>
                <w:rFonts w:ascii="方正黑体_GBK" w:hAnsi="方正黑体_GBK" w:eastAsia="方正黑体_GBK" w:cs="宋体"/>
                <w:sz w:val="18"/>
                <w:szCs w:val="18"/>
              </w:rPr>
              <w:t>E3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14:paraId="7C78CB02">
            <w:pPr>
              <w:spacing w:line="200" w:lineRule="exact"/>
            </w:pPr>
            <w:r>
              <w:rPr>
                <w:rFonts w:ascii="方正黑体_GBK" w:hAnsi="方正黑体_GBK" w:eastAsia="方正黑体_GBK" w:cs="宋体"/>
                <w:sz w:val="18"/>
                <w:szCs w:val="18"/>
              </w:rPr>
              <w:t>F2份额：南京银行股份有限公司客户（行庆专属）。</w:t>
            </w:r>
          </w:p>
          <w:p w14:paraId="2A51FFA1">
            <w:pPr>
              <w:spacing w:line="200" w:lineRule="exact"/>
            </w:pPr>
            <w:r>
              <w:rPr>
                <w:rFonts w:ascii="方正黑体_GBK" w:hAnsi="方正黑体_GBK" w:eastAsia="方正黑体_GBK" w:cs="宋体"/>
                <w:sz w:val="18"/>
                <w:szCs w:val="18"/>
              </w:rPr>
              <w:t>F3份额：南京银行股份有限公司客户（行庆专属）。</w:t>
            </w:r>
          </w:p>
          <w:p w14:paraId="0C9FE455">
            <w:pPr>
              <w:spacing w:line="200" w:lineRule="exact"/>
            </w:pPr>
            <w:r>
              <w:rPr>
                <w:rFonts w:ascii="方正黑体_GBK" w:hAnsi="方正黑体_GBK" w:eastAsia="方正黑体_GBK" w:cs="宋体"/>
                <w:sz w:val="18"/>
                <w:szCs w:val="18"/>
              </w:rPr>
              <w:t>G2份额：成都银行股份有限公司。</w:t>
            </w:r>
          </w:p>
          <w:p w14:paraId="4C27A3EF">
            <w:pPr>
              <w:spacing w:line="200" w:lineRule="exact"/>
            </w:pPr>
            <w:r>
              <w:rPr>
                <w:rFonts w:ascii="方正黑体_GBK" w:hAnsi="方正黑体_GBK" w:eastAsia="方正黑体_GBK" w:cs="宋体"/>
                <w:sz w:val="18"/>
                <w:szCs w:val="18"/>
              </w:rPr>
              <w:t>G3份额：成都银行股份有限公司。</w:t>
            </w:r>
          </w:p>
          <w:p w14:paraId="52193078">
            <w:pPr>
              <w:spacing w:line="200" w:lineRule="exact"/>
            </w:pPr>
            <w:r>
              <w:rPr>
                <w:rFonts w:ascii="方正黑体_GBK" w:hAnsi="方正黑体_GBK" w:eastAsia="方正黑体_GBK" w:cs="宋体"/>
                <w:sz w:val="18"/>
                <w:szCs w:val="18"/>
              </w:rPr>
              <w:t>J2份额：兴业银行股份有限公司客户。</w:t>
            </w:r>
          </w:p>
          <w:p w14:paraId="136B35A3">
            <w:pPr>
              <w:spacing w:line="200" w:lineRule="exact"/>
            </w:pPr>
            <w:r>
              <w:rPr>
                <w:rFonts w:ascii="方正黑体_GBK" w:hAnsi="方正黑体_GBK" w:eastAsia="方正黑体_GBK" w:cs="宋体"/>
                <w:sz w:val="18"/>
                <w:szCs w:val="18"/>
              </w:rPr>
              <w:t>K2份额：交通银行股份有限公司客户。</w:t>
            </w:r>
          </w:p>
          <w:p w14:paraId="5EBC0AF1">
            <w:pPr>
              <w:spacing w:line="200" w:lineRule="exact"/>
            </w:pPr>
            <w:r>
              <w:rPr>
                <w:rFonts w:ascii="方正黑体_GBK" w:hAnsi="方正黑体_GBK" w:eastAsia="方正黑体_GBK" w:cs="宋体"/>
                <w:sz w:val="18"/>
                <w:szCs w:val="18"/>
              </w:rPr>
              <w:t>L2份额：兴业银行股份有限公司南京分行客户。</w:t>
            </w:r>
          </w:p>
          <w:p w14:paraId="31CC5979">
            <w:pPr>
              <w:spacing w:line="200" w:lineRule="exact"/>
            </w:pPr>
            <w:r>
              <w:rPr>
                <w:rFonts w:ascii="方正黑体_GBK" w:hAnsi="方正黑体_GBK" w:eastAsia="方正黑体_GBK" w:cs="宋体"/>
                <w:sz w:val="18"/>
                <w:szCs w:val="18"/>
              </w:rPr>
              <w:t>J3份额：兴业银行股份有限公司客户。</w:t>
            </w:r>
          </w:p>
          <w:p w14:paraId="13FE9678">
            <w:pPr>
              <w:spacing w:line="200" w:lineRule="exact"/>
            </w:pPr>
            <w:r>
              <w:rPr>
                <w:rFonts w:ascii="方正黑体_GBK" w:hAnsi="方正黑体_GBK" w:eastAsia="方正黑体_GBK" w:cs="宋体"/>
                <w:sz w:val="18"/>
                <w:szCs w:val="18"/>
              </w:rPr>
              <w:t>K3份额：交通银行股份有限公司客户。</w:t>
            </w:r>
          </w:p>
          <w:p w14:paraId="6F9EE97E">
            <w:pPr>
              <w:spacing w:line="200" w:lineRule="exact"/>
            </w:pPr>
            <w:r>
              <w:rPr>
                <w:rFonts w:ascii="方正黑体_GBK" w:hAnsi="方正黑体_GBK" w:eastAsia="方正黑体_GBK" w:cs="宋体"/>
                <w:sz w:val="18"/>
                <w:szCs w:val="18"/>
              </w:rPr>
              <w:t>L3份额：兴业银行股份有限公司南京分行客户。</w:t>
            </w:r>
          </w:p>
          <w:p w14:paraId="6AEAAF50">
            <w:pPr>
              <w:spacing w:line="200" w:lineRule="exact"/>
            </w:pPr>
            <w:r>
              <w:rPr>
                <w:rFonts w:ascii="方正黑体_GBK" w:hAnsi="方正黑体_GBK" w:eastAsia="方正黑体_GBK" w:cs="宋体"/>
                <w:sz w:val="18"/>
                <w:szCs w:val="18"/>
              </w:rPr>
              <w:t>M2份额：浙江民泰商业银行股份有限公司、苏州银行股份有限公司、嘉兴银行股份有限公司、福建海峡银行股份有限公司、宁波通商银行股份有限公司客户。</w:t>
            </w:r>
          </w:p>
          <w:p w14:paraId="6C129014">
            <w:pPr>
              <w:spacing w:line="200" w:lineRule="exact"/>
            </w:pPr>
            <w:r>
              <w:rPr>
                <w:rFonts w:ascii="方正黑体_GBK" w:hAnsi="方正黑体_GBK" w:eastAsia="方正黑体_GBK" w:cs="宋体"/>
                <w:sz w:val="18"/>
                <w:szCs w:val="18"/>
              </w:rPr>
              <w:t>M3份额：浙江民泰商业银行股份有限公司、苏州银行股份有限公司、嘉兴银行股份有限公司、福建海峡银行股份有限公司、宁波通商银行股份有限公司客户。</w:t>
            </w:r>
          </w:p>
          <w:p w14:paraId="7E50E697">
            <w:pPr>
              <w:spacing w:line="200" w:lineRule="exact"/>
            </w:pPr>
            <w:r>
              <w:rPr>
                <w:rFonts w:ascii="方正黑体_GBK" w:hAnsi="方正黑体_GBK" w:eastAsia="方正黑体_GBK" w:cs="宋体"/>
                <w:sz w:val="18"/>
                <w:szCs w:val="18"/>
              </w:rPr>
              <w:t>O2份额：广发银行股份有限公司所有个人客户。</w:t>
            </w:r>
          </w:p>
          <w:p w14:paraId="343DB1F1">
            <w:pPr>
              <w:spacing w:line="200" w:lineRule="exact"/>
            </w:pPr>
            <w:r>
              <w:rPr>
                <w:rFonts w:ascii="方正黑体_GBK" w:hAnsi="方正黑体_GBK" w:eastAsia="方正黑体_GBK" w:cs="宋体"/>
                <w:sz w:val="18"/>
                <w:szCs w:val="18"/>
              </w:rPr>
              <w:t>O3份额：广发银行股份有限公司所有个人客户。</w:t>
            </w:r>
          </w:p>
          <w:p w14:paraId="2355DF5C">
            <w:pPr>
              <w:spacing w:line="200" w:lineRule="exact"/>
            </w:pPr>
            <w:r>
              <w:rPr>
                <w:rFonts w:ascii="方正黑体_GBK" w:hAnsi="方正黑体_GBK" w:eastAsia="方正黑体_GBK" w:cs="宋体"/>
                <w:sz w:val="18"/>
                <w:szCs w:val="18"/>
              </w:rPr>
              <w:t>Q1份额：台州银行股份有限公司所有客户。</w:t>
            </w:r>
          </w:p>
          <w:p w14:paraId="2B59CE68">
            <w:pPr>
              <w:spacing w:line="200" w:lineRule="exact"/>
            </w:pPr>
            <w:r>
              <w:rPr>
                <w:rFonts w:ascii="方正黑体_GBK" w:hAnsi="方正黑体_GBK" w:eastAsia="方正黑体_GBK" w:cs="宋体"/>
                <w:sz w:val="18"/>
                <w:szCs w:val="18"/>
              </w:rPr>
              <w:t>R1份额：台州银行股份有限公司白名单客户。</w:t>
            </w:r>
          </w:p>
          <w:p w14:paraId="28F4C426">
            <w:pPr>
              <w:spacing w:line="200" w:lineRule="exact"/>
            </w:pPr>
            <w:r>
              <w:rPr>
                <w:rFonts w:ascii="方正黑体_GBK" w:hAnsi="方正黑体_GBK" w:eastAsia="方正黑体_GBK" w:cs="宋体"/>
                <w:sz w:val="18"/>
                <w:szCs w:val="18"/>
              </w:rPr>
              <w:t>Q2份额：台州银行股份有限公司所有客户。</w:t>
            </w:r>
          </w:p>
          <w:p w14:paraId="502E48DF">
            <w:pPr>
              <w:spacing w:line="200" w:lineRule="exact"/>
            </w:pPr>
            <w:r>
              <w:rPr>
                <w:rFonts w:ascii="方正黑体_GBK" w:hAnsi="方正黑体_GBK" w:eastAsia="方正黑体_GBK" w:cs="宋体"/>
                <w:sz w:val="18"/>
                <w:szCs w:val="18"/>
              </w:rPr>
              <w:t>R2份额：台州银行股份有限公司白名单客户。</w:t>
            </w:r>
          </w:p>
          <w:p w14:paraId="43F572AA">
            <w:pPr>
              <w:spacing w:line="200" w:lineRule="exact"/>
            </w:pPr>
            <w:r>
              <w:rPr>
                <w:rFonts w:ascii="方正黑体_GBK" w:hAnsi="方正黑体_GBK" w:eastAsia="方正黑体_GBK" w:cs="宋体"/>
                <w:sz w:val="18"/>
                <w:szCs w:val="18"/>
              </w:rPr>
              <w:t>Q3份额：台州银行股份有限公司所有客户。</w:t>
            </w:r>
          </w:p>
          <w:p w14:paraId="3B9F53B9">
            <w:pPr>
              <w:spacing w:line="200" w:lineRule="exact"/>
            </w:pPr>
            <w:r>
              <w:rPr>
                <w:rFonts w:ascii="方正黑体_GBK" w:hAnsi="方正黑体_GBK" w:eastAsia="方正黑体_GBK" w:cs="宋体"/>
                <w:sz w:val="18"/>
                <w:szCs w:val="18"/>
              </w:rPr>
              <w:t>R3份额：台州银行股份有限公司白名单客户。</w:t>
            </w:r>
          </w:p>
          <w:p w14:paraId="23C579F6">
            <w:pPr>
              <w:spacing w:line="200" w:lineRule="exact"/>
            </w:pPr>
            <w:r>
              <w:rPr>
                <w:rFonts w:ascii="方正黑体_GBK" w:hAnsi="方正黑体_GBK" w:eastAsia="方正黑体_GBK" w:cs="宋体"/>
                <w:sz w:val="18"/>
                <w:szCs w:val="18"/>
              </w:rPr>
              <w:t>B1份额：江苏常熟农村商业银行股份有限公司、江苏苏州农村商业银行股份有限公司、秦皇岛银行股份有限公司、潍坊银行股份有限公司、齐鲁银行股份有限公司、贵阳银行股份有限公司、天津农村商业银行股份有限公司（大众客群）、云南红塔银行股份有限公司（代发客户）、中原银行股份有限公司、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大丰农村商业银行股份有限公司（普通客户）、江苏洪泽农村商业银行股份有限公司、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江苏睢宁农村商业银行股份有限公司客户。</w:t>
            </w:r>
          </w:p>
          <w:p w14:paraId="4D757989">
            <w:pPr>
              <w:spacing w:line="200" w:lineRule="exact"/>
            </w:pPr>
            <w:r>
              <w:rPr>
                <w:rFonts w:ascii="方正黑体_GBK" w:hAnsi="方正黑体_GBK" w:eastAsia="方正黑体_GBK" w:cs="宋体"/>
                <w:sz w:val="18"/>
                <w:szCs w:val="18"/>
              </w:rPr>
              <w:t>C1份额：江苏张家港农村商业银行股份有限公司、江苏常熟农村商业银行股份有限公司（特定客群）、河北银行股份有限公司（常规客户）、天津农村商业银行股份有限公司（社保专属）、云南红塔银行股份有限公司（财富客户）、桂林银行股份有限公司(分行特供)、江苏扬州农村商业银行股份有限公司、江苏大丰农村商业银行股份有限公司客户（特邀企业客户）。</w:t>
            </w:r>
          </w:p>
          <w:p w14:paraId="1058A8C0">
            <w:pPr>
              <w:spacing w:line="200" w:lineRule="exact"/>
            </w:pPr>
            <w:r>
              <w:rPr>
                <w:rFonts w:ascii="方正黑体_GBK" w:hAnsi="方正黑体_GBK" w:eastAsia="方正黑体_GBK" w:cs="宋体"/>
                <w:sz w:val="18"/>
                <w:szCs w:val="18"/>
              </w:rPr>
              <w:t>D1份额：齐商银行股份有限公司、河北银行股份有限公司（分行特供）、郑州银行股份有限公司、天津农村商业银行股份有限公司（专属客户）、云南红塔银行股份有限公司（新客户）、重庆富民银行股份有限公司、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14:paraId="0A836D51">
            <w:pPr>
              <w:spacing w:line="200" w:lineRule="exact"/>
            </w:pPr>
            <w:r>
              <w:rPr>
                <w:rFonts w:ascii="方正黑体_GBK" w:hAnsi="方正黑体_GBK" w:eastAsia="方正黑体_GBK" w:cs="宋体"/>
                <w:sz w:val="18"/>
                <w:szCs w:val="18"/>
              </w:rPr>
              <w:t>E1份额：甘肃银行股份有限公司（教师节特供）、天津农村商业银行股份有限公司（特邀客户）、云南红塔银行股份有限公司（财富300万客户）、桂林银行股份有限公司（特殊客群）、江苏镇江农村商业银行股份有限公司（100万元起购）、江苏射阳农村商业银行股份有限公司、江苏句容农村商业银行股份有限公司、、江苏沛县农村商业银行股份有限公司（高端客户专属）、江苏海门农村商业银行股份有限公司客户。</w:t>
            </w:r>
          </w:p>
          <w:p w14:paraId="55E2E137">
            <w:pPr>
              <w:spacing w:line="200" w:lineRule="exact"/>
            </w:pPr>
            <w:r>
              <w:rPr>
                <w:rFonts w:ascii="方正黑体_GBK" w:hAnsi="方正黑体_GBK" w:eastAsia="方正黑体_GBK" w:cs="宋体"/>
                <w:sz w:val="18"/>
                <w:szCs w:val="18"/>
              </w:rPr>
              <w:t>F1份额：南京银行股份有限公司客户（行庆专属）。</w:t>
            </w:r>
          </w:p>
          <w:p w14:paraId="5A80DA5E">
            <w:pPr>
              <w:spacing w:line="200" w:lineRule="exact"/>
            </w:pPr>
            <w:r>
              <w:rPr>
                <w:rFonts w:ascii="方正黑体_GBK" w:hAnsi="方正黑体_GBK" w:eastAsia="方正黑体_GBK" w:cs="宋体"/>
                <w:sz w:val="18"/>
                <w:szCs w:val="18"/>
              </w:rPr>
              <w:t>G1份额：成都银行股份有限公司。</w:t>
            </w:r>
          </w:p>
          <w:p w14:paraId="12506471">
            <w:pPr>
              <w:spacing w:line="200" w:lineRule="exact"/>
            </w:pPr>
            <w:r>
              <w:rPr>
                <w:rFonts w:ascii="方正黑体_GBK" w:hAnsi="方正黑体_GBK" w:eastAsia="方正黑体_GBK" w:cs="宋体"/>
                <w:sz w:val="18"/>
                <w:szCs w:val="18"/>
              </w:rPr>
              <w:t>H1份额：南京银行股份有限公司代发客户。</w:t>
            </w:r>
          </w:p>
          <w:p w14:paraId="6AD8369C">
            <w:pPr>
              <w:spacing w:line="200" w:lineRule="exact"/>
            </w:pPr>
            <w:r>
              <w:rPr>
                <w:rFonts w:ascii="方正黑体_GBK" w:hAnsi="方正黑体_GBK" w:eastAsia="方正黑体_GBK" w:cs="宋体"/>
                <w:sz w:val="18"/>
                <w:szCs w:val="18"/>
              </w:rPr>
              <w:t>J1份额：兴业银行股份有限公司客户。</w:t>
            </w:r>
          </w:p>
          <w:p w14:paraId="51D7E103">
            <w:pPr>
              <w:spacing w:line="200" w:lineRule="exact"/>
            </w:pPr>
            <w:r>
              <w:rPr>
                <w:rFonts w:ascii="方正黑体_GBK" w:hAnsi="方正黑体_GBK" w:eastAsia="方正黑体_GBK" w:cs="宋体"/>
                <w:sz w:val="18"/>
                <w:szCs w:val="18"/>
              </w:rPr>
              <w:t>K1份额：交通银行股份有限公司客户。</w:t>
            </w:r>
          </w:p>
          <w:p w14:paraId="7C444407">
            <w:pPr>
              <w:spacing w:line="200" w:lineRule="exact"/>
            </w:pPr>
            <w:r>
              <w:rPr>
                <w:rFonts w:ascii="方正黑体_GBK" w:hAnsi="方正黑体_GBK" w:eastAsia="方正黑体_GBK" w:cs="宋体"/>
                <w:sz w:val="18"/>
                <w:szCs w:val="18"/>
              </w:rPr>
              <w:t>L1份额：兴业银行股份有限公司南京分行客户。</w:t>
            </w:r>
          </w:p>
          <w:p w14:paraId="3FEC78DA">
            <w:pPr>
              <w:spacing w:line="200" w:lineRule="exact"/>
            </w:pPr>
            <w:r>
              <w:rPr>
                <w:rFonts w:ascii="方正黑体_GBK" w:hAnsi="方正黑体_GBK" w:eastAsia="方正黑体_GBK" w:cs="宋体"/>
                <w:sz w:val="18"/>
                <w:szCs w:val="18"/>
              </w:rPr>
              <w:t>M1份额：浙江民泰商业银行股份有限公司、苏州银行股份有限公司、嘉兴银行股份有限公司、福建海峡银行股份有限公司、宁波通商银行股份有限公司客户。</w:t>
            </w:r>
          </w:p>
          <w:p w14:paraId="2353FDF8">
            <w:pPr>
              <w:spacing w:line="200" w:lineRule="exact"/>
            </w:pPr>
            <w:r>
              <w:rPr>
                <w:rFonts w:ascii="方正黑体_GBK" w:hAnsi="方正黑体_GBK" w:eastAsia="方正黑体_GBK" w:cs="宋体"/>
                <w:sz w:val="18"/>
                <w:szCs w:val="18"/>
              </w:rPr>
              <w:t>N1份额：苏州银行股份有限公司（代发与新资金专属）客户。</w:t>
            </w:r>
          </w:p>
          <w:p w14:paraId="5924857E">
            <w:pPr>
              <w:spacing w:line="200" w:lineRule="exact"/>
            </w:pPr>
            <w:r>
              <w:rPr>
                <w:rFonts w:ascii="方正黑体_GBK" w:hAnsi="方正黑体_GBK" w:eastAsia="方正黑体_GBK" w:cs="宋体"/>
                <w:sz w:val="18"/>
                <w:szCs w:val="18"/>
              </w:rPr>
              <w:t>O1份额：广发银行股份有限公司所有个人客户。</w:t>
            </w:r>
          </w:p>
          <w:p w14:paraId="4DAA7005">
            <w:pPr>
              <w:spacing w:line="200" w:lineRule="exact"/>
            </w:pPr>
            <w:r>
              <w:rPr>
                <w:rFonts w:ascii="方正黑体_GBK" w:hAnsi="方正黑体_GBK" w:eastAsia="方正黑体_GBK" w:cs="宋体"/>
                <w:sz w:val="18"/>
                <w:szCs w:val="18"/>
              </w:rPr>
              <w:t>S1份额：四川天府银行股份有限公司客户。</w:t>
            </w:r>
          </w:p>
          <w:p w14:paraId="0FEFC640">
            <w:pPr>
              <w:spacing w:line="200" w:lineRule="exact"/>
            </w:pPr>
            <w:r>
              <w:rPr>
                <w:rFonts w:ascii="方正黑体_GBK" w:hAnsi="方正黑体_GBK" w:eastAsia="方正黑体_GBK" w:cs="宋体"/>
                <w:sz w:val="18"/>
                <w:szCs w:val="18"/>
              </w:rPr>
              <w:t>S2份额：四川天府银行股份有限公司客户。</w:t>
            </w:r>
          </w:p>
          <w:p w14:paraId="13431E06">
            <w:pPr>
              <w:spacing w:line="200" w:lineRule="exact"/>
            </w:pPr>
            <w:r>
              <w:rPr>
                <w:rFonts w:ascii="方正黑体_GBK" w:hAnsi="方正黑体_GBK" w:eastAsia="方正黑体_GBK" w:cs="宋体"/>
                <w:sz w:val="18"/>
                <w:szCs w:val="18"/>
              </w:rPr>
              <w:t>S3份额：四川天府银行股份有限公司客户。</w:t>
            </w:r>
          </w:p>
          <w:p w14:paraId="632102BE">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1A9DB91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BC84B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0232888D">
            <w:pPr>
              <w:spacing w:line="200" w:lineRule="exact"/>
            </w:pPr>
            <w:r>
              <w:rPr>
                <w:rFonts w:ascii="方正黑体_GBK" w:hAnsi="方正黑体_GBK" w:eastAsia="方正黑体_GBK" w:cs="宋体"/>
                <w:sz w:val="18"/>
                <w:szCs w:val="18"/>
              </w:rPr>
              <w:t>A份额/C份额/E份额/B2份额/C2份额/D2份额/E2份额/B3份额/C3份额/D3份额/E3份额/F2份额/F3份额/G2份额/G3份额/J2份额/K2份额/L2份额/J3份额/K3份额/L3份额/M2份额/M3份额/Q1份额/R1份额/Q2份额/R2份额/Q3份额/R3份额/B1份额/C1份额/D1份额/E1份额/F1份额/G1份额/H1份额/J1份额/K1份额/L1份额/M1份额/N1份额/S1份额/S2份额/S3份额：</w:t>
            </w:r>
          </w:p>
          <w:p w14:paraId="4F98C761">
            <w:pPr>
              <w:spacing w:line="200" w:lineRule="exact"/>
            </w:pPr>
            <w:r>
              <w:rPr>
                <w:rFonts w:ascii="方正黑体_GBK" w:hAnsi="方正黑体_GBK" w:eastAsia="方正黑体_GBK" w:cs="宋体"/>
                <w:sz w:val="18"/>
                <w:szCs w:val="18"/>
              </w:rPr>
              <w:t>个人投资者投资起点金额1元人民币，以1元的整数倍递增；</w:t>
            </w:r>
          </w:p>
          <w:p w14:paraId="5EC805CA">
            <w:pPr>
              <w:spacing w:line="200" w:lineRule="exact"/>
            </w:pPr>
            <w:r>
              <w:rPr>
                <w:rFonts w:ascii="方正黑体_GBK" w:hAnsi="方正黑体_GBK" w:eastAsia="方正黑体_GBK" w:cs="宋体"/>
                <w:sz w:val="18"/>
                <w:szCs w:val="18"/>
              </w:rPr>
              <w:t>机构投资者投资起点金额1元人民币，以1元的整数倍递增；</w:t>
            </w:r>
          </w:p>
          <w:p w14:paraId="681156E6">
            <w:pPr>
              <w:spacing w:line="200" w:lineRule="exact"/>
            </w:pPr>
            <w:r>
              <w:rPr>
                <w:rFonts w:ascii="方正黑体_GBK" w:hAnsi="方正黑体_GBK" w:eastAsia="方正黑体_GBK" w:cs="宋体"/>
                <w:sz w:val="18"/>
                <w:szCs w:val="18"/>
              </w:rPr>
              <w:t>O2份额/O3份额/O1份额：</w:t>
            </w:r>
          </w:p>
          <w:p w14:paraId="5F01CDC3">
            <w:pPr>
              <w:spacing w:line="200" w:lineRule="exact"/>
            </w:pPr>
            <w:r>
              <w:rPr>
                <w:rFonts w:ascii="方正黑体_GBK" w:hAnsi="方正黑体_GBK" w:eastAsia="方正黑体_GBK" w:cs="宋体"/>
                <w:sz w:val="18"/>
                <w:szCs w:val="18"/>
              </w:rPr>
              <w:t>个人投资者投资起点金额1元人民币，以1元的整数倍递增；</w:t>
            </w:r>
          </w:p>
          <w:p w14:paraId="1C7FB870">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后续在符合监管政策规定的条件下，理财产品管理人有权对上述投资起点金额和递增金额进行调整，并进行信息披露。</w:t>
            </w:r>
          </w:p>
          <w:p w14:paraId="25BB5512">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77D5C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5A90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18DF7223">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5FE4AED2">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29FDFB5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ABCF6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2ABF3D7F">
            <w:pPr>
              <w:spacing w:line="200" w:lineRule="exact"/>
            </w:pPr>
            <w:r>
              <w:rPr>
                <w:rFonts w:ascii="方正黑体_GBK" w:hAnsi="方正黑体_GBK" w:eastAsia="方正黑体_GBK" w:cs="宋体"/>
                <w:color w:val="000000"/>
                <w:sz w:val="18"/>
                <w:szCs w:val="18"/>
              </w:rPr>
              <w:t>2019年10月30日 09:00—2019年11月06日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2A23CA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4E1D44">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953E3D4">
            <w:pPr>
              <w:spacing w:line="200" w:lineRule="exact"/>
            </w:pPr>
            <w:r>
              <w:rPr>
                <w:rFonts w:ascii="方正黑体_GBK" w:hAnsi="方正黑体_GBK" w:eastAsia="方正黑体_GBK" w:cs="宋体"/>
                <w:sz w:val="18"/>
                <w:szCs w:val="18"/>
              </w:rPr>
              <w:t>认购份额=确认认购金额/1。（认购份额以去尾法保留两位小数）</w:t>
            </w:r>
          </w:p>
        </w:tc>
      </w:tr>
      <w:tr w14:paraId="69FF45D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6F899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理财封闭期</w:t>
            </w:r>
          </w:p>
        </w:tc>
        <w:tc>
          <w:tcPr>
            <w:tcW w:w="5543" w:type="dxa"/>
            <w:tcBorders>
              <w:top w:val="single" w:color="auto" w:sz="4" w:space="0"/>
              <w:left w:val="nil"/>
              <w:bottom w:val="single" w:color="auto" w:sz="4" w:space="0"/>
              <w:right w:val="single" w:color="auto" w:sz="4" w:space="0"/>
              <w:tl2br w:val="nil"/>
              <w:tr2bl w:val="nil"/>
            </w:tcBorders>
            <w:vAlign w:val="center"/>
          </w:tcPr>
          <w:p w14:paraId="0A54E574">
            <w:pPr>
              <w:spacing w:line="200" w:lineRule="exact"/>
            </w:pPr>
            <w:r>
              <w:rPr>
                <w:rFonts w:ascii="方正黑体_GBK" w:hAnsi="方正黑体_GBK" w:eastAsia="方正黑体_GBK" w:cs="宋体"/>
                <w:sz w:val="18"/>
                <w:szCs w:val="18"/>
              </w:rPr>
              <w:t>本理财产品每期封闭期为一年，当期封闭期起止时间以公告为准。</w:t>
            </w:r>
          </w:p>
        </w:tc>
      </w:tr>
      <w:tr w14:paraId="6BAAE6B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A4B3B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78927BCC">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99BF2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E721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426F322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2019年11月07日</w:t>
            </w:r>
          </w:p>
        </w:tc>
      </w:tr>
      <w:tr w14:paraId="4E6356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DC9A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381FB006">
            <w:pPr>
              <w:spacing w:line="200" w:lineRule="exact"/>
            </w:pPr>
            <w:r>
              <w:rPr>
                <w:rFonts w:ascii="方正黑体_GBK" w:hAnsi="方正黑体_GBK" w:eastAsia="方正黑体_GBK" w:cs="宋体"/>
                <w:sz w:val="18"/>
                <w:szCs w:val="18"/>
              </w:rPr>
              <w:t>2019年11月07日—实际到期日（若本理财产品未被提前终止或延期终止，则实际到期日即为名义到期日，存续期限10年；若本理财产品被提前终止或延期终止，则实际到期日为提前终止日或延期终止日。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eastAsia="方正黑体_GBK" w:cs="宋体"/>
                <w:b/>
                <w:sz w:val="18"/>
                <w:szCs w:val="18"/>
              </w:rPr>
              <w:t>理财产品管理人有权根据市场变化情况调整产品存续期，届时管理人将调整相关日期并进行信息披露。）</w:t>
            </w:r>
          </w:p>
        </w:tc>
      </w:tr>
      <w:tr w14:paraId="51F43E6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EC6F04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376AAA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2029年12月28日</w:t>
            </w:r>
            <w:r>
              <w:rPr>
                <w:rFonts w:hint="eastAsia" w:ascii="方正黑体_GBK" w:hAnsi="方正黑体_GBK" w:eastAsia="方正黑体_GBK"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方正黑体_GBK" w:hAnsi="方正黑体_GBK" w:eastAsia="方正黑体_GBK"/>
                <w:b/>
                <w:bCs/>
                <w:caps w:val="0"/>
                <w:smallCaps w:val="0"/>
                <w:snapToGrid/>
                <w:vanish w:val="0"/>
                <w:color w:val="auto"/>
                <w:kern w:val="0"/>
                <w:sz w:val="18"/>
                <w:szCs w:val="18"/>
                <w:vertAlign w:val="baseline"/>
              </w:rPr>
              <w:t>信息披露</w:t>
            </w:r>
            <w:r>
              <w:rPr>
                <w:rFonts w:hint="eastAsia" w:ascii="方正黑体_GBK" w:hAnsi="方正黑体_GBK" w:eastAsia="方正黑体_GBK" w:cs="Times New Roman"/>
                <w:b/>
                <w:bCs/>
                <w:caps w:val="0"/>
                <w:smallCaps w:val="0"/>
                <w:snapToGrid/>
                <w:vanish w:val="0"/>
                <w:color w:val="auto"/>
                <w:kern w:val="0"/>
                <w:sz w:val="18"/>
                <w:szCs w:val="18"/>
                <w:vertAlign w:val="baseline"/>
              </w:rPr>
              <w:t>）</w:t>
            </w:r>
          </w:p>
        </w:tc>
      </w:tr>
      <w:tr w14:paraId="4728664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2EDBF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26169B27">
            <w:pPr>
              <w:spacing w:line="200" w:lineRule="exact"/>
            </w:pPr>
            <w:r>
              <w:rPr>
                <w:rFonts w:ascii="方正黑体_GBK" w:hAnsi="方正黑体_GBK" w:eastAsia="方正黑体_GBK" w:cs="宋体"/>
                <w:sz w:val="18"/>
                <w:szCs w:val="18"/>
              </w:rPr>
              <w:t>本理财产品存续期内按每一年开放申购，如遇节假日调整，申购开放日和申购确认日以公告为准。</w:t>
            </w:r>
          </w:p>
        </w:tc>
      </w:tr>
      <w:tr w14:paraId="11DC084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898D46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赎回开放日和确认日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7E11A85E">
            <w:pPr>
              <w:spacing w:line="200" w:lineRule="exact"/>
            </w:pPr>
            <w:r>
              <w:rPr>
                <w:rFonts w:ascii="方正黑体_GBK" w:hAnsi="方正黑体_GBK" w:eastAsia="方正黑体_GBK" w:cs="宋体"/>
                <w:sz w:val="18"/>
                <w:szCs w:val="18"/>
              </w:rPr>
              <w:t>本理财产品存续期内按每一年开放赎回，如遇节假日调整，赎回开放日和赎回确认日以公告为准，投资者可提交赎回申请，系统不自动赎回。产品终止时，产品将对所有份额进行强制赎回。</w:t>
            </w:r>
          </w:p>
        </w:tc>
      </w:tr>
      <w:tr w14:paraId="7494D1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3E30A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申购/赎回规则</w:t>
            </w:r>
          </w:p>
        </w:tc>
        <w:tc>
          <w:tcPr>
            <w:tcW w:w="5543" w:type="dxa"/>
            <w:tcBorders>
              <w:top w:val="single" w:color="auto" w:sz="4" w:space="0"/>
              <w:left w:val="nil"/>
              <w:bottom w:val="single" w:color="auto" w:sz="4" w:space="0"/>
              <w:right w:val="single" w:color="auto" w:sz="4" w:space="0"/>
              <w:tl2br w:val="nil"/>
              <w:tr2bl w:val="nil"/>
            </w:tcBorders>
            <w:vAlign w:val="center"/>
          </w:tcPr>
          <w:p w14:paraId="3CE2E5AF">
            <w:pPr>
              <w:spacing w:line="200" w:lineRule="exact"/>
              <w:jc w:val="left"/>
            </w:pPr>
            <w:r>
              <w:rPr>
                <w:rFonts w:ascii="方正黑体_GBK" w:hAnsi="方正黑体_GBK" w:eastAsia="方正黑体_GBK" w:cs="宋体"/>
                <w:sz w:val="18"/>
                <w:szCs w:val="18"/>
              </w:rPr>
              <w:t>A份额/F1份额/Q1份额/R1份额：本次开放期为2026年1月23日9：00至2026年1月29日17：00,下一个开放期为2027年3月4日9：00至2027年3月10日17：00，投资者可以提交或撤销认购/申购/赎回申请。</w:t>
            </w:r>
          </w:p>
          <w:p w14:paraId="5EFCB26F">
            <w:pPr>
              <w:spacing w:line="200" w:lineRule="exact"/>
              <w:jc w:val="left"/>
            </w:pPr>
            <w:r>
              <w:rPr>
                <w:rFonts w:ascii="方正黑体_GBK" w:hAnsi="方正黑体_GBK" w:eastAsia="方正黑体_GBK" w:cs="宋体"/>
                <w:sz w:val="18"/>
                <w:szCs w:val="18"/>
              </w:rPr>
              <w:t>C份额/E份额：投资者可于2026年1月23日9：00至2026年1月29日17：00提交或撤销赎回申请。</w:t>
            </w:r>
          </w:p>
          <w:p w14:paraId="2F046FE9">
            <w:pPr>
              <w:spacing w:line="200" w:lineRule="exact"/>
              <w:jc w:val="left"/>
            </w:pPr>
            <w:r>
              <w:rPr>
                <w:rFonts w:ascii="方正黑体_GBK" w:hAnsi="方正黑体_GBK" w:eastAsia="方正黑体_GBK" w:cs="宋体"/>
                <w:sz w:val="18"/>
                <w:szCs w:val="18"/>
              </w:rPr>
              <w:t>B1份额/C1份额/D1份额/E1份额/G1份额/H1份额/J1份额/K1份额/L1份额/M1份额/N1份额/O1份额/S1份额：本次开放期为2026年1月23日9：00至2026年1月29日17：00，投资者可以提交或撤销认购/申购申请；确认成功的份额均将于下一个开放期（2027年3月4日9：00至2027年3月10日17：00）由系统自动发起赎回申请。</w:t>
            </w:r>
          </w:p>
          <w:p w14:paraId="3D930203">
            <w:pPr>
              <w:spacing w:line="200" w:lineRule="exact"/>
              <w:jc w:val="left"/>
            </w:pPr>
            <w:r>
              <w:rPr>
                <w:rFonts w:ascii="方正黑体_GBK" w:hAnsi="方正黑体_GBK" w:eastAsia="方正黑体_GBK" w:cs="宋体"/>
                <w:sz w:val="18"/>
                <w:szCs w:val="18"/>
              </w:rPr>
              <w:t>C份额/F2份额/Q2份额/R2份额：本次开放期为2026年1月30日9：00至2026年2月5日17：00,下一个开放期为2027年3月11日9：00至2027年3月17日17：00，投资者可以提交或撤销认购/申购/赎回申请。</w:t>
            </w:r>
          </w:p>
          <w:p w14:paraId="2CE0D11A">
            <w:pPr>
              <w:spacing w:line="200" w:lineRule="exact"/>
              <w:jc w:val="left"/>
            </w:pPr>
            <w:r>
              <w:rPr>
                <w:rFonts w:ascii="方正黑体_GBK" w:hAnsi="方正黑体_GBK" w:eastAsia="方正黑体_GBK" w:cs="宋体"/>
                <w:sz w:val="18"/>
                <w:szCs w:val="18"/>
              </w:rPr>
              <w:t>B2份额/C2份额/D2份额/E2份额/G2份额/J2份额/K2份额/L2份额/M2份额/O2份额/S2份额：本次开放期为2026年1月30日9：00至2026年2月5日17：00，投资者可以提交或撤销认购/申购申请；确认成功的份额均将于下一个开放期（2027年3月11日9：00至2027年3月17日17：00）由系统自动发起赎回申请。</w:t>
            </w:r>
          </w:p>
          <w:p w14:paraId="2A95C6ED">
            <w:pPr>
              <w:spacing w:line="200" w:lineRule="exact"/>
              <w:jc w:val="left"/>
            </w:pPr>
            <w:r>
              <w:rPr>
                <w:rFonts w:ascii="方正黑体_GBK" w:hAnsi="方正黑体_GBK" w:eastAsia="方正黑体_GBK" w:cs="宋体"/>
                <w:sz w:val="18"/>
                <w:szCs w:val="18"/>
              </w:rPr>
              <w:t>E份额/F3份额/Q3份额/R3份额：本次开放期为2026年2月6日9：00至2026年2月12日17：00,下一个开放期为2027年3月18日9：00至2027年3月24日17：00，投资者可以提交或撤销认购/申购/赎回申请。</w:t>
            </w:r>
          </w:p>
          <w:p w14:paraId="2941D409">
            <w:pPr>
              <w:spacing w:line="200" w:lineRule="exact"/>
              <w:jc w:val="left"/>
            </w:pPr>
            <w:r>
              <w:rPr>
                <w:rFonts w:ascii="方正黑体_GBK" w:hAnsi="方正黑体_GBK" w:eastAsia="方正黑体_GBK" w:cs="宋体"/>
                <w:sz w:val="18"/>
                <w:szCs w:val="18"/>
              </w:rPr>
              <w:t>B3份额/C3份额/D3份额/E3份额/G3份额/J3份额/K3份额/L3份额/M3份额/O3份额/S3份额</w:t>
            </w:r>
            <w:bookmarkStart w:id="0" w:name="_GoBack"/>
            <w:bookmarkEnd w:id="0"/>
            <w:r>
              <w:rPr>
                <w:rFonts w:ascii="方正黑体_GBK" w:hAnsi="方正黑体_GBK" w:eastAsia="方正黑体_GBK" w:cs="宋体"/>
                <w:sz w:val="18"/>
                <w:szCs w:val="18"/>
              </w:rPr>
              <w:t>：本次开放期为2026年2月6日9：00至2026年2月12日17：00，投资者可以提交或撤销认购/申购申请；确认成功的份额均将于下一个开放期（2027年3月18日9：00至2027年3月24日17：00）由系统自动发起赎回申请。</w:t>
            </w:r>
          </w:p>
          <w:p w14:paraId="67B88AFC">
            <w:pPr>
              <w:spacing w:line="200" w:lineRule="exact"/>
              <w:jc w:val="left"/>
            </w:pPr>
            <w:r>
              <w:rPr>
                <w:rFonts w:ascii="方正黑体_GBK" w:hAnsi="方正黑体_GBK" w:eastAsia="方正黑体_GBK" w:cs="宋体"/>
                <w:sz w:val="18"/>
                <w:szCs w:val="18"/>
              </w:rPr>
              <w:t>产品开放期如有调整以管理人公告为准。</w:t>
            </w:r>
          </w:p>
          <w:p w14:paraId="2A2819AC">
            <w:pPr>
              <w:spacing w:line="200" w:lineRule="exact"/>
              <w:jc w:val="left"/>
            </w:pPr>
            <w:r>
              <w:rPr>
                <w:rFonts w:ascii="方正黑体_GBK" w:hAnsi="方正黑体_GBK" w:eastAsia="方正黑体_GBK" w:cs="宋体"/>
                <w:sz w:val="18"/>
                <w:szCs w:val="18"/>
              </w:rPr>
              <w:t>在销售机构支持的前提下，认购/申购/赎回开放期末日17:00前可以撤销申请。</w:t>
            </w:r>
          </w:p>
          <w:p w14:paraId="7244C321">
            <w:pPr>
              <w:spacing w:line="200" w:lineRule="exact"/>
              <w:jc w:val="left"/>
            </w:pPr>
            <w:r>
              <w:rPr>
                <w:rFonts w:ascii="方正黑体_GBK" w:hAnsi="方正黑体_GBK" w:eastAsia="方正黑体_GBK" w:cs="宋体"/>
                <w:sz w:val="18"/>
                <w:szCs w:val="18"/>
              </w:rPr>
              <w:t>代销机构可根据其销售需要在管理人设定的认购/申购/赎回时间范围内对认购/申购/赎回时间进行重新设定，投资者通过代销机构购买本理财产品的，以该代销机构最终披露的时间为准。</w:t>
            </w:r>
          </w:p>
        </w:tc>
      </w:tr>
      <w:tr w14:paraId="0445DE8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5FD0D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w:t>
            </w:r>
            <w:r>
              <w:rPr>
                <w:rFonts w:hint="eastAsia" w:ascii="方正黑体_GBK" w:hAnsi="方正黑体_GBK" w:eastAsia="方正黑体_GBK"/>
                <w:caps w:val="0"/>
                <w:smallCaps w:val="0"/>
                <w:snapToGrid/>
                <w:vanish w:val="0"/>
                <w:color w:val="auto"/>
                <w:kern w:val="0"/>
                <w:sz w:val="18"/>
                <w:szCs w:val="18"/>
                <w:vertAlign w:val="baseline"/>
              </w:rPr>
              <w:t>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EF8D234">
            <w:pPr>
              <w:spacing w:line="200" w:lineRule="exact"/>
            </w:pPr>
            <w:r>
              <w:rPr>
                <w:rFonts w:ascii="方正黑体_GBK" w:hAnsi="方正黑体_GBK" w:eastAsia="方正黑体_GBK" w:cs="宋体"/>
                <w:sz w:val="18"/>
                <w:szCs w:val="18"/>
              </w:rPr>
              <w:t>申购份额=确认申购金额/S。S为申购确认日理财产品单位净值（已扣除相关费用）。申购份额以去尾法保留两位小数。</w:t>
            </w:r>
          </w:p>
        </w:tc>
      </w:tr>
      <w:tr w14:paraId="4EA1CBB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9591D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赎回金额计算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4E585D2">
            <w:pPr>
              <w:spacing w:line="200" w:lineRule="exact"/>
            </w:pPr>
            <w:r>
              <w:rPr>
                <w:rFonts w:ascii="方正黑体_GBK" w:hAnsi="方正黑体_GBK" w:eastAsia="方正黑体_GBK" w:cs="宋体"/>
                <w:sz w:val="18"/>
                <w:szCs w:val="18"/>
              </w:rPr>
              <w:t>赎回金额=确认赎回份额×R。 R为赎回确认日理财产品单位净值（已扣除相关费用，赎回金额以去尾法保留两位小数）</w:t>
            </w:r>
          </w:p>
        </w:tc>
      </w:tr>
      <w:tr w14:paraId="199720E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634DF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F235C8E">
            <w:pPr>
              <w:spacing w:line="200" w:lineRule="exact"/>
            </w:pPr>
            <w:r>
              <w:rPr>
                <w:rFonts w:ascii="方正黑体_GBK" w:hAnsi="方正黑体_GBK" w:eastAsia="方正黑体_GBK" w:cs="宋体"/>
                <w:color w:val="000000"/>
                <w:sz w:val="18"/>
                <w:szCs w:val="18"/>
              </w:rPr>
              <w:t>到期兑付金额=到期时持有份额×P。 P为期末理财产品单位净值。（已扣除相关费用，到期兑付金额以去尾法保留两位小数）</w:t>
            </w:r>
          </w:p>
        </w:tc>
      </w:tr>
      <w:tr w14:paraId="480530C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EB718C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72A1350E">
            <w:pPr>
              <w:spacing w:line="200" w:lineRule="exact"/>
            </w:pPr>
            <w:r>
              <w:rPr>
                <w:rFonts w:ascii="方正黑体_GBK" w:hAnsi="方正黑体_GBK" w:eastAsia="方正黑体_GBK" w:cs="宋体"/>
                <w:sz w:val="18"/>
                <w:szCs w:val="18"/>
              </w:rPr>
              <w:t>当理财产品单位净值不低于1时，管理人可以根据实际情况进行收益分配，分配方式为现金分红，具体分配方案以信息披露为准（分配后理财产品净值不低于1）。</w:t>
            </w:r>
          </w:p>
          <w:p w14:paraId="45866AAD">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6370F38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F7322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7269B8B">
            <w:pPr>
              <w:spacing w:line="200" w:lineRule="exact"/>
              <w:jc w:val="left"/>
            </w:pPr>
            <w:r>
              <w:rPr>
                <w:rFonts w:ascii="方正黑体_GBK" w:hAnsi="方正黑体_GBK" w:eastAsia="方正黑体_GBK" w:cs="宋体"/>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14:paraId="154A084E">
            <w:pPr>
              <w:spacing w:line="200" w:lineRule="exact"/>
              <w:jc w:val="left"/>
            </w:pPr>
            <w:r>
              <w:rPr>
                <w:rFonts w:ascii="方正黑体_GBK" w:hAnsi="方正黑体_GBK" w:eastAsia="方正黑体_GBK" w:cs="宋体"/>
                <w:sz w:val="18"/>
                <w:szCs w:val="18"/>
              </w:rPr>
              <w:t>分红权益登记日指管理人确认投资者所持份额是否享受本次分红的日期。</w:t>
            </w:r>
          </w:p>
        </w:tc>
      </w:tr>
      <w:tr w14:paraId="0A60AB7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0FE6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A9A3A04">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32C4F643">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7E82E5EC">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2FE35CB7">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735B2F7E">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34F6EAD3">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7F14699E">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39E045D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5107D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6F4627CF">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6F65A960">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2E45FBC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94362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61FA5F39">
            <w:pPr>
              <w:spacing w:line="200" w:lineRule="exact"/>
            </w:pPr>
            <w:r>
              <w:rPr>
                <w:rFonts w:ascii="方正黑体_GBK" w:hAnsi="方正黑体_GBK" w:eastAsia="方正黑体_GBK" w:cs="宋体"/>
                <w:sz w:val="18"/>
                <w:szCs w:val="18"/>
              </w:rPr>
              <w:t>本理财产品通过对宏观经济、政策环境、市场状况和资金供求的深入分析，自上而下进行积极主动的资产配置，对债券等资产进行品种和行业的价值分析，构建合理的投资组合方案。力争控制回撤幅度，追求稳健的投资回报。</w:t>
            </w:r>
          </w:p>
        </w:tc>
      </w:tr>
      <w:tr w14:paraId="7F6B8EE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D0443C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36647825">
            <w:pPr>
              <w:spacing w:line="200" w:lineRule="exact"/>
            </w:pPr>
            <w:r>
              <w:rPr>
                <w:rFonts w:ascii="方正黑体_GBK" w:hAnsi="方正黑体_GBK" w:eastAsia="方正黑体_GBK" w:cs="宋体"/>
                <w:b/>
                <w:sz w:val="18"/>
                <w:szCs w:val="18"/>
              </w:rPr>
              <w:t>本理财产品拟投资以下备选非标准化债权类资产：</w:t>
            </w:r>
          </w:p>
          <w:p w14:paraId="483195D2">
            <w:pPr>
              <w:spacing w:line="200" w:lineRule="exact"/>
            </w:pPr>
            <w:r>
              <w:rPr>
                <w:rFonts w:ascii="方正黑体_GBK" w:hAnsi="方正黑体_GBK" w:eastAsia="方正黑体_GBK" w:cs="宋体"/>
                <w:sz w:val="18"/>
                <w:szCs w:val="18"/>
              </w:rPr>
              <w:t>1.信托贷款：资产类型为信托公司设立的固定收益类信托计划，底层资产为向融资人江苏新海诚发展集团有限公司发放信托贷款，资产到期日不超过理财产品最近一次开放日。融资人无外部评级，融资人第一大股东为连云港经济技术开发区管理委员会，持股比例为100%。经营范围包括：国有金融资产的经营管理；出资人授权范围内的企业投资与企业管理；创业投资及相关咨询服务；供应链管理；非证券类投资基金管理；企业资产管理；投融资管理相关咨询服务；金属制品、矿产品销售；基础设施开发；土地开发、土地整治；房屋建筑工程、市政工程、绿化工程、水利工程施工；污水处理；供热服务；房地产开发，产业园区开发及建设。(依法须经批准的项目，经相关部门批准后方可开展经营活动)</w:t>
            </w:r>
          </w:p>
          <w:p w14:paraId="76B3E05E">
            <w:pPr>
              <w:spacing w:line="200" w:lineRule="exact"/>
            </w:pPr>
            <w:r>
              <w:rPr>
                <w:rFonts w:ascii="方正黑体_GBK" w:hAnsi="方正黑体_GBK" w:eastAsia="方正黑体_GBK" w:cs="宋体"/>
                <w:sz w:val="18"/>
                <w:szCs w:val="18"/>
              </w:rPr>
              <w:t>2.信托贷款：资产类型为信托公司设立的固定收益类信托计划，底层资产为向融资人南京吉山国有资产运营集团有限公司发放信托贷款，资产到期日不超过理财产品最近一次开放日。融资人无外部评级，融资人第一大股东为南京江宁经济技术开发集团有限公司，持股比例为100%。经营范围包括：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p w14:paraId="12E92E19">
            <w:pPr>
              <w:spacing w:line="200" w:lineRule="exact"/>
            </w:pPr>
            <w:r>
              <w:rPr>
                <w:rFonts w:ascii="方正黑体_GBK" w:hAnsi="方正黑体_GBK" w:eastAsia="方正黑体_GBK" w:cs="宋体"/>
                <w:sz w:val="18"/>
                <w:szCs w:val="18"/>
              </w:rPr>
              <w:t>3.信托贷款：资产类型为信托公司设立的固定收益类信托计划，底层资产为向融资人徐州金龙湖控股集团有限公司发放信托贷款，资产到期日不超过理财产品最近一次开放日。融资人评级为AA（评级机构为联合资信评估股份有限公司），融资人第一大股东为徐州市产业发展控股集团有限公司，持股比例为100%。经营范围包括：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p w14:paraId="062778F0">
            <w:pPr>
              <w:spacing w:line="200" w:lineRule="exact"/>
            </w:pPr>
            <w:r>
              <w:rPr>
                <w:rFonts w:ascii="方正黑体_GBK" w:hAnsi="方正黑体_GBK" w:eastAsia="方正黑体_GBK" w:cs="宋体"/>
                <w:sz w:val="18"/>
                <w:szCs w:val="18"/>
              </w:rPr>
              <w:t>4.信托贷款：资产类型为信托公司设立的固定收益类信托计划，底层资产为向融资人北京天恒置业集团有限公司发放信托贷款，资产到期日不超过理财产品最近一次开放日。融资人评级为AA+（评级机构为联合资信评估股份有限公司），融资人第一大股东为北京市西城区人民政府国有资产监督管理委员会，持股比例为89.67%。经营范围包括：经北京市建委批准的房地产开发、房屋维修；销售民用建材、百货；企业管理；物业管理；机动车停车场管理；会议服务；承办展览展示活动。（市场主体依法自主选择经营项目，开展经营活动；依法须经批准的项目，经相关部门批准后依批准的内容开展经营活动；不得从事国家和本市产业政策禁止和限制类项目的经营活动。）</w:t>
            </w:r>
          </w:p>
          <w:p w14:paraId="1EE6F879">
            <w:pPr>
              <w:spacing w:line="200" w:lineRule="exact"/>
            </w:pPr>
            <w:r>
              <w:rPr>
                <w:rFonts w:ascii="方正黑体_GBK" w:hAnsi="方正黑体_GBK" w:eastAsia="方正黑体_GBK" w:cs="宋体"/>
                <w:sz w:val="18"/>
                <w:szCs w:val="18"/>
              </w:rPr>
              <w:t>5.信托贷款：资产类型为信托公司设立的固定收益类信托计划，底层资产为向融资人江苏金坛建设集团有限公司发放信托贷款，资产到期日不超过理财产品最近一次开放日。融资人评级为AA+（评级机构为联合资信评估股份有限公司），融资人第一大股东为常州市金坛区人民政府，持股比例为100%。经营范围包括：许可项目:建设工程设计;建设工程施工;建设工程监理;建设工程质量检测;电气安装服务;房地产开发经营;港口经营;自来水生产与供应;城市公共交通(依法须经批准的项目,经相关部门批准后方可开展经营活动,具体经营项目以相关部门批准文件或许可证件为准)一般项目:工程管理服务;市政设施管理;非居住房地产租赁;住房租赁;房屋拆迁服务;房地产经纪;房地产咨询;水污染治理;污水处理及其再生利用;水环境污染防治服务;旅游开发项目策划咨询;城市绿化管理;城市公园管理;城乡市容管理;粮食收购;粮油仓储服务;物业管理;停车场服务;水资源管理;金属材料销售;建筑材料销售;照明器具销售;以自有资金从事投资活动(除依法须经批准的项目外,凭营业执照依法自主开展经营活动)</w:t>
            </w:r>
          </w:p>
          <w:p w14:paraId="0EB3BE28">
            <w:pPr>
              <w:spacing w:line="200" w:lineRule="exact"/>
            </w:pPr>
            <w:r>
              <w:rPr>
                <w:rFonts w:ascii="方正黑体_GBK" w:hAnsi="方正黑体_GBK" w:eastAsia="方正黑体_GBK" w:cs="宋体"/>
                <w:sz w:val="18"/>
                <w:szCs w:val="18"/>
              </w:rPr>
              <w:t>6.信托贷款：资产类型为信托公司设立的固定收益类信托计划，底层资产为向融资人无锡惠山高科集团有限公司发放信托贷款，资产到期日不超过理财产品最近一次开放日。融资人评级为AA+（评级机构为联合资信评估股份有限公司），融资人第一大股东为无锡惠山高科产业控股有限公司，持股比例为100%。经营范围包括：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p w14:paraId="2F0A4D30">
            <w:pPr>
              <w:spacing w:line="200" w:lineRule="exact"/>
            </w:pPr>
            <w:r>
              <w:rPr>
                <w:rFonts w:ascii="方正黑体_GBK" w:hAnsi="方正黑体_GBK" w:eastAsia="方正黑体_GBK" w:cs="宋体"/>
                <w:sz w:val="18"/>
                <w:szCs w:val="18"/>
              </w:rPr>
              <w:t>7.信托贷款：资产类型为信托公司设立的固定收益类信托计划，底层资产为向融资人无锡市太湖新城资产经营管理有限公司发放信托贷款，资产到期日不超过理财产品最近一次开放日。融资人评级为AA（评级机构为联合资信评估股份有限公司），融资人第一大股东为无锡市太湖新城发展集团有限公司，持股比例为100%。经营范围包括：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针纺织品销售；包装材料及制品销售；塑料制品销售；电子元器件与机电组件设备销售；机械设备销售；仪器仪表销售；化工产品销售（不含许可类化工产品）；合成材料销售；光伏设备及元器件销售；建筑工程用机械销售；汽车新车销售；机械零件、零部件销售；日用百货销售；日用品销售；食品销售（仅销售预包装食品）；花卉绿植租借与代管理；树木种植经营；货物进出口；食品进出口；进出口代理（除依法须经批准的项目外，凭营业执照依法自主开展经营活动）</w:t>
            </w:r>
          </w:p>
          <w:p w14:paraId="0B8E4997">
            <w:pPr>
              <w:spacing w:line="200" w:lineRule="exact"/>
            </w:pPr>
            <w:r>
              <w:rPr>
                <w:rFonts w:ascii="方正黑体_GBK" w:hAnsi="方正黑体_GBK" w:eastAsia="方正黑体_GBK" w:cs="宋体"/>
                <w:sz w:val="18"/>
                <w:szCs w:val="18"/>
              </w:rPr>
              <w:t>8.信托贷款：资产类型为信托公司设立的固定收益类信托计划，底层资产为向融资人绍兴袍江经济技术开发区投资发展集团有限公司发放信托贷款，资产到期日不超过理财产品最近一次开放日。融资人评级为AA+（评级机构为大公国际资信评估有限公司），融资人第一大股东为绍兴袍江经济技术开发区投资发展集团有限公司，持股比例为100%。经营范围包括：许可项目:房地产开发经营(依法须经批准的项目,经相关部门批准后方可开展经营活动,具体经营项目以审批结果为准)。一般项目:股权投资;园区管理服务;会议及展览服务;土地整治服务;物业管理;停车场服务;城市绿化管理;工程管理服务(除依法须经批准的项目外,凭营业执照依法自主开展经营活动)。</w:t>
            </w:r>
          </w:p>
          <w:p w14:paraId="733591D7">
            <w:pPr>
              <w:spacing w:line="200" w:lineRule="exact"/>
            </w:pPr>
            <w:r>
              <w:rPr>
                <w:rFonts w:ascii="方正黑体_GBK" w:hAnsi="方正黑体_GBK" w:eastAsia="方正黑体_GBK" w:cs="宋体"/>
                <w:sz w:val="18"/>
                <w:szCs w:val="18"/>
              </w:rPr>
              <w:t>9.信托贷款：资产类型为信托公司设立的固定收益类信托计划，底层资产为向融资人扬州邗城国控集团有限公司发放信托贷款，资产到期日不超过理财产品最近一次开放日。融资人无外部评级，融资人第一大股东为扬州高新国控集团有限公司，持股比例为100%。经营范围包括：许可项目：房地产开发经营；建设工程施工；建设工程设计；住宅室内装饰装修(依法须经批准的项目，经相关部门批准后方可开展经营活动，具体经营项目以审批结果为准)一般项目：控股公司服务；以自有资金从事投资活动；自有资金投资的资产管理服务；股权投资；市政设施管理；工程管理服务；规划设计管理；园林绿化工程施工；城市公园管理；停车场服务；建筑材料销售；物业管理；市场营销策划；信息咨询服务(不含许可类信息咨询服务)；城市绿化管理；非居住房地产租赁；住房租赁(除依法须经批准的项目外，凭营业执照依法自主开展经营活动)</w:t>
            </w:r>
          </w:p>
          <w:p w14:paraId="079DC7BA">
            <w:pPr>
              <w:spacing w:line="200" w:lineRule="exact"/>
            </w:pPr>
            <w:r>
              <w:rPr>
                <w:rFonts w:ascii="方正黑体_GBK" w:hAnsi="方正黑体_GBK" w:eastAsia="方正黑体_GBK" w:cs="宋体"/>
                <w:sz w:val="18"/>
                <w:szCs w:val="18"/>
              </w:rPr>
              <w:t>10.信托贷款：资产类型为信托公司设立的固定收益类信托计划，底层资产为向融资人扬州安康产业投资有限公司发放信托贷款，资产到期日不超过理财产品最近一次开放日。融资人无外部评级，融资人第一大股东为扬州仙发建设有限公司，持股比例为100%。经营范围包括：许可项目：建设工程施工；房地产开发经营(依法须经批准的项目，经相关部门批准后方可开展经营活动，具体经营项目以审批结果为准)一般项目：与农业生产经营有关的技术、信息、设施建设运营等服务；房屋拆迁服务；土石方工程施工；专业设计服务；水污染治理；非居住房地产租赁；建筑材料销售；物业管理；对外承包工程；机械设备销售；树木种植经营；园林绿化工程施工；以自有资金从事投资活动(除依法须经批准的项目外，凭营业执照依法自主开展经营活动)</w:t>
            </w:r>
          </w:p>
          <w:p w14:paraId="7BE5A1C1">
            <w:pPr>
              <w:spacing w:line="200" w:lineRule="exact"/>
            </w:pPr>
            <w:r>
              <w:rPr>
                <w:rFonts w:ascii="方正黑体_GBK" w:hAnsi="方正黑体_GBK" w:eastAsia="方正黑体_GBK" w:cs="宋体"/>
                <w:sz w:val="18"/>
                <w:szCs w:val="18"/>
              </w:rPr>
              <w:t>11.信托贷款：资产类型为信托公司设立的固定收益类信托计划，底层资产为向融资人启东市新城建设投资发展有限公司发放信托贷款，资产到期日不超过理财产品最近一次开放日。融资人无外部评级，融资人第一大股东为启东城投集团有限公司，持股比例为100%。经营范围包括：建设投资(不得从事金融信息中介服务，不得以公开方式募集资金、不得公开交易证券类产品和金融衍生品、不得发放贷款、不得向投资者承诺投资资本金不受损失或者承诺最低收益)，市政工程、供水排水工程、管道工程、水利工程、房屋建筑工程施工，河湖治理及防洪设施工程建筑。(依法须经批准的项目，经相关部门批准后方可开展经营活动) 一般项目：土壤污染治理与修复服务(除依法须经批准的项目外，凭营业执照依法自主开展经营活动)</w:t>
            </w:r>
          </w:p>
          <w:p w14:paraId="02998C80">
            <w:pPr>
              <w:spacing w:line="200" w:lineRule="exact"/>
            </w:pPr>
            <w:r>
              <w:rPr>
                <w:rFonts w:ascii="方正黑体_GBK" w:hAnsi="方正黑体_GBK" w:eastAsia="方正黑体_GBK" w:cs="宋体"/>
                <w:sz w:val="18"/>
                <w:szCs w:val="18"/>
              </w:rPr>
              <w:t>12.信托贷款：资产类型为信托公司设立的固定收益类信托计划，底层资产为向融资人江苏东和投资集团有限公司发放信托贷款，资产到期日不超过理财产品最近一次开放日。融资人无外部评级，融资人第一大股东为江苏省南通市如东县人民政府国有资产监督管理办公室，持股比例为100%。经营范围包括：政府授权范围内的国有资产经营与管理；对国家产业政策允许的行业的投资和建设；非证券类股权投资；土地复垦、土地整理、土地储备、土地开发；滩涂开发经营；房地产开发经营、物业管理、房地产租赁经营；能源技术开发、技术利用及推广服务；建筑材料、机电设备、风电设备、技防设备批发、零售。(依法须经批准的项目，经相关部门批准后方可开展经营活动)</w:t>
            </w:r>
          </w:p>
          <w:p w14:paraId="60A2BD5F">
            <w:pPr>
              <w:spacing w:line="200" w:lineRule="exact"/>
            </w:pPr>
            <w:r>
              <w:rPr>
                <w:rFonts w:ascii="方正黑体_GBK" w:hAnsi="方正黑体_GBK" w:eastAsia="方正黑体_GBK" w:cs="宋体"/>
                <w:sz w:val="18"/>
                <w:szCs w:val="18"/>
              </w:rPr>
              <w:t>13.信托贷款：资产类型为信托公司设立的固定收益类信托计划，底层资产为向融资人高邮市交通产业投资集团有限公司发放信托贷款，资产到期日不超过理财产品最近一次开放日。融资人评级为AA（评级机构为东方金诚国际信用评估有限公司），融资人第一大股东为高邮市国有资产投资管理控股(集团)有限公司，持股比例为100%。经营范围包括：房地产开发,实业投资,交通基础设施项目投资、设计、施工、监理,新农村建设,水利建设,绿化建设,苗木种植、购销。(依法须经批准的项目,经相关部门批准后方可开展经营活动)许可项目:建设工程施工(依法须经批准的项目,经相关部门批准后方可开展经营活动,具体经营项目以审批结果为准)一般项目:蔬菜种植;新鲜蔬菜批发;新鲜水果批发;农产品的生产、销售、加工、运输、贮藏及其他相关服务;土地整治服务;电动汽车充电基础设施运营;集中式快速充电站;充电桩销售;物联网设备销售;软件销售;技术服务、技术开发、技术咨询、技术交流、技术转让、技术推广;停车场服务;工程管理服务;广告制作;广告发布(除依法须经批准的项目外,凭营业执照依法自主开展经营活动)</w:t>
            </w:r>
          </w:p>
          <w:p w14:paraId="424690DF">
            <w:pPr>
              <w:spacing w:line="200" w:lineRule="exact"/>
            </w:pPr>
            <w:r>
              <w:rPr>
                <w:rFonts w:ascii="方正黑体_GBK" w:hAnsi="方正黑体_GBK" w:eastAsia="方正黑体_GBK" w:cs="宋体"/>
                <w:sz w:val="18"/>
                <w:szCs w:val="18"/>
              </w:rPr>
              <w:t>14.信托贷款：资产类型为信托公司设立的固定收益类信托计划，底层资产为向融资人盐城市国有资产投资集团有限公司发放信托贷款，资产到期日不超过理财产品最近一次开放日。融资人评级为AA+（评级机构为中证鹏元资信评估股份有限公司），融资人第一大股东为盐城市人民政府，持股比例为90.16%。经营范围包括：实业投资,风险投资,旅游酒店管理,政府授权的其他资产管理业务,房屋租赁,物业管理,市场营销策划,信息咨询服务,会展服务,建材销售。(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p w14:paraId="19256F3A">
            <w:pPr>
              <w:spacing w:line="200" w:lineRule="exact"/>
            </w:pPr>
            <w:r>
              <w:rPr>
                <w:rFonts w:ascii="方正黑体_GBK" w:hAnsi="方正黑体_GBK" w:eastAsia="方正黑体_GBK" w:cs="宋体"/>
                <w:sz w:val="18"/>
                <w:szCs w:val="18"/>
              </w:rPr>
              <w:t>15.信托贷款：资产类型为信托公司设立的固定收益类信托计划，底层资产为向融资人东台惠民城镇化建设集团有限公司发放信托贷款，资产到期日不超过理财产品最近一次开放日。融资人评级为AA（评级机构为联合评级国际有限公司），融资人第一大股东为东台市开创投资发展有限公司，持股比例为100%。经营范围包括：新农村社区、新市镇基础设施建设,土地开发及综合整治(房地产开发除外),物业服务,绿化养护,道路及河道保洁,政府授权的国有资产经营和管理,贵金属批发、零售(国家有专项审批的项目除外)。(依法须经批准的项目,经相关部门批准后方可开展经营活动)一般项目:机械电气设备制造;港口理货;港口货物装卸搬运活动;普通货物仓储服务(不含危险化学品等需许可审批的项目)(除依法须经批准的项目外,凭营业执照依法自主开展经营活动)</w:t>
            </w:r>
          </w:p>
          <w:p w14:paraId="0E9E5C83">
            <w:pPr>
              <w:spacing w:line="200" w:lineRule="exact"/>
            </w:pPr>
            <w:r>
              <w:rPr>
                <w:rFonts w:ascii="方正黑体_GBK" w:hAnsi="方正黑体_GBK" w:eastAsia="方正黑体_GBK" w:cs="宋体"/>
                <w:sz w:val="18"/>
                <w:szCs w:val="18"/>
              </w:rPr>
              <w:t>16.信托贷款：资产类型为信托公司设立的固定收益类信托计划，底层资产为向融资人东台市文化旅游投资发展集团有限公司发放信托贷款，资产到期日不超过理财产品最近一次开放日。融资人无外部评级，融资人第一大股东为东台市城市建设投资发展集团有限公司，持股比例为100%。经营范围包括：许可项目：各类工程建设活动；演出场所经营；电子出版物制作；食品经营；演出经纪(依法须经批准的项目，经相关部门批准后方可开展经营活动，具体经营项目以审批结果为准) 一般项目：以自有资金从事投资活动；会议及展览服务；农村民间工艺及制品、休闲农业和乡村旅游资源的开发经营；互联网销售(除销售需要许可的商品)；数字文化创意内容应用服务；酒店管理；园区管理服务；旅行社服务网点旅游招徕、咨询服务；物业管理；工程管理服务；名胜风景区管理；文艺创作；项目策划与公关服务；园林绿化工程施工；城市公园管理；非居住房地产租赁；文化娱乐经纪人服务；商业综合体管理服务；休闲观光活动；动物园管理服务；组织文化艺术交流活动；文化场馆管理服务；游览景区管理(除依法须经批准的项目外，凭营业执照依法自主开展经营活动)</w:t>
            </w:r>
          </w:p>
          <w:p w14:paraId="0997AD36">
            <w:pPr>
              <w:spacing w:line="200" w:lineRule="exact"/>
            </w:pPr>
            <w:r>
              <w:rPr>
                <w:rFonts w:ascii="方正黑体_GBK" w:hAnsi="方正黑体_GBK" w:eastAsia="方正黑体_GBK" w:cs="宋体"/>
                <w:sz w:val="18"/>
                <w:szCs w:val="18"/>
              </w:rPr>
              <w:t>17.信托贷款：资产类型为信托公司设立的固定收益类信托计划，底层资产为向融资人盐城高新区投资集团有限公司发放信托贷款，资产到期日不超过理财产品最近一次开放日。融资人评级为AA+（评级机构为中诚信国际信用评级有限责任公司），融资人第一大股东为盐城高新产业控股集团有限公司，持股比例为100%。经营范围包括：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p w14:paraId="27C53907">
            <w:pPr>
              <w:spacing w:line="200" w:lineRule="exact"/>
            </w:pPr>
            <w:r>
              <w:rPr>
                <w:rFonts w:ascii="方正黑体_GBK" w:hAnsi="方正黑体_GBK" w:eastAsia="方正黑体_GBK" w:cs="宋体"/>
                <w:sz w:val="18"/>
                <w:szCs w:val="18"/>
              </w:rPr>
              <w:t>18.信托贷款：资产类型为信托公司设立的固定收益类信托计划，底层资产为向融资人宿迁市洋河市政投资集团有限公司发放信托贷款，资产到期日不超过理财产品最近一次开放日。融资人无外部评级，融资人第一大股东为宿迁市人民政府国有资产监督管理委员会，持股比例为100%。经营范围包括：对市政建设项目进行投资；城市基础设施及配套设施建设；建材销售；自营和代理各类商品及技术的进出口业务(但国家限定企业经营或禁止进出口的商品和技术除外)。(依法须经批准的项目，经相关部门批准后方可开展经营活动)</w:t>
            </w:r>
          </w:p>
          <w:p w14:paraId="4AC577A4">
            <w:pPr>
              <w:spacing w:line="200" w:lineRule="exact"/>
            </w:pPr>
            <w:r>
              <w:rPr>
                <w:rFonts w:ascii="方正黑体_GBK" w:hAnsi="方正黑体_GBK" w:eastAsia="方正黑体_GBK" w:cs="宋体"/>
                <w:sz w:val="18"/>
                <w:szCs w:val="18"/>
              </w:rPr>
              <w:t>19.信托贷款：资产类型为信托公司设立的固定收益类信托计划，底层资产为向融资人泰州高教投资发展有限公司发放信托贷款，资产到期日不超过理财产品最近一次开放日。融资人评级为AA（评级机构为东方金诚国际信用评估有限公司），融资人第一大股东为泰州市城市建设投资控股有限公司，持股比例为92.58%。经营范围包括：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p w14:paraId="24F15001">
            <w:pPr>
              <w:spacing w:line="200" w:lineRule="exact"/>
            </w:pPr>
            <w:r>
              <w:rPr>
                <w:rFonts w:ascii="方正黑体_GBK" w:hAnsi="方正黑体_GBK" w:eastAsia="方正黑体_GBK" w:cs="宋体"/>
                <w:sz w:val="18"/>
                <w:szCs w:val="18"/>
              </w:rPr>
              <w:t>20.信托贷款：资产类型为信托公司设立的固定收益类信托计划，底层资产为向融资人泰州东部新城控股集团有限公司发放信托贷款，资产到期日不超过理财产品最近一次开放日。融资人评级为AA+（评级机构为东方金诚国际信用评估有限公司），融资人第一大股东为泰州市政府国有资产监督管理委员会，持股比例为100%。经营范围包括：许可项目：建设工程施工；建设工程施工(除核电站建设经营、民用机场建设)；建设工程设计；房地产开发经营；发电业务、输电业务、供(配)电业务(依法须经批准的项目，经相关部门批准后方可开展经营活动，具体经营项目以审批结果为准) 一般项目：房地产评估；房地产经纪；会议及展览服务；土地整治服务；土地调查评估服务；市政设施管理；物业管理；物业服务评估；集贸市场管理服务；自有资金投资的资产管理服务；以自有资金从事投资活动；融资咨询服务；房屋拆迁服务；土地使用权租赁；国内贸易代理；对外承包工程；工程管理服务(除依法须经批准的项目外，凭营业执照依法自主开展经营活动)</w:t>
            </w:r>
          </w:p>
          <w:p w14:paraId="7780998D">
            <w:pPr>
              <w:spacing w:line="200" w:lineRule="exact"/>
            </w:pPr>
            <w:r>
              <w:rPr>
                <w:rFonts w:ascii="方正黑体_GBK" w:hAnsi="方正黑体_GBK" w:eastAsia="方正黑体_GBK" w:cs="宋体"/>
                <w:sz w:val="18"/>
                <w:szCs w:val="18"/>
              </w:rPr>
              <w:t>21.信托贷款：资产类型为信托公司设立的固定收益类信托计划，底层资产为向融资人泰州市泰政交通投资有限公司发放信托贷款，资产到期日不超过理财产品最近一次开放日。融资人无外部评级，融资人第一大股东为泰州市交通产业集团有限公司，持股比例为100%。经营范围包括：交通基础设施建设、投资、开发、经营管理；房产经纪、物业管理(凭资质证书经营)。房地产开发经营。(依法须经批准的项目，经相关部门批准后方可开展经营活动)</w:t>
            </w:r>
          </w:p>
          <w:p w14:paraId="01CD6328">
            <w:pPr>
              <w:spacing w:line="200" w:lineRule="exact"/>
            </w:pPr>
            <w:r>
              <w:rPr>
                <w:rFonts w:ascii="方正黑体_GBK" w:hAnsi="方正黑体_GBK" w:eastAsia="方正黑体_GBK" w:cs="宋体"/>
                <w:sz w:val="18"/>
                <w:szCs w:val="18"/>
              </w:rPr>
              <w:t>22.信托贷款：资产类型为信托公司设立的固定收益类信托计划，底层资产为向融资人泰州新区新农村建设投资发展有限公司发放信托贷款，资产到期日不超过理财产品最近一次开放日。融资人无外部评级，融资人第一大股东为泰州鑫泰集团有限公司，持股比例为100%。经营范围包括：对农村经济建设组织进行投资，城乡建设用地增减挂钩试点工程、农村土地综合整治、“城中村”改造、农村新社区、新市镇建设、农村基础设施建设(农田水利设施建设、农村污染源治理、农村污水管网铺设以及绿化建设及养护)、现代化农业和生态农业、其他农业服务业，输配电及控制设备制造，电力自动化设备及电力自动化系统的研发；河湖治理及防洪设施工程施工。(依法须经批准的项目，经相关部门批准后方可开展经营活动)</w:t>
            </w:r>
          </w:p>
          <w:p w14:paraId="17850A1B">
            <w:pPr>
              <w:spacing w:line="200" w:lineRule="exact"/>
            </w:pPr>
            <w:r>
              <w:rPr>
                <w:rFonts w:ascii="方正黑体_GBK" w:hAnsi="方正黑体_GBK" w:eastAsia="方正黑体_GBK" w:cs="宋体"/>
                <w:sz w:val="18"/>
                <w:szCs w:val="18"/>
              </w:rPr>
              <w:t>23.信托贷款：资产类型为信托公司设立的固定收益类信托计划，底层资产为向融资人靖江市华宇投资建设有限公司发放信托贷款，资产到期日不超过理财产品最近一次开放日。融资人评级为AA（评级机构为上海新世纪资信评估投资服务有限公司），融资人第一大股东为靖江市中鑫产业投资管理有限公司，持股比例为100%。经营范围包括：投资与资产管理；基础设施建设；土地平整；绿化工程施工；房屋租赁；钢材、木材、建筑材料、装璜材料、纺织品及原料、化工产品及化工原料（危险化学品除外）、劳保用品销售。（依法须经批准的项目，经相关部门批准后方可开展经营活动）</w:t>
            </w:r>
          </w:p>
          <w:p w14:paraId="4A30227B">
            <w:pPr>
              <w:spacing w:line="200" w:lineRule="exact"/>
            </w:pPr>
            <w:r>
              <w:rPr>
                <w:rFonts w:ascii="方正黑体_GBK" w:hAnsi="方正黑体_GBK" w:eastAsia="方正黑体_GBK" w:cs="宋体"/>
                <w:sz w:val="18"/>
                <w:szCs w:val="18"/>
              </w:rPr>
              <w:t>24.信托贷款：资产类型为信托公司设立的固定收益类信托计划，底层资产为向融资人泰兴市襟江投资有限公司发放信托贷款，资产到期日不超过理财产品最近一次开放日。融资人无外部评级，融资人第一大股东为泰兴市港口集团有限公司，持股比例为85%。经营范围包括：政府授权范围内的国有、集体资产经营管理;对外投资管理、项目投资、股权投资、资产管理;开展土地一级开发、保障性住房以及商业地产开发建设和经营;公共基础设施建设、投资、开发。(依法须经批准的项目,经相关部门批准后方可开展经营活动)一般项目:水污染治理;水环境污染防治服务;金属材料销售;有色金属合金销售;非金属矿及制品销售;金属矿石销售;园林绿化工程施工;工程管理服务;房屋拆迁服务;物业管理;工程和技术研究和试验发展;化工产品生产(不含许可类化工产品);石油制品制造(不含危险化学品);汽车新车销售;汽车零配件批发;建筑材料销售;仪器仪表销售;机械设备销售;电子产品销售;电气设备销售;电气机械设备销售;针纺织品及原料销售;日用玻璃制品销售;技术玻璃制品销售;五金产品批发;食用农产品批发;非食用植物油销售;环境保护专用设备销售;园艺产品种植;花卉种植;农副产品销售;污水处理及其再生利用;化工产品销售(不含许可类化工产品)(除依法须经批准的项目外,凭营业执照依法自主开展经营活动)</w:t>
            </w:r>
          </w:p>
          <w:p w14:paraId="30576D37">
            <w:pPr>
              <w:spacing w:line="200" w:lineRule="exact"/>
            </w:pPr>
            <w:r>
              <w:rPr>
                <w:rFonts w:ascii="方正黑体_GBK" w:hAnsi="方正黑体_GBK" w:eastAsia="方正黑体_GBK" w:cs="宋体"/>
                <w:sz w:val="18"/>
                <w:szCs w:val="18"/>
              </w:rPr>
              <w:t>25.信托贷款：资产类型为信托公司设立的固定收益类信托计划，底层资产为向融资人泰州城发资本投资有限公司发放信托贷款，资产到期日不超过理财产品最近一次开放日。融资人无外部评级，融资人第一大股东为泰州城发环保科技有限公司，持股比例为100%。经营范围包括：许可项目：各类工程建设活动；房地产开发经营；粮食收购(依法须经批准的项目，经相关部门批准后方可开展经营活动，具体经营项目以审批结果为准)一般项目：自有资金投资的资产管理服务；以自有资金从事投资活动；股权投资；土地使用权租赁；房地产经纪；物业管理；住房租赁；非居住房地产租赁；农林牧渔业废弃物综合利用；饲料原料销售；建筑材料销售；煤炭及制品销售；专用化学产品制造(不含危险化学品)；新鲜蔬菜批发；新鲜水果批发；谷物种植；蔬菜种植；蔬菜、水果和坚果加工；花卉种植；水果种植；智能农业管理；农产品的生产、销售、加工、运输、贮藏及其他相关服务；农业专业及辅助性活动(除依法须经批准的项目外，凭营业执照依法自主开展经营活动)</w:t>
            </w:r>
          </w:p>
          <w:p w14:paraId="40B6E370">
            <w:pPr>
              <w:spacing w:line="200" w:lineRule="exact"/>
            </w:pPr>
            <w:r>
              <w:rPr>
                <w:rFonts w:ascii="方正黑体_GBK" w:hAnsi="方正黑体_GBK" w:eastAsia="方正黑体_GBK" w:cs="宋体"/>
                <w:sz w:val="18"/>
                <w:szCs w:val="18"/>
              </w:rPr>
              <w:t>26.信托贷款：资产类型为信托公司设立的固定收益类信托计划，底层资产为向融资人金湖县国控实业集团有限公司发放信托贷款，资产到期日不超过理财产品最近一次开放日。融资人评级为AA+（评级机构为东方金诚国际信用评估有限公司），融资人第一大股东为金湖县人民政府，持股比例为100%。经营范围包括：许可项目：建设工程施工；水产养殖(依法须经批准的项目，经相关部门批准后方可开展经营活动，具体经营项目以审批结果为准) 一般项目：土地整治服务；土地使用权租赁；土地调查评估服务；以自有资金从事投资活动；自有资金投资的资产管理服务；融资咨询服务；对外承包工程；园林绿化工程施工；土石方工程施工；工程管理服务；市政设施管理；停车场服务；园区管理服务；住房租赁；非居住房地产租赁；技术服务、技术开发、技术咨询、技术交流、技术转让、技术推广；农产品的生产、销售、加工、运输、贮藏及其他相关服务；集贸市场管理服务；休闲观光活动；水生植物种植；水产品批发；水产品收购；建筑材料销售(除依法须经批准的项目外，凭营业执照依法自主开展经营活动)</w:t>
            </w:r>
          </w:p>
          <w:p w14:paraId="207BAAA3">
            <w:pPr>
              <w:spacing w:line="200" w:lineRule="exact"/>
            </w:pPr>
            <w:r>
              <w:rPr>
                <w:rFonts w:ascii="方正黑体_GBK" w:hAnsi="方正黑体_GBK" w:eastAsia="方正黑体_GBK" w:cs="宋体"/>
                <w:sz w:val="18"/>
                <w:szCs w:val="18"/>
              </w:rPr>
              <w:t>27.信托贷款：资产类型为信托公司设立的固定收益类信托计划，底层资产为向融资人淮安科教产业投资控股有限公司发放信托贷款，资产到期日不超过理财产品最近一次开放日。融资人评级为AA+（评级机构为安融信用评级有限公司），融资人第一大股东为淮安开发控股有限公司，持股比例为99.8%。经营范围包括：许可项目：各类工程建设活动；房地产开发经营；房屋建筑和市政基础设施项目工程总承包(依法须经批准的项目，经相关部门批准后方可开展经营活动，具体经营项目以审批结果为准) 一般项目：园区管理服务；土地整治服务；土地使用权租赁；非居住房地产租赁；树木种植经营；花卉绿植租借与代管理；园林绿化工程施工；土石方工程施工；教育咨询服务(不含涉许可审批的教育培训活动)；科技推广和应用服务；技术服务、技术开发、技术咨询、技术交流、技术转让、技术推广；知识产权服务；以自有资金从事投资活动；自有资金投资的资产管理服务；物业管理；金属材料销售；汽车零配件批发；汽车零配件零售；建筑材料销售；电子产品销售；日用百货销售(除依法须经批准的项目外，凭营业执照依法自主开展经营活动)</w:t>
            </w:r>
          </w:p>
          <w:p w14:paraId="4E65E6D0">
            <w:pPr>
              <w:spacing w:line="200" w:lineRule="exact"/>
              <w:jc w:val="left"/>
            </w:pPr>
            <w:r>
              <w:rPr>
                <w:rFonts w:ascii="方正黑体_GBK" w:hAnsi="方正黑体_GBK" w:eastAsia="方正黑体_GBK" w:cs="宋体"/>
                <w:sz w:val="18"/>
                <w:szCs w:val="18"/>
              </w:rPr>
              <w:t>28.  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14:paraId="279093F4">
            <w:pPr>
              <w:spacing w:line="200" w:lineRule="exact"/>
              <w:jc w:val="left"/>
            </w:pPr>
            <w:r>
              <w:rPr>
                <w:rFonts w:ascii="方正黑体_GBK" w:hAnsi="方正黑体_GBK" w:eastAsia="方正黑体_GBK" w:cs="宋体"/>
                <w:sz w:val="18"/>
                <w:szCs w:val="18"/>
              </w:rPr>
              <w:t>29.  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14:paraId="597981C7">
            <w:pPr>
              <w:spacing w:line="200" w:lineRule="exact"/>
              <w:jc w:val="left"/>
            </w:pPr>
            <w:r>
              <w:rPr>
                <w:rFonts w:ascii="方正黑体_GBK" w:hAnsi="方正黑体_GBK" w:eastAsia="方正黑体_GBK" w:cs="宋体"/>
                <w:sz w:val="18"/>
                <w:szCs w:val="18"/>
              </w:rPr>
              <w:t>30.  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14:paraId="6B619A0F">
            <w:pPr>
              <w:spacing w:line="200" w:lineRule="exact"/>
              <w:jc w:val="left"/>
            </w:pPr>
            <w:r>
              <w:rPr>
                <w:rFonts w:ascii="方正黑体_GBK" w:hAnsi="方正黑体_GBK" w:eastAsia="方正黑体_GBK" w:cs="宋体"/>
                <w:sz w:val="18"/>
                <w:szCs w:val="18"/>
              </w:rPr>
              <w:t>31.  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14:paraId="55993C66">
            <w:pPr>
              <w:spacing w:line="200" w:lineRule="exact"/>
              <w:jc w:val="left"/>
            </w:pPr>
            <w:r>
              <w:rPr>
                <w:rFonts w:ascii="方正黑体_GBK" w:hAnsi="方正黑体_GBK" w:eastAsia="方正黑体_GBK" w:cs="宋体"/>
                <w:sz w:val="18"/>
                <w:szCs w:val="18"/>
              </w:rPr>
              <w:t>32.  资产支持计划：资产类型为保险资产管理公司设立的资产支持计划，底层资产为抖音及信托公司双重审核、信托公司自主风控后发放的“放心借”贷款资产，资产到期日不超过理财产品最近一次开放日，仅投资优先级。</w:t>
            </w:r>
          </w:p>
          <w:p w14:paraId="76973DB8">
            <w:pPr>
              <w:spacing w:line="200" w:lineRule="exact"/>
              <w:jc w:val="left"/>
            </w:pPr>
            <w:r>
              <w:rPr>
                <w:rFonts w:ascii="方正黑体_GBK" w:hAnsi="方正黑体_GBK" w:eastAsia="方正黑体_GBK" w:cs="宋体"/>
                <w:sz w:val="18"/>
                <w:szCs w:val="18"/>
              </w:rPr>
              <w:t>33.  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14:paraId="03149252">
            <w:pPr>
              <w:spacing w:line="200" w:lineRule="exact"/>
              <w:jc w:val="left"/>
            </w:pPr>
            <w:r>
              <w:rPr>
                <w:rFonts w:ascii="方正黑体_GBK" w:hAnsi="方正黑体_GBK" w:eastAsia="方正黑体_GBK" w:cs="宋体"/>
                <w:sz w:val="18"/>
                <w:szCs w:val="18"/>
              </w:rPr>
              <w:t>34.  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14:paraId="5B2BA791">
            <w:pPr>
              <w:spacing w:line="200" w:lineRule="exact"/>
            </w:pPr>
            <w:r>
              <w:rPr>
                <w:rFonts w:ascii="方正黑体_GBK" w:hAnsi="方正黑体_GBK" w:eastAsia="方正黑体_GBK" w:cs="宋体"/>
                <w:sz w:val="18"/>
                <w:szCs w:val="18"/>
              </w:rPr>
              <w:t>35.  资产支持计划：资产类型为保险资产管理公司设立的资产支持计划，底层资产为度小满及信托公司双重审核、信托公司自主风控后发放的“满易贷”个人消费贷款债权，资产到期日不超过理财产品最近一次开放日，仅投资优先级。</w:t>
            </w:r>
          </w:p>
          <w:p w14:paraId="76AAA475">
            <w:pPr>
              <w:spacing w:line="200" w:lineRule="exact"/>
              <w:jc w:val="left"/>
            </w:pPr>
            <w:r>
              <w:rPr>
                <w:rFonts w:ascii="方正黑体_GBK" w:hAnsi="方正黑体_GBK" w:eastAsia="方正黑体_GBK" w:cs="宋体"/>
                <w:sz w:val="18"/>
                <w:szCs w:val="18"/>
              </w:rPr>
              <w:t>36.  信托贷款：资产类型为信托公司设立的资金信托计划，底层资产为京东及信托公司双重审核、信托公司自主风控后发放的“白条”个人消费贷款债权，资产到期日不超过理财产品最近一次开放日。</w:t>
            </w:r>
          </w:p>
          <w:p w14:paraId="29A937BE">
            <w:pPr>
              <w:spacing w:line="200" w:lineRule="exact"/>
              <w:jc w:val="left"/>
            </w:pPr>
            <w:r>
              <w:rPr>
                <w:rFonts w:ascii="方正黑体_GBK" w:hAnsi="方正黑体_GBK" w:eastAsia="方正黑体_GBK" w:cs="宋体"/>
                <w:sz w:val="18"/>
                <w:szCs w:val="18"/>
              </w:rPr>
              <w:t>37.  信托贷款：资产类型为信托公司设立的资金信托计划，底层资产为京东及信托公司双重审核、信托公司自主风控后发放的“金条”个人消费贷款债权，资产到期日不超过理财产品最近一次开放日。</w:t>
            </w:r>
          </w:p>
          <w:p w14:paraId="12C1F228">
            <w:pPr>
              <w:spacing w:line="200" w:lineRule="exact"/>
              <w:jc w:val="left"/>
            </w:pPr>
            <w:r>
              <w:rPr>
                <w:rFonts w:ascii="方正黑体_GBK" w:hAnsi="方正黑体_GBK" w:eastAsia="方正黑体_GBK" w:cs="宋体"/>
                <w:sz w:val="18"/>
                <w:szCs w:val="18"/>
              </w:rPr>
              <w:t>38.  信托贷款：资产类型为信托公司设立的资金信托计划，底层资产为京东及信托公司双重审核、信托公司自主风控后发放的“白条取现”个人消费贷款债权，资产到期日不超过理财产品最近一次开放日。</w:t>
            </w:r>
          </w:p>
          <w:p w14:paraId="1E6741C6">
            <w:pPr>
              <w:spacing w:line="200" w:lineRule="exact"/>
              <w:jc w:val="left"/>
            </w:pPr>
            <w:r>
              <w:rPr>
                <w:rFonts w:ascii="方正黑体_GBK" w:hAnsi="方正黑体_GBK" w:eastAsia="方正黑体_GBK" w:cs="宋体"/>
                <w:sz w:val="18"/>
                <w:szCs w:val="18"/>
              </w:rPr>
              <w:t>39.  信托贷款：资产类型为信托公司设立的资金信托计划，底层资产为抖音及信托公司双重审核、信托公司自主风控后发放的“月付”个人消费贷款债权，资产到期日不超过理财产品最近一次开放日。</w:t>
            </w:r>
          </w:p>
          <w:p w14:paraId="54272587">
            <w:pPr>
              <w:spacing w:line="200" w:lineRule="exact"/>
              <w:jc w:val="left"/>
            </w:pPr>
            <w:r>
              <w:rPr>
                <w:rFonts w:ascii="方正黑体_GBK" w:hAnsi="方正黑体_GBK" w:eastAsia="方正黑体_GBK" w:cs="宋体"/>
                <w:sz w:val="18"/>
                <w:szCs w:val="18"/>
              </w:rPr>
              <w:t>40.  信托贷款：资产类型为信托公司设立的资金信托计划，底层资产为抖音及信托公司双重审核、信托公司自主风控后发放的“放心借”贷款资产，资产到期日不超过理财产品最近一次开放日。</w:t>
            </w:r>
          </w:p>
          <w:p w14:paraId="15AA4CEC">
            <w:pPr>
              <w:spacing w:line="200" w:lineRule="exact"/>
              <w:jc w:val="left"/>
            </w:pPr>
            <w:r>
              <w:rPr>
                <w:rFonts w:ascii="方正黑体_GBK" w:hAnsi="方正黑体_GBK" w:eastAsia="方正黑体_GBK" w:cs="宋体"/>
                <w:sz w:val="18"/>
                <w:szCs w:val="18"/>
              </w:rPr>
              <w:t>41.  信托贷款：资产类型为信托公司设立的资金信托计划，底层资产为蚂蚁及信托公司双重审核、信托公司自主风控后发放的“花呗”个人消费贷款债权，资产到期日不超过理财产品最近一次开放日。</w:t>
            </w:r>
          </w:p>
          <w:p w14:paraId="67EB9CE8">
            <w:pPr>
              <w:spacing w:line="200" w:lineRule="exact"/>
              <w:jc w:val="left"/>
            </w:pPr>
            <w:r>
              <w:rPr>
                <w:rFonts w:ascii="方正黑体_GBK" w:hAnsi="方正黑体_GBK" w:eastAsia="方正黑体_GBK" w:cs="宋体"/>
                <w:sz w:val="18"/>
                <w:szCs w:val="18"/>
              </w:rPr>
              <w:t>42.  信托贷款：资产类型为信托公司设立的资金信托计划，底层资产为蚂蚁及信托公司双重审核、信托公司自主风控后发放的“借呗”个人消费贷款债权，资产到期日不超过理财产品最近一次开放日。</w:t>
            </w:r>
          </w:p>
          <w:p w14:paraId="4E55E56B">
            <w:pPr>
              <w:spacing w:line="200" w:lineRule="exact"/>
              <w:jc w:val="left"/>
            </w:pPr>
            <w:r>
              <w:rPr>
                <w:rFonts w:ascii="方正黑体_GBK" w:hAnsi="方正黑体_GBK" w:eastAsia="方正黑体_GBK" w:cs="宋体"/>
                <w:sz w:val="18"/>
                <w:szCs w:val="18"/>
              </w:rPr>
              <w:t>43.  信托贷款：资产类型为信托公司设立的资金信托计划，底层资产为微信及信托公司双重审核、信托公司自主风控后发放的“分付”个人消费贷款债权，资产到期日不超过理财产品最近一次开放日。</w:t>
            </w:r>
          </w:p>
          <w:p w14:paraId="562282EF">
            <w:pPr>
              <w:spacing w:line="200" w:lineRule="exact"/>
              <w:jc w:val="left"/>
            </w:pPr>
            <w:r>
              <w:rPr>
                <w:rFonts w:ascii="方正黑体_GBK" w:hAnsi="方正黑体_GBK" w:eastAsia="方正黑体_GBK" w:cs="宋体"/>
                <w:sz w:val="18"/>
                <w:szCs w:val="18"/>
              </w:rPr>
              <w:t>44.  信托贷款：资产类型为信托公司设立的资金信托计划，底层资产为度小满及信托公司双重审核、信托公司自主风控后发放的“满易贷”个人消费贷款债权，资产到期日不超过理财产品最近一次开放日。</w:t>
            </w:r>
          </w:p>
          <w:p w14:paraId="19E3E109">
            <w:pPr>
              <w:spacing w:line="200" w:lineRule="exact"/>
              <w:jc w:val="left"/>
            </w:pPr>
            <w:r>
              <w:rPr>
                <w:rFonts w:ascii="方正黑体_GBK" w:hAnsi="方正黑体_GBK" w:eastAsia="方正黑体_GBK" w:cs="宋体"/>
                <w:sz w:val="18"/>
                <w:szCs w:val="18"/>
              </w:rPr>
              <w:t>45.  资产支持计划：资产类型为保险资产管理公司设立的资产支持计划，底层资产为中国建筑第二工程局有限公司及其下属公司基于其真实业务背景产生的应收账款，资产到期日不超过理财产品最近一次开放日。</w:t>
            </w:r>
          </w:p>
          <w:p w14:paraId="1606AF5A">
            <w:pPr>
              <w:spacing w:line="200" w:lineRule="exact"/>
              <w:jc w:val="left"/>
            </w:pPr>
            <w:r>
              <w:rPr>
                <w:rFonts w:ascii="方正黑体_GBK" w:hAnsi="方正黑体_GBK" w:eastAsia="方正黑体_GBK" w:cs="宋体"/>
                <w:sz w:val="18"/>
                <w:szCs w:val="18"/>
              </w:rPr>
              <w:t>46.  应收账款：资产类型为信托公司设立的资金信托计划，底层资产为中国建筑第二工程局有限公司及其下属公司基于其真实业务背景产生的应收账款，资产到期日不超过理财产品最近一次开放日。</w:t>
            </w:r>
          </w:p>
          <w:p w14:paraId="63406D21">
            <w:pPr>
              <w:spacing w:line="200" w:lineRule="exact"/>
              <w:jc w:val="left"/>
            </w:pPr>
            <w:r>
              <w:rPr>
                <w:rFonts w:ascii="方正黑体_GBK" w:hAnsi="方正黑体_GBK" w:eastAsia="方正黑体_GBK" w:cs="宋体"/>
                <w:sz w:val="18"/>
                <w:szCs w:val="18"/>
              </w:rPr>
              <w:t>47.  券商收益凭证：资产类型为证券公司发行的收益凭证，资产到期日不超过理财产品最近一次开放日，融资人为华宝证券股份有限公司，融资人评级为AA+（评级机构为联合资信评估股份有限公司）。</w:t>
            </w:r>
          </w:p>
          <w:p w14:paraId="5C6AB05E">
            <w:pPr>
              <w:spacing w:line="200" w:lineRule="exact"/>
              <w:jc w:val="left"/>
            </w:pPr>
            <w:r>
              <w:rPr>
                <w:rFonts w:ascii="方正黑体_GBK" w:hAnsi="方正黑体_GBK" w:eastAsia="方正黑体_GBK" w:cs="宋体"/>
                <w:sz w:val="18"/>
                <w:szCs w:val="18"/>
              </w:rPr>
              <w:t>48.  券商收益凭证：资产类型为证券公司发行的收益凭证，资产到期日不超过理财产品最近一次开放日，融资人为上海证券有限责任公司，融资人评级为AAA（评级机构为上海新世纪资信评估投资服务有限公司）。</w:t>
            </w:r>
          </w:p>
          <w:p w14:paraId="28FCB32B">
            <w:pPr>
              <w:spacing w:line="200" w:lineRule="exact"/>
              <w:jc w:val="left"/>
            </w:pPr>
            <w:r>
              <w:rPr>
                <w:rFonts w:ascii="方正黑体_GBK" w:hAnsi="方正黑体_GBK" w:eastAsia="方正黑体_GBK" w:cs="宋体"/>
                <w:sz w:val="18"/>
                <w:szCs w:val="18"/>
              </w:rPr>
              <w:t>49.  券商收益凭证：资产类型为证券公司发行的收益凭证，资产到期日不超过理财产品最近一次开放日，融资人为山西证券股份有限公司，融资人评级为AAA（评级机构为中诚信国际信用评级有限责任公司）。</w:t>
            </w:r>
          </w:p>
          <w:p w14:paraId="56ABD856">
            <w:pPr>
              <w:spacing w:line="200" w:lineRule="exact"/>
              <w:jc w:val="left"/>
            </w:pPr>
            <w:r>
              <w:rPr>
                <w:rFonts w:ascii="方正黑体_GBK" w:hAnsi="方正黑体_GBK" w:eastAsia="方正黑体_GBK" w:cs="宋体"/>
                <w:sz w:val="18"/>
                <w:szCs w:val="18"/>
              </w:rPr>
              <w:t>50.  券商收益凭证：资产类型为证券公司发行的收益凭证，资产到期日不超过理财产品最近一次开放日，融资人为中银国际证券股份有限公司，融资人评级为AAA（评级机构为中诚信国际信用评级有限责任公司）。</w:t>
            </w:r>
          </w:p>
          <w:p w14:paraId="27D6C639">
            <w:pPr>
              <w:spacing w:line="200" w:lineRule="exact"/>
              <w:jc w:val="left"/>
            </w:pPr>
            <w:r>
              <w:rPr>
                <w:rFonts w:ascii="方正黑体_GBK" w:hAnsi="方正黑体_GBK" w:eastAsia="方正黑体_GBK" w:cs="宋体"/>
                <w:sz w:val="18"/>
                <w:szCs w:val="18"/>
              </w:rPr>
              <w:t>51.  券商收益凭证：资产类型为证券公司发行的收益凭证，资产到期日不超过理财产品最近一次开放日，融资人为首创证券股份有限公司，融资人评级为AAA（评级机构为中诚信国际信用评级有限责任公司）。</w:t>
            </w:r>
          </w:p>
          <w:p w14:paraId="41048C70">
            <w:pPr>
              <w:spacing w:line="200" w:lineRule="exact"/>
              <w:jc w:val="left"/>
            </w:pPr>
            <w:r>
              <w:rPr>
                <w:rFonts w:ascii="方正黑体_GBK" w:hAnsi="方正黑体_GBK" w:eastAsia="方正黑体_GBK" w:cs="宋体"/>
                <w:sz w:val="18"/>
                <w:szCs w:val="18"/>
              </w:rPr>
              <w:t>52.  同业借款：资产类型为南银理财有限责任公司向持牌金融机构发放的同业借款，资产到期日不超过理财产品最近一次开放日，融资人为中国中信金融资产管理股份有限公司。</w:t>
            </w:r>
          </w:p>
          <w:p w14:paraId="021DEB0E">
            <w:pPr>
              <w:spacing w:line="200" w:lineRule="exact"/>
              <w:jc w:val="left"/>
            </w:pPr>
            <w:r>
              <w:rPr>
                <w:rFonts w:ascii="方正黑体_GBK" w:hAnsi="方正黑体_GBK" w:eastAsia="方正黑体_GBK" w:cs="宋体"/>
                <w:sz w:val="18"/>
                <w:szCs w:val="18"/>
              </w:rPr>
              <w:t>53.  同业借款：资产类型为南银理财有限责任公司向持牌金融机构发放的同业借款，资产到期日不超过理财产品最近一次开放日，融资人为中国东方资产管理股份有限公司。</w:t>
            </w:r>
          </w:p>
          <w:p w14:paraId="2D7E1084">
            <w:pPr>
              <w:spacing w:line="200" w:lineRule="exact"/>
              <w:jc w:val="left"/>
            </w:pPr>
            <w:r>
              <w:rPr>
                <w:rFonts w:ascii="方正黑体_GBK" w:hAnsi="方正黑体_GBK" w:eastAsia="方正黑体_GBK" w:cs="宋体"/>
                <w:sz w:val="18"/>
                <w:szCs w:val="18"/>
              </w:rPr>
              <w:t>54.  同业借款：资产类型为南银理财有限责任公司向持牌金融机构发放的同业借款，资产到期日不超过理财产品最近一次开放日，融资人为中国信达资产管理股份有限公司。</w:t>
            </w:r>
          </w:p>
          <w:p w14:paraId="70F892D5">
            <w:pPr>
              <w:spacing w:line="200" w:lineRule="exact"/>
              <w:jc w:val="left"/>
            </w:pPr>
            <w:r>
              <w:rPr>
                <w:rFonts w:ascii="方正黑体_GBK" w:hAnsi="方正黑体_GBK" w:eastAsia="方正黑体_GBK" w:cs="宋体"/>
                <w:sz w:val="18"/>
                <w:szCs w:val="18"/>
              </w:rPr>
              <w:t>55.  同业借款：资产类型为南银理财有限责任公司向持牌金融机构发放的同业借款，资产到期日不超过理财产品最近一次开放日，融资人为中国长城资产管理股份有限公司。</w:t>
            </w:r>
          </w:p>
          <w:p w14:paraId="3E973FF6">
            <w:pPr>
              <w:spacing w:line="200" w:lineRule="exact"/>
            </w:pPr>
            <w:r>
              <w:rPr>
                <w:rFonts w:ascii="方正黑体_GBK" w:hAnsi="方正黑体_GBK" w:eastAsia="方正黑体_GBK" w:cs="宋体"/>
                <w:b/>
                <w:sz w:val="18"/>
                <w:szCs w:val="18"/>
              </w:rPr>
              <w:t>以上资产剩余期限均不超过产品期限。</w:t>
            </w:r>
            <w:r>
              <w:rPr>
                <w:rFonts w:ascii="方正黑体_GBK" w:hAnsi="方正黑体_GBK" w:eastAsia="方正黑体_GBK"/>
              </w:rPr>
              <w:br w:type="textWrapping"/>
            </w:r>
            <w:r>
              <w:rPr>
                <w:rFonts w:ascii="方正黑体_GBK" w:hAnsi="方正黑体_GBK" w:eastAsia="方正黑体_GBK" w:cs="宋体"/>
                <w:b/>
                <w:sz w:val="18"/>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14:paraId="320BE9F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CF14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1B49CB4B">
            <w:pPr>
              <w:spacing w:line="200" w:lineRule="exact"/>
            </w:pPr>
            <w:r>
              <w:rPr>
                <w:rFonts w:ascii="方正黑体_GBK" w:hAnsi="方正黑体_GBK" w:eastAsia="方正黑体_GBK" w:cs="宋体"/>
                <w:sz w:val="18"/>
                <w:szCs w:val="18"/>
              </w:rPr>
              <w:t>A份额：业绩比较基准为年化2.4%-2.65% 。</w:t>
            </w:r>
          </w:p>
          <w:p w14:paraId="7EF637DC">
            <w:pPr>
              <w:spacing w:line="200" w:lineRule="exact"/>
            </w:pPr>
            <w:r>
              <w:rPr>
                <w:rFonts w:ascii="方正黑体_GBK" w:hAnsi="方正黑体_GBK" w:eastAsia="方正黑体_GBK" w:cs="宋体"/>
                <w:sz w:val="18"/>
                <w:szCs w:val="18"/>
              </w:rPr>
              <w:t>C份额：业绩比较基准为年化2.4%-2.65% 。</w:t>
            </w:r>
          </w:p>
          <w:p w14:paraId="63C1DC98">
            <w:pPr>
              <w:spacing w:line="200" w:lineRule="exact"/>
            </w:pPr>
            <w:r>
              <w:rPr>
                <w:rFonts w:ascii="方正黑体_GBK" w:hAnsi="方正黑体_GBK" w:eastAsia="方正黑体_GBK" w:cs="宋体"/>
                <w:sz w:val="18"/>
                <w:szCs w:val="18"/>
              </w:rPr>
              <w:t>E份额：业绩比较基准为年化2.4%-2.65% 。</w:t>
            </w:r>
          </w:p>
          <w:p w14:paraId="03EBB9AD">
            <w:pPr>
              <w:spacing w:line="200" w:lineRule="exact"/>
            </w:pPr>
            <w:r>
              <w:rPr>
                <w:rFonts w:ascii="方正黑体_GBK" w:hAnsi="方正黑体_GBK" w:eastAsia="方正黑体_GBK" w:cs="宋体"/>
                <w:sz w:val="18"/>
                <w:szCs w:val="18"/>
              </w:rPr>
              <w:t>B2份额：业绩比较基准为年化2.4%-2.65% 。</w:t>
            </w:r>
          </w:p>
          <w:p w14:paraId="3FF0FB44">
            <w:pPr>
              <w:spacing w:line="200" w:lineRule="exact"/>
            </w:pPr>
            <w:r>
              <w:rPr>
                <w:rFonts w:ascii="方正黑体_GBK" w:hAnsi="方正黑体_GBK" w:eastAsia="方正黑体_GBK" w:cs="宋体"/>
                <w:sz w:val="18"/>
                <w:szCs w:val="18"/>
              </w:rPr>
              <w:t>C2份额：业绩比较基准为年化2.45%-2.7% 。</w:t>
            </w:r>
          </w:p>
          <w:p w14:paraId="39859D9C">
            <w:pPr>
              <w:spacing w:line="200" w:lineRule="exact"/>
            </w:pPr>
            <w:r>
              <w:rPr>
                <w:rFonts w:ascii="方正黑体_GBK" w:hAnsi="方正黑体_GBK" w:eastAsia="方正黑体_GBK" w:cs="宋体"/>
                <w:sz w:val="18"/>
                <w:szCs w:val="18"/>
              </w:rPr>
              <w:t>D2份额：业绩比较基准为年化2.5%-2.75% 。</w:t>
            </w:r>
          </w:p>
          <w:p w14:paraId="12018C65">
            <w:pPr>
              <w:spacing w:line="200" w:lineRule="exact"/>
            </w:pPr>
            <w:r>
              <w:rPr>
                <w:rFonts w:ascii="方正黑体_GBK" w:hAnsi="方正黑体_GBK" w:eastAsia="方正黑体_GBK" w:cs="宋体"/>
                <w:sz w:val="18"/>
                <w:szCs w:val="18"/>
              </w:rPr>
              <w:t>E2份额：业绩比较基准为年化2.6%-2.85% 。</w:t>
            </w:r>
          </w:p>
          <w:p w14:paraId="0FFC711E">
            <w:pPr>
              <w:spacing w:line="200" w:lineRule="exact"/>
            </w:pPr>
            <w:r>
              <w:rPr>
                <w:rFonts w:ascii="方正黑体_GBK" w:hAnsi="方正黑体_GBK" w:eastAsia="方正黑体_GBK" w:cs="宋体"/>
                <w:sz w:val="18"/>
                <w:szCs w:val="18"/>
              </w:rPr>
              <w:t>B3份额：业绩比较基准为年化2.4%-2.65% 。</w:t>
            </w:r>
          </w:p>
          <w:p w14:paraId="186A46F0">
            <w:pPr>
              <w:spacing w:line="200" w:lineRule="exact"/>
            </w:pPr>
            <w:r>
              <w:rPr>
                <w:rFonts w:ascii="方正黑体_GBK" w:hAnsi="方正黑体_GBK" w:eastAsia="方正黑体_GBK" w:cs="宋体"/>
                <w:sz w:val="18"/>
                <w:szCs w:val="18"/>
              </w:rPr>
              <w:t>C3份额：业绩比较基准为年化2.45%-2.7% 。</w:t>
            </w:r>
          </w:p>
          <w:p w14:paraId="0EEC7EC4">
            <w:pPr>
              <w:spacing w:line="200" w:lineRule="exact"/>
            </w:pPr>
            <w:r>
              <w:rPr>
                <w:rFonts w:ascii="方正黑体_GBK" w:hAnsi="方正黑体_GBK" w:eastAsia="方正黑体_GBK" w:cs="宋体"/>
                <w:sz w:val="18"/>
                <w:szCs w:val="18"/>
              </w:rPr>
              <w:t>D3份额：业绩比较基准为年化2.5%-2.75% 。</w:t>
            </w:r>
          </w:p>
          <w:p w14:paraId="77C5FA75">
            <w:pPr>
              <w:spacing w:line="200" w:lineRule="exact"/>
            </w:pPr>
            <w:r>
              <w:rPr>
                <w:rFonts w:ascii="方正黑体_GBK" w:hAnsi="方正黑体_GBK" w:eastAsia="方正黑体_GBK" w:cs="宋体"/>
                <w:sz w:val="18"/>
                <w:szCs w:val="18"/>
              </w:rPr>
              <w:t>E3份额：业绩比较基准为年化2.6%-2.85% 。</w:t>
            </w:r>
          </w:p>
          <w:p w14:paraId="440793A6">
            <w:pPr>
              <w:spacing w:line="200" w:lineRule="exact"/>
            </w:pPr>
            <w:r>
              <w:rPr>
                <w:rFonts w:ascii="方正黑体_GBK" w:hAnsi="方正黑体_GBK" w:eastAsia="方正黑体_GBK" w:cs="宋体"/>
                <w:sz w:val="18"/>
                <w:szCs w:val="18"/>
              </w:rPr>
              <w:t>F2份额：业绩比较基准为年化2.5%-2.75% 。</w:t>
            </w:r>
          </w:p>
          <w:p w14:paraId="7AFC97DE">
            <w:pPr>
              <w:spacing w:line="200" w:lineRule="exact"/>
            </w:pPr>
            <w:r>
              <w:rPr>
                <w:rFonts w:ascii="方正黑体_GBK" w:hAnsi="方正黑体_GBK" w:eastAsia="方正黑体_GBK" w:cs="宋体"/>
                <w:sz w:val="18"/>
                <w:szCs w:val="18"/>
              </w:rPr>
              <w:t>F3份额：业绩比较基准为年化2.5%-2.75% 。</w:t>
            </w:r>
          </w:p>
          <w:p w14:paraId="33CAFBAC">
            <w:pPr>
              <w:spacing w:line="200" w:lineRule="exact"/>
            </w:pPr>
            <w:r>
              <w:rPr>
                <w:rFonts w:ascii="方正黑体_GBK" w:hAnsi="方正黑体_GBK" w:eastAsia="方正黑体_GBK" w:cs="宋体"/>
                <w:sz w:val="18"/>
                <w:szCs w:val="18"/>
              </w:rPr>
              <w:t>G2份额：业绩比较基准为年化2.55%-2.8% 。</w:t>
            </w:r>
          </w:p>
          <w:p w14:paraId="5F22DFE7">
            <w:pPr>
              <w:spacing w:line="200" w:lineRule="exact"/>
            </w:pPr>
            <w:r>
              <w:rPr>
                <w:rFonts w:ascii="方正黑体_GBK" w:hAnsi="方正黑体_GBK" w:eastAsia="方正黑体_GBK" w:cs="宋体"/>
                <w:sz w:val="18"/>
                <w:szCs w:val="18"/>
              </w:rPr>
              <w:t>G3份额：业绩比较基准为年化2.55%-2.8% 。</w:t>
            </w:r>
          </w:p>
          <w:p w14:paraId="6FCC93C5">
            <w:pPr>
              <w:spacing w:line="200" w:lineRule="exact"/>
            </w:pPr>
            <w:r>
              <w:rPr>
                <w:rFonts w:ascii="方正黑体_GBK" w:hAnsi="方正黑体_GBK" w:eastAsia="方正黑体_GBK" w:cs="宋体"/>
                <w:sz w:val="18"/>
                <w:szCs w:val="18"/>
              </w:rPr>
              <w:t>J2份额：业绩比较基准为年化2.45%-2.7% 。</w:t>
            </w:r>
          </w:p>
          <w:p w14:paraId="1D228267">
            <w:pPr>
              <w:spacing w:line="200" w:lineRule="exact"/>
            </w:pPr>
            <w:r>
              <w:rPr>
                <w:rFonts w:ascii="方正黑体_GBK" w:hAnsi="方正黑体_GBK" w:eastAsia="方正黑体_GBK" w:cs="宋体"/>
                <w:sz w:val="18"/>
                <w:szCs w:val="18"/>
              </w:rPr>
              <w:t>K2份额：业绩比较基准为年化2.4%-2.65% 。</w:t>
            </w:r>
          </w:p>
          <w:p w14:paraId="3FD78780">
            <w:pPr>
              <w:spacing w:line="200" w:lineRule="exact"/>
            </w:pPr>
            <w:r>
              <w:rPr>
                <w:rFonts w:ascii="方正黑体_GBK" w:hAnsi="方正黑体_GBK" w:eastAsia="方正黑体_GBK" w:cs="宋体"/>
                <w:sz w:val="18"/>
                <w:szCs w:val="18"/>
              </w:rPr>
              <w:t>L2份额：业绩比较基准为年化2.5%-2.75% 。</w:t>
            </w:r>
          </w:p>
          <w:p w14:paraId="3FF378A7">
            <w:pPr>
              <w:spacing w:line="200" w:lineRule="exact"/>
            </w:pPr>
            <w:r>
              <w:rPr>
                <w:rFonts w:ascii="方正黑体_GBK" w:hAnsi="方正黑体_GBK" w:eastAsia="方正黑体_GBK" w:cs="宋体"/>
                <w:sz w:val="18"/>
                <w:szCs w:val="18"/>
              </w:rPr>
              <w:t>J3份额：业绩比较基准为年化2.45%-2.7% 。</w:t>
            </w:r>
          </w:p>
          <w:p w14:paraId="167A8D55">
            <w:pPr>
              <w:spacing w:line="200" w:lineRule="exact"/>
            </w:pPr>
            <w:r>
              <w:rPr>
                <w:rFonts w:ascii="方正黑体_GBK" w:hAnsi="方正黑体_GBK" w:eastAsia="方正黑体_GBK" w:cs="宋体"/>
                <w:sz w:val="18"/>
                <w:szCs w:val="18"/>
              </w:rPr>
              <w:t>K3份额：业绩比较基准为年化2.4%-2.65% 。</w:t>
            </w:r>
          </w:p>
          <w:p w14:paraId="3C148BCD">
            <w:pPr>
              <w:spacing w:line="200" w:lineRule="exact"/>
            </w:pPr>
            <w:r>
              <w:rPr>
                <w:rFonts w:ascii="方正黑体_GBK" w:hAnsi="方正黑体_GBK" w:eastAsia="方正黑体_GBK" w:cs="宋体"/>
                <w:sz w:val="18"/>
                <w:szCs w:val="18"/>
              </w:rPr>
              <w:t>L3份额：业绩比较基准为年化2.55%-2.8% 。</w:t>
            </w:r>
          </w:p>
          <w:p w14:paraId="4611E918">
            <w:pPr>
              <w:spacing w:line="200" w:lineRule="exact"/>
            </w:pPr>
            <w:r>
              <w:rPr>
                <w:rFonts w:ascii="方正黑体_GBK" w:hAnsi="方正黑体_GBK" w:eastAsia="方正黑体_GBK" w:cs="宋体"/>
                <w:sz w:val="18"/>
                <w:szCs w:val="18"/>
              </w:rPr>
              <w:t>M2份额：业绩比较基准为年化2.4%-2.65% 。</w:t>
            </w:r>
          </w:p>
          <w:p w14:paraId="2103CD6E">
            <w:pPr>
              <w:spacing w:line="200" w:lineRule="exact"/>
            </w:pPr>
            <w:r>
              <w:rPr>
                <w:rFonts w:ascii="方正黑体_GBK" w:hAnsi="方正黑体_GBK" w:eastAsia="方正黑体_GBK" w:cs="宋体"/>
                <w:sz w:val="18"/>
                <w:szCs w:val="18"/>
              </w:rPr>
              <w:t>M3份额：业绩比较基准为年化2.4%-2.65% 。</w:t>
            </w:r>
          </w:p>
          <w:p w14:paraId="5A0AD5A5">
            <w:pPr>
              <w:spacing w:line="200" w:lineRule="exact"/>
            </w:pPr>
            <w:r>
              <w:rPr>
                <w:rFonts w:ascii="方正黑体_GBK" w:hAnsi="方正黑体_GBK" w:eastAsia="方正黑体_GBK" w:cs="宋体"/>
                <w:sz w:val="18"/>
                <w:szCs w:val="18"/>
              </w:rPr>
              <w:t>O2份额：业绩比较基准为年化2.5%-2.75% 。</w:t>
            </w:r>
          </w:p>
          <w:p w14:paraId="55F80319">
            <w:pPr>
              <w:spacing w:line="200" w:lineRule="exact"/>
            </w:pPr>
            <w:r>
              <w:rPr>
                <w:rFonts w:ascii="方正黑体_GBK" w:hAnsi="方正黑体_GBK" w:eastAsia="方正黑体_GBK" w:cs="宋体"/>
                <w:sz w:val="18"/>
                <w:szCs w:val="18"/>
              </w:rPr>
              <w:t>O3份额：业绩比较基准为年化2.5%-2.75% 。</w:t>
            </w:r>
          </w:p>
          <w:p w14:paraId="5E0EB1AB">
            <w:pPr>
              <w:spacing w:line="200" w:lineRule="exact"/>
            </w:pPr>
            <w:r>
              <w:rPr>
                <w:rFonts w:ascii="方正黑体_GBK" w:hAnsi="方正黑体_GBK" w:eastAsia="方正黑体_GBK" w:cs="宋体"/>
                <w:sz w:val="18"/>
                <w:szCs w:val="18"/>
              </w:rPr>
              <w:t>Q1份额：业绩比较基准为年化2.4%-2.65% 。</w:t>
            </w:r>
          </w:p>
          <w:p w14:paraId="3C020974">
            <w:pPr>
              <w:spacing w:line="200" w:lineRule="exact"/>
            </w:pPr>
            <w:r>
              <w:rPr>
                <w:rFonts w:ascii="方正黑体_GBK" w:hAnsi="方正黑体_GBK" w:eastAsia="方正黑体_GBK" w:cs="宋体"/>
                <w:sz w:val="18"/>
                <w:szCs w:val="18"/>
              </w:rPr>
              <w:t>R1份额：业绩比较基准为年化2.6%-2.85% 。</w:t>
            </w:r>
          </w:p>
          <w:p w14:paraId="331D1990">
            <w:pPr>
              <w:spacing w:line="200" w:lineRule="exact"/>
            </w:pPr>
            <w:r>
              <w:rPr>
                <w:rFonts w:ascii="方正黑体_GBK" w:hAnsi="方正黑体_GBK" w:eastAsia="方正黑体_GBK" w:cs="宋体"/>
                <w:sz w:val="18"/>
                <w:szCs w:val="18"/>
              </w:rPr>
              <w:t>Q2份额：业绩比较基准为年化2.4%-2.65% 。</w:t>
            </w:r>
          </w:p>
          <w:p w14:paraId="16CF7ED4">
            <w:pPr>
              <w:spacing w:line="200" w:lineRule="exact"/>
            </w:pPr>
            <w:r>
              <w:rPr>
                <w:rFonts w:ascii="方正黑体_GBK" w:hAnsi="方正黑体_GBK" w:eastAsia="方正黑体_GBK" w:cs="宋体"/>
                <w:sz w:val="18"/>
                <w:szCs w:val="18"/>
              </w:rPr>
              <w:t>R2份额：业绩比较基准为年化2.6%-2.85% 。</w:t>
            </w:r>
          </w:p>
          <w:p w14:paraId="4569A1B3">
            <w:pPr>
              <w:spacing w:line="200" w:lineRule="exact"/>
            </w:pPr>
            <w:r>
              <w:rPr>
                <w:rFonts w:ascii="方正黑体_GBK" w:hAnsi="方正黑体_GBK" w:eastAsia="方正黑体_GBK" w:cs="宋体"/>
                <w:sz w:val="18"/>
                <w:szCs w:val="18"/>
              </w:rPr>
              <w:t>Q3份额：业绩比较基准为年化2.4%-2.65% 。</w:t>
            </w:r>
          </w:p>
          <w:p w14:paraId="26D7C51B">
            <w:pPr>
              <w:spacing w:line="200" w:lineRule="exact"/>
            </w:pPr>
            <w:r>
              <w:rPr>
                <w:rFonts w:ascii="方正黑体_GBK" w:hAnsi="方正黑体_GBK" w:eastAsia="方正黑体_GBK" w:cs="宋体"/>
                <w:sz w:val="18"/>
                <w:szCs w:val="18"/>
              </w:rPr>
              <w:t>R3份额：业绩比较基准为年化2.6%-2.85% 。</w:t>
            </w:r>
          </w:p>
          <w:p w14:paraId="08BAC367">
            <w:pPr>
              <w:spacing w:line="200" w:lineRule="exact"/>
            </w:pPr>
            <w:r>
              <w:rPr>
                <w:rFonts w:ascii="方正黑体_GBK" w:hAnsi="方正黑体_GBK" w:eastAsia="方正黑体_GBK" w:cs="宋体"/>
                <w:sz w:val="18"/>
                <w:szCs w:val="18"/>
              </w:rPr>
              <w:t>B1份额：业绩比较基准为年化2.4%-2.65% 。</w:t>
            </w:r>
          </w:p>
          <w:p w14:paraId="2DAD8A92">
            <w:pPr>
              <w:spacing w:line="200" w:lineRule="exact"/>
            </w:pPr>
            <w:r>
              <w:rPr>
                <w:rFonts w:ascii="方正黑体_GBK" w:hAnsi="方正黑体_GBK" w:eastAsia="方正黑体_GBK" w:cs="宋体"/>
                <w:sz w:val="18"/>
                <w:szCs w:val="18"/>
              </w:rPr>
              <w:t>C1份额：业绩比较基准为年化2.45%-2.7% 。</w:t>
            </w:r>
          </w:p>
          <w:p w14:paraId="5CDE2D68">
            <w:pPr>
              <w:spacing w:line="200" w:lineRule="exact"/>
            </w:pPr>
            <w:r>
              <w:rPr>
                <w:rFonts w:ascii="方正黑体_GBK" w:hAnsi="方正黑体_GBK" w:eastAsia="方正黑体_GBK" w:cs="宋体"/>
                <w:sz w:val="18"/>
                <w:szCs w:val="18"/>
              </w:rPr>
              <w:t>D1份额：业绩比较基准为年化2.5%-2.75% 。</w:t>
            </w:r>
          </w:p>
          <w:p w14:paraId="1F38E33B">
            <w:pPr>
              <w:spacing w:line="200" w:lineRule="exact"/>
            </w:pPr>
            <w:r>
              <w:rPr>
                <w:rFonts w:ascii="方正黑体_GBK" w:hAnsi="方正黑体_GBK" w:eastAsia="方正黑体_GBK" w:cs="宋体"/>
                <w:sz w:val="18"/>
                <w:szCs w:val="18"/>
              </w:rPr>
              <w:t>E1份额：业绩比较基准为年化2.6%-2.85% 。</w:t>
            </w:r>
          </w:p>
          <w:p w14:paraId="3FC8DC74">
            <w:pPr>
              <w:spacing w:line="200" w:lineRule="exact"/>
            </w:pPr>
            <w:r>
              <w:rPr>
                <w:rFonts w:ascii="方正黑体_GBK" w:hAnsi="方正黑体_GBK" w:eastAsia="方正黑体_GBK" w:cs="宋体"/>
                <w:sz w:val="18"/>
                <w:szCs w:val="18"/>
              </w:rPr>
              <w:t>F1份额：业绩比较基准为年化2.5%-2.75% 。</w:t>
            </w:r>
          </w:p>
          <w:p w14:paraId="5EA741B8">
            <w:pPr>
              <w:spacing w:line="200" w:lineRule="exact"/>
            </w:pPr>
            <w:r>
              <w:rPr>
                <w:rFonts w:ascii="方正黑体_GBK" w:hAnsi="方正黑体_GBK" w:eastAsia="方正黑体_GBK" w:cs="宋体"/>
                <w:sz w:val="18"/>
                <w:szCs w:val="18"/>
              </w:rPr>
              <w:t>G1份额：业绩比较基准为年化2.55%-2.8% 。</w:t>
            </w:r>
          </w:p>
          <w:p w14:paraId="70FA7E5E">
            <w:pPr>
              <w:spacing w:line="200" w:lineRule="exact"/>
            </w:pPr>
            <w:r>
              <w:rPr>
                <w:rFonts w:ascii="方正黑体_GBK" w:hAnsi="方正黑体_GBK" w:eastAsia="方正黑体_GBK" w:cs="宋体"/>
                <w:sz w:val="18"/>
                <w:szCs w:val="18"/>
              </w:rPr>
              <w:t>H1份额：业绩比较基准为年化2.55%-2.8% 。</w:t>
            </w:r>
          </w:p>
          <w:p w14:paraId="4475A6D2">
            <w:pPr>
              <w:spacing w:line="200" w:lineRule="exact"/>
            </w:pPr>
            <w:r>
              <w:rPr>
                <w:rFonts w:ascii="方正黑体_GBK" w:hAnsi="方正黑体_GBK" w:eastAsia="方正黑体_GBK" w:cs="宋体"/>
                <w:sz w:val="18"/>
                <w:szCs w:val="18"/>
              </w:rPr>
              <w:t>J1份额：业绩比较基准为年化2.45%-2.7% 。</w:t>
            </w:r>
          </w:p>
          <w:p w14:paraId="04DC20BA">
            <w:pPr>
              <w:spacing w:line="200" w:lineRule="exact"/>
            </w:pPr>
            <w:r>
              <w:rPr>
                <w:rFonts w:ascii="方正黑体_GBK" w:hAnsi="方正黑体_GBK" w:eastAsia="方正黑体_GBK" w:cs="宋体"/>
                <w:sz w:val="18"/>
                <w:szCs w:val="18"/>
              </w:rPr>
              <w:t>K1份额：业绩比较基准为年化2.4%-2.65% 。</w:t>
            </w:r>
          </w:p>
          <w:p w14:paraId="343EED09">
            <w:pPr>
              <w:spacing w:line="200" w:lineRule="exact"/>
            </w:pPr>
            <w:r>
              <w:rPr>
                <w:rFonts w:ascii="方正黑体_GBK" w:hAnsi="方正黑体_GBK" w:eastAsia="方正黑体_GBK" w:cs="宋体"/>
                <w:sz w:val="18"/>
                <w:szCs w:val="18"/>
              </w:rPr>
              <w:t>L1份额：业绩比较基准为年化2.5%-2.75% 。</w:t>
            </w:r>
          </w:p>
          <w:p w14:paraId="4C5892FC">
            <w:pPr>
              <w:spacing w:line="200" w:lineRule="exact"/>
            </w:pPr>
            <w:r>
              <w:rPr>
                <w:rFonts w:ascii="方正黑体_GBK" w:hAnsi="方正黑体_GBK" w:eastAsia="方正黑体_GBK" w:cs="宋体"/>
                <w:sz w:val="18"/>
                <w:szCs w:val="18"/>
              </w:rPr>
              <w:t>M1份额：业绩比较基准为年化2.4%-2.65% 。</w:t>
            </w:r>
          </w:p>
          <w:p w14:paraId="5F853846">
            <w:pPr>
              <w:spacing w:line="200" w:lineRule="exact"/>
            </w:pPr>
            <w:r>
              <w:rPr>
                <w:rFonts w:ascii="方正黑体_GBK" w:hAnsi="方正黑体_GBK" w:eastAsia="方正黑体_GBK" w:cs="宋体"/>
                <w:sz w:val="18"/>
                <w:szCs w:val="18"/>
              </w:rPr>
              <w:t>N1份额：业绩比较基准为年化2.65%-2.9% 。</w:t>
            </w:r>
          </w:p>
          <w:p w14:paraId="629739C6">
            <w:pPr>
              <w:spacing w:line="200" w:lineRule="exact"/>
            </w:pPr>
            <w:r>
              <w:rPr>
                <w:rFonts w:ascii="方正黑体_GBK" w:hAnsi="方正黑体_GBK" w:eastAsia="方正黑体_GBK" w:cs="宋体"/>
                <w:sz w:val="18"/>
                <w:szCs w:val="18"/>
              </w:rPr>
              <w:t>O1份额：业绩比较基准为年化2.5%-2.75% 。</w:t>
            </w:r>
          </w:p>
          <w:p w14:paraId="76B4A37B">
            <w:pPr>
              <w:spacing w:line="200" w:lineRule="exact"/>
            </w:pPr>
            <w:r>
              <w:rPr>
                <w:rFonts w:ascii="方正黑体_GBK" w:hAnsi="方正黑体_GBK" w:eastAsia="方正黑体_GBK" w:cs="宋体"/>
                <w:sz w:val="18"/>
                <w:szCs w:val="18"/>
              </w:rPr>
              <w:t>S1份额：业绩比较基准为年化2.55%-2.8% 。</w:t>
            </w:r>
          </w:p>
          <w:p w14:paraId="119E6A7B">
            <w:pPr>
              <w:spacing w:line="200" w:lineRule="exact"/>
            </w:pPr>
            <w:r>
              <w:rPr>
                <w:rFonts w:ascii="方正黑体_GBK" w:hAnsi="方正黑体_GBK" w:eastAsia="方正黑体_GBK" w:cs="宋体"/>
                <w:sz w:val="18"/>
                <w:szCs w:val="18"/>
              </w:rPr>
              <w:t>S2份额：业绩比较基准为年化2.55%-2.8% 。</w:t>
            </w:r>
          </w:p>
          <w:p w14:paraId="7BC2935C">
            <w:pPr>
              <w:spacing w:line="200" w:lineRule="exact"/>
            </w:pPr>
            <w:r>
              <w:rPr>
                <w:rFonts w:ascii="方正黑体_GBK" w:hAnsi="方正黑体_GBK" w:eastAsia="方正黑体_GBK" w:cs="宋体"/>
                <w:sz w:val="18"/>
                <w:szCs w:val="18"/>
              </w:rPr>
              <w:t>S3份额：业绩比较基准为年化2.55%-2.8% 。</w:t>
            </w:r>
          </w:p>
          <w:p w14:paraId="3278CD51">
            <w:pPr>
              <w:spacing w:line="200" w:lineRule="exact"/>
              <w:jc w:val="lef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14:paraId="0CE0C215">
            <w:pPr>
              <w:spacing w:line="200" w:lineRule="exact"/>
              <w:jc w:val="left"/>
            </w:pPr>
            <w:r>
              <w:rPr>
                <w:rFonts w:ascii="方正黑体_GBK" w:hAnsi="方正黑体_GBK" w:eastAsia="方正黑体_GBK" w:cs="宋体"/>
                <w:sz w:val="18"/>
                <w:szCs w:val="18"/>
              </w:rPr>
              <w:t>注：管理人可根据市场情况对业绩比较基准进行适当调整，如有调整，将至少于调整前3个工作日公布调整方案。</w:t>
            </w:r>
          </w:p>
          <w:p w14:paraId="2F79C460">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0864A78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AC0C3BA">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1FA510B4">
            <w:pPr>
              <w:spacing w:line="200" w:lineRule="exact"/>
            </w:pPr>
            <w:r>
              <w:rPr>
                <w:rFonts w:ascii="方正黑体_GBK" w:hAnsi="方正黑体_GBK" w:eastAsia="方正黑体_GBK" w:cs="宋体"/>
                <w:b/>
                <w:sz w:val="18"/>
                <w:szCs w:val="18"/>
              </w:rPr>
              <w:t>认/申购费：本理财产品暂不收取认/申购费。</w:t>
            </w:r>
          </w:p>
          <w:p w14:paraId="3D910F7A">
            <w:pPr>
              <w:spacing w:line="200" w:lineRule="exact"/>
            </w:pPr>
            <w:r>
              <w:rPr>
                <w:rFonts w:ascii="方正黑体_GBK" w:hAnsi="方正黑体_GBK" w:eastAsia="方正黑体_GBK" w:cs="宋体"/>
                <w:b/>
                <w:sz w:val="18"/>
                <w:szCs w:val="18"/>
              </w:rPr>
              <w:t>赎回费：本理财产品暂不收取赎回费。</w:t>
            </w:r>
          </w:p>
          <w:p w14:paraId="7159D9D6">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6E0EFBF0">
            <w:pPr>
              <w:spacing w:line="200" w:lineRule="exact"/>
            </w:pPr>
            <w:r>
              <w:rPr>
                <w:rFonts w:ascii="方正黑体_GBK" w:hAnsi="方正黑体_GBK" w:eastAsia="方正黑体_GBK" w:cs="宋体"/>
                <w:b/>
                <w:sz w:val="18"/>
                <w:szCs w:val="18"/>
              </w:rPr>
              <w:t>A份额：销售费年化0.2%</w:t>
            </w:r>
          </w:p>
          <w:p w14:paraId="387A3E1B">
            <w:pPr>
              <w:spacing w:line="200" w:lineRule="exact"/>
            </w:pPr>
            <w:r>
              <w:rPr>
                <w:rFonts w:ascii="方正黑体_GBK" w:hAnsi="方正黑体_GBK" w:eastAsia="方正黑体_GBK" w:cs="宋体"/>
                <w:b/>
                <w:sz w:val="18"/>
                <w:szCs w:val="18"/>
              </w:rPr>
              <w:t>C份额：销售费年化0.2%</w:t>
            </w:r>
          </w:p>
          <w:p w14:paraId="74540AEA">
            <w:pPr>
              <w:spacing w:line="200" w:lineRule="exact"/>
            </w:pPr>
            <w:r>
              <w:rPr>
                <w:rFonts w:ascii="方正黑体_GBK" w:hAnsi="方正黑体_GBK" w:eastAsia="方正黑体_GBK" w:cs="宋体"/>
                <w:b/>
                <w:sz w:val="18"/>
                <w:szCs w:val="18"/>
              </w:rPr>
              <w:t>E份额：销售费年化0.2%</w:t>
            </w:r>
          </w:p>
          <w:p w14:paraId="4F73C625">
            <w:pPr>
              <w:spacing w:line="200" w:lineRule="exact"/>
            </w:pPr>
            <w:r>
              <w:rPr>
                <w:rFonts w:ascii="方正黑体_GBK" w:hAnsi="方正黑体_GBK" w:eastAsia="方正黑体_GBK" w:cs="宋体"/>
                <w:b/>
                <w:sz w:val="18"/>
                <w:szCs w:val="18"/>
              </w:rPr>
              <w:t>B2份额：销售费年化0.2%</w:t>
            </w:r>
          </w:p>
          <w:p w14:paraId="692EC92A">
            <w:pPr>
              <w:spacing w:line="200" w:lineRule="exact"/>
            </w:pPr>
            <w:r>
              <w:rPr>
                <w:rFonts w:ascii="方正黑体_GBK" w:hAnsi="方正黑体_GBK" w:eastAsia="方正黑体_GBK" w:cs="宋体"/>
                <w:b/>
                <w:sz w:val="18"/>
                <w:szCs w:val="18"/>
              </w:rPr>
              <w:t>C2份额：销售费年化0.15%</w:t>
            </w:r>
          </w:p>
          <w:p w14:paraId="258F71EB">
            <w:pPr>
              <w:spacing w:line="200" w:lineRule="exact"/>
            </w:pPr>
            <w:r>
              <w:rPr>
                <w:rFonts w:ascii="方正黑体_GBK" w:hAnsi="方正黑体_GBK" w:eastAsia="方正黑体_GBK" w:cs="宋体"/>
                <w:b/>
                <w:sz w:val="18"/>
                <w:szCs w:val="18"/>
              </w:rPr>
              <w:t>D2份额：销售费年化0.15%</w:t>
            </w:r>
          </w:p>
          <w:p w14:paraId="4670D3EB">
            <w:pPr>
              <w:spacing w:line="200" w:lineRule="exact"/>
            </w:pPr>
            <w:r>
              <w:rPr>
                <w:rFonts w:ascii="方正黑体_GBK" w:hAnsi="方正黑体_GBK" w:eastAsia="方正黑体_GBK" w:cs="宋体"/>
                <w:b/>
                <w:sz w:val="18"/>
                <w:szCs w:val="18"/>
              </w:rPr>
              <w:t>E2份额：销售费年化0.05%</w:t>
            </w:r>
          </w:p>
          <w:p w14:paraId="56150D15">
            <w:pPr>
              <w:spacing w:line="200" w:lineRule="exact"/>
            </w:pPr>
            <w:r>
              <w:rPr>
                <w:rFonts w:ascii="方正黑体_GBK" w:hAnsi="方正黑体_GBK" w:eastAsia="方正黑体_GBK" w:cs="宋体"/>
                <w:b/>
                <w:sz w:val="18"/>
                <w:szCs w:val="18"/>
              </w:rPr>
              <w:t>B3份额：销售费年化0.2%</w:t>
            </w:r>
          </w:p>
          <w:p w14:paraId="3F020592">
            <w:pPr>
              <w:spacing w:line="200" w:lineRule="exact"/>
            </w:pPr>
            <w:r>
              <w:rPr>
                <w:rFonts w:ascii="方正黑体_GBK" w:hAnsi="方正黑体_GBK" w:eastAsia="方正黑体_GBK" w:cs="宋体"/>
                <w:b/>
                <w:sz w:val="18"/>
                <w:szCs w:val="18"/>
              </w:rPr>
              <w:t>C3份额：销售费年化0.15%</w:t>
            </w:r>
          </w:p>
          <w:p w14:paraId="2872B20E">
            <w:pPr>
              <w:spacing w:line="200" w:lineRule="exact"/>
            </w:pPr>
            <w:r>
              <w:rPr>
                <w:rFonts w:ascii="方正黑体_GBK" w:hAnsi="方正黑体_GBK" w:eastAsia="方正黑体_GBK" w:cs="宋体"/>
                <w:b/>
                <w:sz w:val="18"/>
                <w:szCs w:val="18"/>
              </w:rPr>
              <w:t>D3份额：销售费年化0.15%</w:t>
            </w:r>
          </w:p>
          <w:p w14:paraId="6BD97E31">
            <w:pPr>
              <w:spacing w:line="200" w:lineRule="exact"/>
            </w:pPr>
            <w:r>
              <w:rPr>
                <w:rFonts w:ascii="方正黑体_GBK" w:hAnsi="方正黑体_GBK" w:eastAsia="方正黑体_GBK" w:cs="宋体"/>
                <w:b/>
                <w:sz w:val="18"/>
                <w:szCs w:val="18"/>
              </w:rPr>
              <w:t>E3份额：销售费年化0.05%</w:t>
            </w:r>
          </w:p>
          <w:p w14:paraId="43F4A8B3">
            <w:pPr>
              <w:spacing w:line="200" w:lineRule="exact"/>
            </w:pPr>
            <w:r>
              <w:rPr>
                <w:rFonts w:ascii="方正黑体_GBK" w:hAnsi="方正黑体_GBK" w:eastAsia="方正黑体_GBK" w:cs="宋体"/>
                <w:b/>
                <w:sz w:val="18"/>
                <w:szCs w:val="18"/>
              </w:rPr>
              <w:t>F2份额：销售费年化0.15%</w:t>
            </w:r>
          </w:p>
          <w:p w14:paraId="50071AC8">
            <w:pPr>
              <w:spacing w:line="200" w:lineRule="exact"/>
            </w:pPr>
            <w:r>
              <w:rPr>
                <w:rFonts w:ascii="方正黑体_GBK" w:hAnsi="方正黑体_GBK" w:eastAsia="方正黑体_GBK" w:cs="宋体"/>
                <w:b/>
                <w:sz w:val="18"/>
                <w:szCs w:val="18"/>
              </w:rPr>
              <w:t>F3份额：销售费年化0.15%</w:t>
            </w:r>
          </w:p>
          <w:p w14:paraId="0A3BBB7E">
            <w:pPr>
              <w:spacing w:line="200" w:lineRule="exact"/>
            </w:pPr>
            <w:r>
              <w:rPr>
                <w:rFonts w:ascii="方正黑体_GBK" w:hAnsi="方正黑体_GBK" w:eastAsia="方正黑体_GBK" w:cs="宋体"/>
                <w:b/>
                <w:sz w:val="18"/>
                <w:szCs w:val="18"/>
              </w:rPr>
              <w:t>G2份额：销售费年化0.1%</w:t>
            </w:r>
          </w:p>
          <w:p w14:paraId="083CE178">
            <w:pPr>
              <w:spacing w:line="200" w:lineRule="exact"/>
            </w:pPr>
            <w:r>
              <w:rPr>
                <w:rFonts w:ascii="方正黑体_GBK" w:hAnsi="方正黑体_GBK" w:eastAsia="方正黑体_GBK" w:cs="宋体"/>
                <w:b/>
                <w:sz w:val="18"/>
                <w:szCs w:val="18"/>
              </w:rPr>
              <w:t>G3份额：销售费年化0.1%</w:t>
            </w:r>
          </w:p>
          <w:p w14:paraId="6917D26F">
            <w:pPr>
              <w:spacing w:line="200" w:lineRule="exact"/>
            </w:pPr>
            <w:r>
              <w:rPr>
                <w:rFonts w:ascii="方正黑体_GBK" w:hAnsi="方正黑体_GBK" w:eastAsia="方正黑体_GBK" w:cs="宋体"/>
                <w:b/>
                <w:sz w:val="18"/>
                <w:szCs w:val="18"/>
              </w:rPr>
              <w:t>J2份额：销售费年化0.25%</w:t>
            </w:r>
          </w:p>
          <w:p w14:paraId="6B63EEA1">
            <w:pPr>
              <w:spacing w:line="200" w:lineRule="exact"/>
            </w:pPr>
            <w:r>
              <w:rPr>
                <w:rFonts w:ascii="方正黑体_GBK" w:hAnsi="方正黑体_GBK" w:eastAsia="方正黑体_GBK" w:cs="宋体"/>
                <w:b/>
                <w:sz w:val="18"/>
                <w:szCs w:val="18"/>
              </w:rPr>
              <w:t>K2份额：销售费年化0.3%</w:t>
            </w:r>
          </w:p>
          <w:p w14:paraId="08FC1943">
            <w:pPr>
              <w:spacing w:line="200" w:lineRule="exact"/>
            </w:pPr>
            <w:r>
              <w:rPr>
                <w:rFonts w:ascii="方正黑体_GBK" w:hAnsi="方正黑体_GBK" w:eastAsia="方正黑体_GBK" w:cs="宋体"/>
                <w:b/>
                <w:sz w:val="18"/>
                <w:szCs w:val="18"/>
              </w:rPr>
              <w:t>L2份额：销售费年化0.2%</w:t>
            </w:r>
          </w:p>
          <w:p w14:paraId="04881BE7">
            <w:pPr>
              <w:spacing w:line="200" w:lineRule="exact"/>
            </w:pPr>
            <w:r>
              <w:rPr>
                <w:rFonts w:ascii="方正黑体_GBK" w:hAnsi="方正黑体_GBK" w:eastAsia="方正黑体_GBK" w:cs="宋体"/>
                <w:b/>
                <w:sz w:val="18"/>
                <w:szCs w:val="18"/>
              </w:rPr>
              <w:t>J3份额：销售费年化0.25%</w:t>
            </w:r>
          </w:p>
          <w:p w14:paraId="094A4604">
            <w:pPr>
              <w:spacing w:line="200" w:lineRule="exact"/>
            </w:pPr>
            <w:r>
              <w:rPr>
                <w:rFonts w:ascii="方正黑体_GBK" w:hAnsi="方正黑体_GBK" w:eastAsia="方正黑体_GBK" w:cs="宋体"/>
                <w:b/>
                <w:sz w:val="18"/>
                <w:szCs w:val="18"/>
              </w:rPr>
              <w:t>K3份额：销售费年化0.3%</w:t>
            </w:r>
          </w:p>
          <w:p w14:paraId="2DE515CE">
            <w:pPr>
              <w:spacing w:line="200" w:lineRule="exact"/>
            </w:pPr>
            <w:r>
              <w:rPr>
                <w:rFonts w:ascii="方正黑体_GBK" w:hAnsi="方正黑体_GBK" w:eastAsia="方正黑体_GBK" w:cs="宋体"/>
                <w:b/>
                <w:sz w:val="18"/>
                <w:szCs w:val="18"/>
              </w:rPr>
              <w:t>L3份额：销售费年化0.15%</w:t>
            </w:r>
          </w:p>
          <w:p w14:paraId="18F10BE3">
            <w:pPr>
              <w:spacing w:line="200" w:lineRule="exact"/>
            </w:pPr>
            <w:r>
              <w:rPr>
                <w:rFonts w:ascii="方正黑体_GBK" w:hAnsi="方正黑体_GBK" w:eastAsia="方正黑体_GBK" w:cs="宋体"/>
                <w:b/>
                <w:sz w:val="18"/>
                <w:szCs w:val="18"/>
              </w:rPr>
              <w:t>M2份额：销售费年化0.2%</w:t>
            </w:r>
          </w:p>
          <w:p w14:paraId="04A04EE5">
            <w:pPr>
              <w:spacing w:line="200" w:lineRule="exact"/>
            </w:pPr>
            <w:r>
              <w:rPr>
                <w:rFonts w:ascii="方正黑体_GBK" w:hAnsi="方正黑体_GBK" w:eastAsia="方正黑体_GBK" w:cs="宋体"/>
                <w:b/>
                <w:sz w:val="18"/>
                <w:szCs w:val="18"/>
              </w:rPr>
              <w:t>M3份额：销售费年化0.2%</w:t>
            </w:r>
          </w:p>
          <w:p w14:paraId="342C8A99">
            <w:pPr>
              <w:spacing w:line="200" w:lineRule="exact"/>
            </w:pPr>
            <w:r>
              <w:rPr>
                <w:rFonts w:ascii="方正黑体_GBK" w:hAnsi="方正黑体_GBK" w:eastAsia="方正黑体_GBK" w:cs="宋体"/>
                <w:b/>
                <w:sz w:val="18"/>
                <w:szCs w:val="18"/>
              </w:rPr>
              <w:t>O2份额：销售费年化0.2%</w:t>
            </w:r>
          </w:p>
          <w:p w14:paraId="08E8E557">
            <w:pPr>
              <w:spacing w:line="200" w:lineRule="exact"/>
            </w:pPr>
            <w:r>
              <w:rPr>
                <w:rFonts w:ascii="方正黑体_GBK" w:hAnsi="方正黑体_GBK" w:eastAsia="方正黑体_GBK" w:cs="宋体"/>
                <w:b/>
                <w:sz w:val="18"/>
                <w:szCs w:val="18"/>
              </w:rPr>
              <w:t>O3份额：销售费年化0.2%</w:t>
            </w:r>
          </w:p>
          <w:p w14:paraId="0383A767">
            <w:pPr>
              <w:spacing w:line="200" w:lineRule="exact"/>
            </w:pPr>
            <w:r>
              <w:rPr>
                <w:rFonts w:ascii="方正黑体_GBK" w:hAnsi="方正黑体_GBK" w:eastAsia="方正黑体_GBK" w:cs="宋体"/>
                <w:b/>
                <w:sz w:val="18"/>
                <w:szCs w:val="18"/>
              </w:rPr>
              <w:t>Q1份额：销售费年化0.2%</w:t>
            </w:r>
          </w:p>
          <w:p w14:paraId="18A63333">
            <w:pPr>
              <w:spacing w:line="200" w:lineRule="exact"/>
            </w:pPr>
            <w:r>
              <w:rPr>
                <w:rFonts w:ascii="方正黑体_GBK" w:hAnsi="方正黑体_GBK" w:eastAsia="方正黑体_GBK" w:cs="宋体"/>
                <w:b/>
                <w:sz w:val="18"/>
                <w:szCs w:val="18"/>
              </w:rPr>
              <w:t>R1份额：销售费年化0.05%</w:t>
            </w:r>
          </w:p>
          <w:p w14:paraId="718C356A">
            <w:pPr>
              <w:spacing w:line="200" w:lineRule="exact"/>
            </w:pPr>
            <w:r>
              <w:rPr>
                <w:rFonts w:ascii="方正黑体_GBK" w:hAnsi="方正黑体_GBK" w:eastAsia="方正黑体_GBK" w:cs="宋体"/>
                <w:b/>
                <w:sz w:val="18"/>
                <w:szCs w:val="18"/>
              </w:rPr>
              <w:t>Q2份额：销售费年化0.2%</w:t>
            </w:r>
          </w:p>
          <w:p w14:paraId="2BF486E8">
            <w:pPr>
              <w:spacing w:line="200" w:lineRule="exact"/>
            </w:pPr>
            <w:r>
              <w:rPr>
                <w:rFonts w:ascii="方正黑体_GBK" w:hAnsi="方正黑体_GBK" w:eastAsia="方正黑体_GBK" w:cs="宋体"/>
                <w:b/>
                <w:sz w:val="18"/>
                <w:szCs w:val="18"/>
              </w:rPr>
              <w:t>R2份额：销售费年化0.05%</w:t>
            </w:r>
          </w:p>
          <w:p w14:paraId="3725D70F">
            <w:pPr>
              <w:spacing w:line="200" w:lineRule="exact"/>
            </w:pPr>
            <w:r>
              <w:rPr>
                <w:rFonts w:ascii="方正黑体_GBK" w:hAnsi="方正黑体_GBK" w:eastAsia="方正黑体_GBK" w:cs="宋体"/>
                <w:b/>
                <w:sz w:val="18"/>
                <w:szCs w:val="18"/>
              </w:rPr>
              <w:t>Q3份额：销售费年化0.2%</w:t>
            </w:r>
          </w:p>
          <w:p w14:paraId="50A5F771">
            <w:pPr>
              <w:spacing w:line="200" w:lineRule="exact"/>
            </w:pPr>
            <w:r>
              <w:rPr>
                <w:rFonts w:ascii="方正黑体_GBK" w:hAnsi="方正黑体_GBK" w:eastAsia="方正黑体_GBK" w:cs="宋体"/>
                <w:b/>
                <w:sz w:val="18"/>
                <w:szCs w:val="18"/>
              </w:rPr>
              <w:t>R3份额：销售费年化0.05%</w:t>
            </w:r>
          </w:p>
          <w:p w14:paraId="2B3FD584">
            <w:pPr>
              <w:spacing w:line="200" w:lineRule="exact"/>
            </w:pPr>
            <w:r>
              <w:rPr>
                <w:rFonts w:ascii="方正黑体_GBK" w:hAnsi="方正黑体_GBK" w:eastAsia="方正黑体_GBK" w:cs="宋体"/>
                <w:b/>
                <w:sz w:val="18"/>
                <w:szCs w:val="18"/>
              </w:rPr>
              <w:t>B1份额：销售费年化0.2%</w:t>
            </w:r>
          </w:p>
          <w:p w14:paraId="513B2A9D">
            <w:pPr>
              <w:spacing w:line="200" w:lineRule="exact"/>
            </w:pPr>
            <w:r>
              <w:rPr>
                <w:rFonts w:ascii="方正黑体_GBK" w:hAnsi="方正黑体_GBK" w:eastAsia="方正黑体_GBK" w:cs="宋体"/>
                <w:b/>
                <w:sz w:val="18"/>
                <w:szCs w:val="18"/>
              </w:rPr>
              <w:t>C1份额：销售费年化0.15%</w:t>
            </w:r>
          </w:p>
          <w:p w14:paraId="2C340D2C">
            <w:pPr>
              <w:spacing w:line="200" w:lineRule="exact"/>
            </w:pPr>
            <w:r>
              <w:rPr>
                <w:rFonts w:ascii="方正黑体_GBK" w:hAnsi="方正黑体_GBK" w:eastAsia="方正黑体_GBK" w:cs="宋体"/>
                <w:b/>
                <w:sz w:val="18"/>
                <w:szCs w:val="18"/>
              </w:rPr>
              <w:t>D1份额：销售费年化0.15%</w:t>
            </w:r>
          </w:p>
          <w:p w14:paraId="25027D3A">
            <w:pPr>
              <w:spacing w:line="200" w:lineRule="exact"/>
            </w:pPr>
            <w:r>
              <w:rPr>
                <w:rFonts w:ascii="方正黑体_GBK" w:hAnsi="方正黑体_GBK" w:eastAsia="方正黑体_GBK" w:cs="宋体"/>
                <w:b/>
                <w:sz w:val="18"/>
                <w:szCs w:val="18"/>
              </w:rPr>
              <w:t>E1份额：销售费年化0.05%</w:t>
            </w:r>
          </w:p>
          <w:p w14:paraId="69B8D9FE">
            <w:pPr>
              <w:spacing w:line="200" w:lineRule="exact"/>
            </w:pPr>
            <w:r>
              <w:rPr>
                <w:rFonts w:ascii="方正黑体_GBK" w:hAnsi="方正黑体_GBK" w:eastAsia="方正黑体_GBK" w:cs="宋体"/>
                <w:b/>
                <w:sz w:val="18"/>
                <w:szCs w:val="18"/>
              </w:rPr>
              <w:t>F1份额：销售费年化0.15%</w:t>
            </w:r>
          </w:p>
          <w:p w14:paraId="325AFAD8">
            <w:pPr>
              <w:spacing w:line="200" w:lineRule="exact"/>
            </w:pPr>
            <w:r>
              <w:rPr>
                <w:rFonts w:ascii="方正黑体_GBK" w:hAnsi="方正黑体_GBK" w:eastAsia="方正黑体_GBK" w:cs="宋体"/>
                <w:b/>
                <w:sz w:val="18"/>
                <w:szCs w:val="18"/>
              </w:rPr>
              <w:t>G1份额：销售费年化0.1%</w:t>
            </w:r>
          </w:p>
          <w:p w14:paraId="7CBAABE0">
            <w:pPr>
              <w:spacing w:line="200" w:lineRule="exact"/>
            </w:pPr>
            <w:r>
              <w:rPr>
                <w:rFonts w:ascii="方正黑体_GBK" w:hAnsi="方正黑体_GBK" w:eastAsia="方正黑体_GBK" w:cs="宋体"/>
                <w:b/>
                <w:sz w:val="18"/>
                <w:szCs w:val="18"/>
              </w:rPr>
              <w:t>H1份额：销售费年化0.15%</w:t>
            </w:r>
          </w:p>
          <w:p w14:paraId="378D114B">
            <w:pPr>
              <w:spacing w:line="200" w:lineRule="exact"/>
            </w:pPr>
            <w:r>
              <w:rPr>
                <w:rFonts w:ascii="方正黑体_GBK" w:hAnsi="方正黑体_GBK" w:eastAsia="方正黑体_GBK" w:cs="宋体"/>
                <w:b/>
                <w:sz w:val="18"/>
                <w:szCs w:val="18"/>
              </w:rPr>
              <w:t>J1份额：销售费年化0.25%</w:t>
            </w:r>
          </w:p>
          <w:p w14:paraId="5121852A">
            <w:pPr>
              <w:spacing w:line="200" w:lineRule="exact"/>
            </w:pPr>
            <w:r>
              <w:rPr>
                <w:rFonts w:ascii="方正黑体_GBK" w:hAnsi="方正黑体_GBK" w:eastAsia="方正黑体_GBK" w:cs="宋体"/>
                <w:b/>
                <w:sz w:val="18"/>
                <w:szCs w:val="18"/>
              </w:rPr>
              <w:t>K1份额：销售费年化0.3%</w:t>
            </w:r>
          </w:p>
          <w:p w14:paraId="74F379F3">
            <w:pPr>
              <w:spacing w:line="200" w:lineRule="exact"/>
            </w:pPr>
            <w:r>
              <w:rPr>
                <w:rFonts w:ascii="方正黑体_GBK" w:hAnsi="方正黑体_GBK" w:eastAsia="方正黑体_GBK" w:cs="宋体"/>
                <w:b/>
                <w:sz w:val="18"/>
                <w:szCs w:val="18"/>
              </w:rPr>
              <w:t>L1份额：销售费年化0.2%</w:t>
            </w:r>
          </w:p>
          <w:p w14:paraId="6C1C27AD">
            <w:pPr>
              <w:spacing w:line="200" w:lineRule="exact"/>
            </w:pPr>
            <w:r>
              <w:rPr>
                <w:rFonts w:ascii="方正黑体_GBK" w:hAnsi="方正黑体_GBK" w:eastAsia="方正黑体_GBK" w:cs="宋体"/>
                <w:b/>
                <w:sz w:val="18"/>
                <w:szCs w:val="18"/>
              </w:rPr>
              <w:t>M1份额：销售费年化0.2%</w:t>
            </w:r>
          </w:p>
          <w:p w14:paraId="431BDB44">
            <w:pPr>
              <w:spacing w:line="200" w:lineRule="exact"/>
            </w:pPr>
            <w:r>
              <w:rPr>
                <w:rFonts w:ascii="方正黑体_GBK" w:hAnsi="方正黑体_GBK" w:eastAsia="方正黑体_GBK" w:cs="宋体"/>
                <w:b/>
                <w:sz w:val="18"/>
                <w:szCs w:val="18"/>
              </w:rPr>
              <w:t>N1份额：销售费年化0.05%</w:t>
            </w:r>
          </w:p>
          <w:p w14:paraId="7C79A599">
            <w:pPr>
              <w:spacing w:line="200" w:lineRule="exact"/>
            </w:pPr>
            <w:r>
              <w:rPr>
                <w:rFonts w:ascii="方正黑体_GBK" w:hAnsi="方正黑体_GBK" w:eastAsia="方正黑体_GBK" w:cs="宋体"/>
                <w:b/>
                <w:sz w:val="18"/>
                <w:szCs w:val="18"/>
              </w:rPr>
              <w:t>O1份额：销售费年化0.2%</w:t>
            </w:r>
          </w:p>
          <w:p w14:paraId="63944CFD">
            <w:pPr>
              <w:spacing w:line="200" w:lineRule="exact"/>
            </w:pPr>
            <w:r>
              <w:rPr>
                <w:rFonts w:ascii="方正黑体_GBK" w:hAnsi="方正黑体_GBK" w:eastAsia="方正黑体_GBK" w:cs="宋体"/>
                <w:b/>
                <w:sz w:val="18"/>
                <w:szCs w:val="18"/>
              </w:rPr>
              <w:t>S1份额：销售费年化0.1%</w:t>
            </w:r>
          </w:p>
          <w:p w14:paraId="7070BC0D">
            <w:pPr>
              <w:spacing w:line="200" w:lineRule="exact"/>
            </w:pPr>
            <w:r>
              <w:rPr>
                <w:rFonts w:ascii="方正黑体_GBK" w:hAnsi="方正黑体_GBK" w:eastAsia="方正黑体_GBK" w:cs="宋体"/>
                <w:b/>
                <w:sz w:val="18"/>
                <w:szCs w:val="18"/>
              </w:rPr>
              <w:t>S2份额：销售费年化0.1%</w:t>
            </w:r>
          </w:p>
          <w:p w14:paraId="019D0C60">
            <w:pPr>
              <w:spacing w:line="200" w:lineRule="exact"/>
            </w:pPr>
            <w:r>
              <w:rPr>
                <w:rFonts w:ascii="方正黑体_GBK" w:hAnsi="方正黑体_GBK" w:eastAsia="方正黑体_GBK" w:cs="宋体"/>
                <w:b/>
                <w:sz w:val="18"/>
                <w:szCs w:val="18"/>
              </w:rPr>
              <w:t>S3份额：销售费年化0.1%</w:t>
            </w:r>
          </w:p>
          <w:p w14:paraId="2A30946A">
            <w:pPr>
              <w:spacing w:line="200" w:lineRule="exact"/>
            </w:pPr>
            <w:r>
              <w:rPr>
                <w:rFonts w:ascii="方正黑体_GBK" w:hAnsi="方正黑体_GBK" w:eastAsia="方正黑体_GBK" w:cs="宋体"/>
                <w:b/>
                <w:sz w:val="18"/>
                <w:szCs w:val="18"/>
              </w:rPr>
              <w:t>每日计提的销售费=前一日理财产品资产净值×年化销售费率÷365</w:t>
            </w:r>
          </w:p>
          <w:p w14:paraId="0BE748CF">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670017F2">
            <w:pPr>
              <w:spacing w:line="200" w:lineRule="exact"/>
            </w:pPr>
            <w:r>
              <w:rPr>
                <w:rFonts w:ascii="方正黑体_GBK" w:hAnsi="方正黑体_GBK" w:eastAsia="方正黑体_GBK" w:cs="宋体"/>
                <w:b/>
                <w:sz w:val="18"/>
                <w:szCs w:val="18"/>
              </w:rPr>
              <w:t>A份额：固定管理费年化0.2%</w:t>
            </w:r>
          </w:p>
          <w:p w14:paraId="513DB086">
            <w:pPr>
              <w:spacing w:line="200" w:lineRule="exact"/>
            </w:pPr>
            <w:r>
              <w:rPr>
                <w:rFonts w:ascii="方正黑体_GBK" w:hAnsi="方正黑体_GBK" w:eastAsia="方正黑体_GBK" w:cs="宋体"/>
                <w:b/>
                <w:sz w:val="18"/>
                <w:szCs w:val="18"/>
              </w:rPr>
              <w:t>C份额：固定管理费年化0.2%</w:t>
            </w:r>
          </w:p>
          <w:p w14:paraId="08A5B17A">
            <w:pPr>
              <w:spacing w:line="200" w:lineRule="exact"/>
            </w:pPr>
            <w:r>
              <w:rPr>
                <w:rFonts w:ascii="方正黑体_GBK" w:hAnsi="方正黑体_GBK" w:eastAsia="方正黑体_GBK" w:cs="宋体"/>
                <w:b/>
                <w:sz w:val="18"/>
                <w:szCs w:val="18"/>
              </w:rPr>
              <w:t>E份额：固定管理费年化0.2%</w:t>
            </w:r>
          </w:p>
          <w:p w14:paraId="4694E3C1">
            <w:pPr>
              <w:spacing w:line="200" w:lineRule="exact"/>
            </w:pPr>
            <w:r>
              <w:rPr>
                <w:rFonts w:ascii="方正黑体_GBK" w:hAnsi="方正黑体_GBK" w:eastAsia="方正黑体_GBK" w:cs="宋体"/>
                <w:b/>
                <w:sz w:val="18"/>
                <w:szCs w:val="18"/>
              </w:rPr>
              <w:t>B2份额：固定管理费年化0.2%</w:t>
            </w:r>
          </w:p>
          <w:p w14:paraId="03B15BCB">
            <w:pPr>
              <w:spacing w:line="200" w:lineRule="exact"/>
            </w:pPr>
            <w:r>
              <w:rPr>
                <w:rFonts w:ascii="方正黑体_GBK" w:hAnsi="方正黑体_GBK" w:eastAsia="方正黑体_GBK" w:cs="宋体"/>
                <w:b/>
                <w:sz w:val="18"/>
                <w:szCs w:val="18"/>
              </w:rPr>
              <w:t>C2份额：固定管理费年化0.2%</w:t>
            </w:r>
          </w:p>
          <w:p w14:paraId="5B3C8542">
            <w:pPr>
              <w:spacing w:line="200" w:lineRule="exact"/>
            </w:pPr>
            <w:r>
              <w:rPr>
                <w:rFonts w:ascii="方正黑体_GBK" w:hAnsi="方正黑体_GBK" w:eastAsia="方正黑体_GBK" w:cs="宋体"/>
                <w:b/>
                <w:sz w:val="18"/>
                <w:szCs w:val="18"/>
              </w:rPr>
              <w:t>D2份额：固定管理费年化0.15%</w:t>
            </w:r>
          </w:p>
          <w:p w14:paraId="043597AD">
            <w:pPr>
              <w:spacing w:line="200" w:lineRule="exact"/>
            </w:pPr>
            <w:r>
              <w:rPr>
                <w:rFonts w:ascii="方正黑体_GBK" w:hAnsi="方正黑体_GBK" w:eastAsia="方正黑体_GBK" w:cs="宋体"/>
                <w:b/>
                <w:sz w:val="18"/>
                <w:szCs w:val="18"/>
              </w:rPr>
              <w:t>E2份额：固定管理费年化0.15%</w:t>
            </w:r>
          </w:p>
          <w:p w14:paraId="068997A3">
            <w:pPr>
              <w:spacing w:line="200" w:lineRule="exact"/>
            </w:pPr>
            <w:r>
              <w:rPr>
                <w:rFonts w:ascii="方正黑体_GBK" w:hAnsi="方正黑体_GBK" w:eastAsia="方正黑体_GBK" w:cs="宋体"/>
                <w:b/>
                <w:sz w:val="18"/>
                <w:szCs w:val="18"/>
              </w:rPr>
              <w:t>B3份额：固定管理费年化0.2%</w:t>
            </w:r>
          </w:p>
          <w:p w14:paraId="31490E11">
            <w:pPr>
              <w:spacing w:line="200" w:lineRule="exact"/>
            </w:pPr>
            <w:r>
              <w:rPr>
                <w:rFonts w:ascii="方正黑体_GBK" w:hAnsi="方正黑体_GBK" w:eastAsia="方正黑体_GBK" w:cs="宋体"/>
                <w:b/>
                <w:sz w:val="18"/>
                <w:szCs w:val="18"/>
              </w:rPr>
              <w:t>C3份额：固定管理费年化0.2%</w:t>
            </w:r>
          </w:p>
          <w:p w14:paraId="5B507614">
            <w:pPr>
              <w:spacing w:line="200" w:lineRule="exact"/>
            </w:pPr>
            <w:r>
              <w:rPr>
                <w:rFonts w:ascii="方正黑体_GBK" w:hAnsi="方正黑体_GBK" w:eastAsia="方正黑体_GBK" w:cs="宋体"/>
                <w:b/>
                <w:sz w:val="18"/>
                <w:szCs w:val="18"/>
              </w:rPr>
              <w:t>D3份额：固定管理费年化0.15%</w:t>
            </w:r>
          </w:p>
          <w:p w14:paraId="1969FB28">
            <w:pPr>
              <w:spacing w:line="200" w:lineRule="exact"/>
            </w:pPr>
            <w:r>
              <w:rPr>
                <w:rFonts w:ascii="方正黑体_GBK" w:hAnsi="方正黑体_GBK" w:eastAsia="方正黑体_GBK" w:cs="宋体"/>
                <w:b/>
                <w:sz w:val="18"/>
                <w:szCs w:val="18"/>
              </w:rPr>
              <w:t>E3份额：固定管理费年化0.15%</w:t>
            </w:r>
          </w:p>
          <w:p w14:paraId="7CE018E5">
            <w:pPr>
              <w:spacing w:line="200" w:lineRule="exact"/>
            </w:pPr>
            <w:r>
              <w:rPr>
                <w:rFonts w:ascii="方正黑体_GBK" w:hAnsi="方正黑体_GBK" w:eastAsia="方正黑体_GBK" w:cs="宋体"/>
                <w:b/>
                <w:sz w:val="18"/>
                <w:szCs w:val="18"/>
              </w:rPr>
              <w:t>F2份额：固定管理费年化0.15%</w:t>
            </w:r>
          </w:p>
          <w:p w14:paraId="44AB8096">
            <w:pPr>
              <w:spacing w:line="200" w:lineRule="exact"/>
            </w:pPr>
            <w:r>
              <w:rPr>
                <w:rFonts w:ascii="方正黑体_GBK" w:hAnsi="方正黑体_GBK" w:eastAsia="方正黑体_GBK" w:cs="宋体"/>
                <w:b/>
                <w:sz w:val="18"/>
                <w:szCs w:val="18"/>
              </w:rPr>
              <w:t>F3份额：固定管理费年化0.15%</w:t>
            </w:r>
          </w:p>
          <w:p w14:paraId="29E070CC">
            <w:pPr>
              <w:spacing w:line="200" w:lineRule="exact"/>
            </w:pPr>
            <w:r>
              <w:rPr>
                <w:rFonts w:ascii="方正黑体_GBK" w:hAnsi="方正黑体_GBK" w:eastAsia="方正黑体_GBK" w:cs="宋体"/>
                <w:b/>
                <w:sz w:val="18"/>
                <w:szCs w:val="18"/>
              </w:rPr>
              <w:t>G2份额：固定管理费年化0.15%</w:t>
            </w:r>
          </w:p>
          <w:p w14:paraId="0C15F2C5">
            <w:pPr>
              <w:spacing w:line="200" w:lineRule="exact"/>
            </w:pPr>
            <w:r>
              <w:rPr>
                <w:rFonts w:ascii="方正黑体_GBK" w:hAnsi="方正黑体_GBK" w:eastAsia="方正黑体_GBK" w:cs="宋体"/>
                <w:b/>
                <w:sz w:val="18"/>
                <w:szCs w:val="18"/>
              </w:rPr>
              <w:t>G3份额：固定管理费年化0.15%</w:t>
            </w:r>
          </w:p>
          <w:p w14:paraId="41F499DE">
            <w:pPr>
              <w:spacing w:line="200" w:lineRule="exact"/>
            </w:pPr>
            <w:r>
              <w:rPr>
                <w:rFonts w:ascii="方正黑体_GBK" w:hAnsi="方正黑体_GBK" w:eastAsia="方正黑体_GBK" w:cs="宋体"/>
                <w:b/>
                <w:sz w:val="18"/>
                <w:szCs w:val="18"/>
              </w:rPr>
              <w:t>J2份额：固定管理费年化0.1%</w:t>
            </w:r>
          </w:p>
          <w:p w14:paraId="511A9BB2">
            <w:pPr>
              <w:spacing w:line="200" w:lineRule="exact"/>
            </w:pPr>
            <w:r>
              <w:rPr>
                <w:rFonts w:ascii="方正黑体_GBK" w:hAnsi="方正黑体_GBK" w:eastAsia="方正黑体_GBK" w:cs="宋体"/>
                <w:b/>
                <w:sz w:val="18"/>
                <w:szCs w:val="18"/>
              </w:rPr>
              <w:t>K2份额：固定管理费年化0.1%</w:t>
            </w:r>
          </w:p>
          <w:p w14:paraId="2F594DF5">
            <w:pPr>
              <w:spacing w:line="200" w:lineRule="exact"/>
            </w:pPr>
            <w:r>
              <w:rPr>
                <w:rFonts w:ascii="方正黑体_GBK" w:hAnsi="方正黑体_GBK" w:eastAsia="方正黑体_GBK" w:cs="宋体"/>
                <w:b/>
                <w:sz w:val="18"/>
                <w:szCs w:val="18"/>
              </w:rPr>
              <w:t>L2份额：固定管理费年化0.1%</w:t>
            </w:r>
          </w:p>
          <w:p w14:paraId="6DFD2DA3">
            <w:pPr>
              <w:spacing w:line="200" w:lineRule="exact"/>
            </w:pPr>
            <w:r>
              <w:rPr>
                <w:rFonts w:ascii="方正黑体_GBK" w:hAnsi="方正黑体_GBK" w:eastAsia="方正黑体_GBK" w:cs="宋体"/>
                <w:b/>
                <w:sz w:val="18"/>
                <w:szCs w:val="18"/>
              </w:rPr>
              <w:t>J3份额：固定管理费年化0.1%</w:t>
            </w:r>
          </w:p>
          <w:p w14:paraId="21F360AC">
            <w:pPr>
              <w:spacing w:line="200" w:lineRule="exact"/>
            </w:pPr>
            <w:r>
              <w:rPr>
                <w:rFonts w:ascii="方正黑体_GBK" w:hAnsi="方正黑体_GBK" w:eastAsia="方正黑体_GBK" w:cs="宋体"/>
                <w:b/>
                <w:sz w:val="18"/>
                <w:szCs w:val="18"/>
              </w:rPr>
              <w:t>K3份额：固定管理费年化0.1%</w:t>
            </w:r>
          </w:p>
          <w:p w14:paraId="2ECC9E8B">
            <w:pPr>
              <w:spacing w:line="200" w:lineRule="exact"/>
            </w:pPr>
            <w:r>
              <w:rPr>
                <w:rFonts w:ascii="方正黑体_GBK" w:hAnsi="方正黑体_GBK" w:eastAsia="方正黑体_GBK" w:cs="宋体"/>
                <w:b/>
                <w:sz w:val="18"/>
                <w:szCs w:val="18"/>
              </w:rPr>
              <w:t>L3份额：固定管理费年化0.1%</w:t>
            </w:r>
          </w:p>
          <w:p w14:paraId="5340D165">
            <w:pPr>
              <w:spacing w:line="200" w:lineRule="exact"/>
            </w:pPr>
            <w:r>
              <w:rPr>
                <w:rFonts w:ascii="方正黑体_GBK" w:hAnsi="方正黑体_GBK" w:eastAsia="方正黑体_GBK" w:cs="宋体"/>
                <w:b/>
                <w:sz w:val="18"/>
                <w:szCs w:val="18"/>
              </w:rPr>
              <w:t>M2份额：固定管理费年化0.2%</w:t>
            </w:r>
          </w:p>
          <w:p w14:paraId="64A441C0">
            <w:pPr>
              <w:spacing w:line="200" w:lineRule="exact"/>
            </w:pPr>
            <w:r>
              <w:rPr>
                <w:rFonts w:ascii="方正黑体_GBK" w:hAnsi="方正黑体_GBK" w:eastAsia="方正黑体_GBK" w:cs="宋体"/>
                <w:b/>
                <w:sz w:val="18"/>
                <w:szCs w:val="18"/>
              </w:rPr>
              <w:t>M3份额：固定管理费年化0.2%</w:t>
            </w:r>
          </w:p>
          <w:p w14:paraId="1B3A13FB">
            <w:pPr>
              <w:spacing w:line="200" w:lineRule="exact"/>
            </w:pPr>
            <w:r>
              <w:rPr>
                <w:rFonts w:ascii="方正黑体_GBK" w:hAnsi="方正黑体_GBK" w:eastAsia="方正黑体_GBK" w:cs="宋体"/>
                <w:b/>
                <w:sz w:val="18"/>
                <w:szCs w:val="18"/>
              </w:rPr>
              <w:t>O2份额：固定管理费年化0.1%</w:t>
            </w:r>
          </w:p>
          <w:p w14:paraId="01805C3A">
            <w:pPr>
              <w:spacing w:line="200" w:lineRule="exact"/>
            </w:pPr>
            <w:r>
              <w:rPr>
                <w:rFonts w:ascii="方正黑体_GBK" w:hAnsi="方正黑体_GBK" w:eastAsia="方正黑体_GBK" w:cs="宋体"/>
                <w:b/>
                <w:sz w:val="18"/>
                <w:szCs w:val="18"/>
              </w:rPr>
              <w:t>O3份额：固定管理费年化0.1%</w:t>
            </w:r>
          </w:p>
          <w:p w14:paraId="269F14D8">
            <w:pPr>
              <w:spacing w:line="200" w:lineRule="exact"/>
            </w:pPr>
            <w:r>
              <w:rPr>
                <w:rFonts w:ascii="方正黑体_GBK" w:hAnsi="方正黑体_GBK" w:eastAsia="方正黑体_GBK" w:cs="宋体"/>
                <w:b/>
                <w:sz w:val="18"/>
                <w:szCs w:val="18"/>
              </w:rPr>
              <w:t>Q1份额：固定管理费年化0.2%</w:t>
            </w:r>
          </w:p>
          <w:p w14:paraId="480A2F41">
            <w:pPr>
              <w:spacing w:line="200" w:lineRule="exact"/>
            </w:pPr>
            <w:r>
              <w:rPr>
                <w:rFonts w:ascii="方正黑体_GBK" w:hAnsi="方正黑体_GBK" w:eastAsia="方正黑体_GBK" w:cs="宋体"/>
                <w:b/>
                <w:sz w:val="18"/>
                <w:szCs w:val="18"/>
              </w:rPr>
              <w:t>R1份额：固定管理费年化0.15%</w:t>
            </w:r>
          </w:p>
          <w:p w14:paraId="2C1CF873">
            <w:pPr>
              <w:spacing w:line="200" w:lineRule="exact"/>
            </w:pPr>
            <w:r>
              <w:rPr>
                <w:rFonts w:ascii="方正黑体_GBK" w:hAnsi="方正黑体_GBK" w:eastAsia="方正黑体_GBK" w:cs="宋体"/>
                <w:b/>
                <w:sz w:val="18"/>
                <w:szCs w:val="18"/>
              </w:rPr>
              <w:t>Q2份额：固定管理费年化0.2%</w:t>
            </w:r>
          </w:p>
          <w:p w14:paraId="22990B69">
            <w:pPr>
              <w:spacing w:line="200" w:lineRule="exact"/>
            </w:pPr>
            <w:r>
              <w:rPr>
                <w:rFonts w:ascii="方正黑体_GBK" w:hAnsi="方正黑体_GBK" w:eastAsia="方正黑体_GBK" w:cs="宋体"/>
                <w:b/>
                <w:sz w:val="18"/>
                <w:szCs w:val="18"/>
              </w:rPr>
              <w:t>R2份额：固定管理费年化0.15%</w:t>
            </w:r>
          </w:p>
          <w:p w14:paraId="6D2F843A">
            <w:pPr>
              <w:spacing w:line="200" w:lineRule="exact"/>
            </w:pPr>
            <w:r>
              <w:rPr>
                <w:rFonts w:ascii="方正黑体_GBK" w:hAnsi="方正黑体_GBK" w:eastAsia="方正黑体_GBK" w:cs="宋体"/>
                <w:b/>
                <w:sz w:val="18"/>
                <w:szCs w:val="18"/>
              </w:rPr>
              <w:t>Q3份额：固定管理费年化0.2%</w:t>
            </w:r>
          </w:p>
          <w:p w14:paraId="5C93A4BC">
            <w:pPr>
              <w:spacing w:line="200" w:lineRule="exact"/>
            </w:pPr>
            <w:r>
              <w:rPr>
                <w:rFonts w:ascii="方正黑体_GBK" w:hAnsi="方正黑体_GBK" w:eastAsia="方正黑体_GBK" w:cs="宋体"/>
                <w:b/>
                <w:sz w:val="18"/>
                <w:szCs w:val="18"/>
              </w:rPr>
              <w:t>R3份额：固定管理费年化0.15%</w:t>
            </w:r>
          </w:p>
          <w:p w14:paraId="7E837410">
            <w:pPr>
              <w:spacing w:line="200" w:lineRule="exact"/>
            </w:pPr>
            <w:r>
              <w:rPr>
                <w:rFonts w:ascii="方正黑体_GBK" w:hAnsi="方正黑体_GBK" w:eastAsia="方正黑体_GBK" w:cs="宋体"/>
                <w:b/>
                <w:sz w:val="18"/>
                <w:szCs w:val="18"/>
              </w:rPr>
              <w:t>B1份额：固定管理费年化0.2%</w:t>
            </w:r>
          </w:p>
          <w:p w14:paraId="7F6473E2">
            <w:pPr>
              <w:spacing w:line="200" w:lineRule="exact"/>
            </w:pPr>
            <w:r>
              <w:rPr>
                <w:rFonts w:ascii="方正黑体_GBK" w:hAnsi="方正黑体_GBK" w:eastAsia="方正黑体_GBK" w:cs="宋体"/>
                <w:b/>
                <w:sz w:val="18"/>
                <w:szCs w:val="18"/>
              </w:rPr>
              <w:t>C1份额：固定管理费年化0.2%</w:t>
            </w:r>
          </w:p>
          <w:p w14:paraId="635C3E8A">
            <w:pPr>
              <w:spacing w:line="200" w:lineRule="exact"/>
            </w:pPr>
            <w:r>
              <w:rPr>
                <w:rFonts w:ascii="方正黑体_GBK" w:hAnsi="方正黑体_GBK" w:eastAsia="方正黑体_GBK" w:cs="宋体"/>
                <w:b/>
                <w:sz w:val="18"/>
                <w:szCs w:val="18"/>
              </w:rPr>
              <w:t>D1份额：固定管理费年化0.15%</w:t>
            </w:r>
          </w:p>
          <w:p w14:paraId="6FBDB51E">
            <w:pPr>
              <w:spacing w:line="200" w:lineRule="exact"/>
            </w:pPr>
            <w:r>
              <w:rPr>
                <w:rFonts w:ascii="方正黑体_GBK" w:hAnsi="方正黑体_GBK" w:eastAsia="方正黑体_GBK" w:cs="宋体"/>
                <w:b/>
                <w:sz w:val="18"/>
                <w:szCs w:val="18"/>
              </w:rPr>
              <w:t>E1份额：固定管理费年化0.15%</w:t>
            </w:r>
          </w:p>
          <w:p w14:paraId="700C7EA9">
            <w:pPr>
              <w:spacing w:line="200" w:lineRule="exact"/>
            </w:pPr>
            <w:r>
              <w:rPr>
                <w:rFonts w:ascii="方正黑体_GBK" w:hAnsi="方正黑体_GBK" w:eastAsia="方正黑体_GBK" w:cs="宋体"/>
                <w:b/>
                <w:sz w:val="18"/>
                <w:szCs w:val="18"/>
              </w:rPr>
              <w:t>F1份额：固定管理费年化0.15%</w:t>
            </w:r>
          </w:p>
          <w:p w14:paraId="494051AC">
            <w:pPr>
              <w:spacing w:line="200" w:lineRule="exact"/>
            </w:pPr>
            <w:r>
              <w:rPr>
                <w:rFonts w:ascii="方正黑体_GBK" w:hAnsi="方正黑体_GBK" w:eastAsia="方正黑体_GBK" w:cs="宋体"/>
                <w:b/>
                <w:sz w:val="18"/>
                <w:szCs w:val="18"/>
              </w:rPr>
              <w:t>G1份额：固定管理费年化0.15%</w:t>
            </w:r>
          </w:p>
          <w:p w14:paraId="49B0F513">
            <w:pPr>
              <w:spacing w:line="200" w:lineRule="exact"/>
            </w:pPr>
            <w:r>
              <w:rPr>
                <w:rFonts w:ascii="方正黑体_GBK" w:hAnsi="方正黑体_GBK" w:eastAsia="方正黑体_GBK" w:cs="宋体"/>
                <w:b/>
                <w:sz w:val="18"/>
                <w:szCs w:val="18"/>
              </w:rPr>
              <w:t>H1份额：固定管理费年化0.1%</w:t>
            </w:r>
          </w:p>
          <w:p w14:paraId="16ABD80E">
            <w:pPr>
              <w:spacing w:line="200" w:lineRule="exact"/>
            </w:pPr>
            <w:r>
              <w:rPr>
                <w:rFonts w:ascii="方正黑体_GBK" w:hAnsi="方正黑体_GBK" w:eastAsia="方正黑体_GBK" w:cs="宋体"/>
                <w:b/>
                <w:sz w:val="18"/>
                <w:szCs w:val="18"/>
              </w:rPr>
              <w:t>J1份额：固定管理费年化0.1%</w:t>
            </w:r>
          </w:p>
          <w:p w14:paraId="7B3ACA81">
            <w:pPr>
              <w:spacing w:line="200" w:lineRule="exact"/>
            </w:pPr>
            <w:r>
              <w:rPr>
                <w:rFonts w:ascii="方正黑体_GBK" w:hAnsi="方正黑体_GBK" w:eastAsia="方正黑体_GBK" w:cs="宋体"/>
                <w:b/>
                <w:sz w:val="18"/>
                <w:szCs w:val="18"/>
              </w:rPr>
              <w:t>K1份额：固定管理费年化0.1%</w:t>
            </w:r>
          </w:p>
          <w:p w14:paraId="20706974">
            <w:pPr>
              <w:spacing w:line="200" w:lineRule="exact"/>
            </w:pPr>
            <w:r>
              <w:rPr>
                <w:rFonts w:ascii="方正黑体_GBK" w:hAnsi="方正黑体_GBK" w:eastAsia="方正黑体_GBK" w:cs="宋体"/>
                <w:b/>
                <w:sz w:val="18"/>
                <w:szCs w:val="18"/>
              </w:rPr>
              <w:t>L1份额：固定管理费年化0.1%</w:t>
            </w:r>
          </w:p>
          <w:p w14:paraId="17017DA9">
            <w:pPr>
              <w:spacing w:line="200" w:lineRule="exact"/>
            </w:pPr>
            <w:r>
              <w:rPr>
                <w:rFonts w:ascii="方正黑体_GBK" w:hAnsi="方正黑体_GBK" w:eastAsia="方正黑体_GBK" w:cs="宋体"/>
                <w:b/>
                <w:sz w:val="18"/>
                <w:szCs w:val="18"/>
              </w:rPr>
              <w:t>M1份额：固定管理费年化0.2%</w:t>
            </w:r>
          </w:p>
          <w:p w14:paraId="4C17CF3F">
            <w:pPr>
              <w:spacing w:line="200" w:lineRule="exact"/>
            </w:pPr>
            <w:r>
              <w:rPr>
                <w:rFonts w:ascii="方正黑体_GBK" w:hAnsi="方正黑体_GBK" w:eastAsia="方正黑体_GBK" w:cs="宋体"/>
                <w:b/>
                <w:sz w:val="18"/>
                <w:szCs w:val="18"/>
              </w:rPr>
              <w:t>N1份额：固定管理费年化0.1%</w:t>
            </w:r>
          </w:p>
          <w:p w14:paraId="273EBD93">
            <w:pPr>
              <w:spacing w:line="200" w:lineRule="exact"/>
            </w:pPr>
            <w:r>
              <w:rPr>
                <w:rFonts w:ascii="方正黑体_GBK" w:hAnsi="方正黑体_GBK" w:eastAsia="方正黑体_GBK" w:cs="宋体"/>
                <w:b/>
                <w:sz w:val="18"/>
                <w:szCs w:val="18"/>
              </w:rPr>
              <w:t>O1份额：固定管理费年化0.1%</w:t>
            </w:r>
          </w:p>
          <w:p w14:paraId="302A9D9A">
            <w:pPr>
              <w:spacing w:line="200" w:lineRule="exact"/>
            </w:pPr>
            <w:r>
              <w:rPr>
                <w:rFonts w:ascii="方正黑体_GBK" w:hAnsi="方正黑体_GBK" w:eastAsia="方正黑体_GBK" w:cs="宋体"/>
                <w:b/>
                <w:sz w:val="18"/>
                <w:szCs w:val="18"/>
              </w:rPr>
              <w:t>S1份额：固定管理费年化0.15%</w:t>
            </w:r>
          </w:p>
          <w:p w14:paraId="6E870BEA">
            <w:pPr>
              <w:spacing w:line="200" w:lineRule="exact"/>
            </w:pPr>
            <w:r>
              <w:rPr>
                <w:rFonts w:ascii="方正黑体_GBK" w:hAnsi="方正黑体_GBK" w:eastAsia="方正黑体_GBK" w:cs="宋体"/>
                <w:b/>
                <w:sz w:val="18"/>
                <w:szCs w:val="18"/>
              </w:rPr>
              <w:t>S2份额：固定管理费年化0.15%</w:t>
            </w:r>
          </w:p>
          <w:p w14:paraId="61FAB74C">
            <w:pPr>
              <w:spacing w:line="200" w:lineRule="exact"/>
            </w:pPr>
            <w:r>
              <w:rPr>
                <w:rFonts w:ascii="方正黑体_GBK" w:hAnsi="方正黑体_GBK" w:eastAsia="方正黑体_GBK" w:cs="宋体"/>
                <w:b/>
                <w:sz w:val="18"/>
                <w:szCs w:val="18"/>
              </w:rPr>
              <w:t>S3份额：固定管理费年化0.15%</w:t>
            </w:r>
          </w:p>
          <w:p w14:paraId="0AC62A33">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7AC1418E">
            <w:pPr>
              <w:spacing w:line="200" w:lineRule="exact"/>
            </w:pPr>
            <w:r>
              <w:rPr>
                <w:rFonts w:ascii="方正黑体_GBK" w:hAnsi="方正黑体_GBK" w:eastAsia="方正黑体_GBK" w:cs="宋体"/>
                <w:b/>
                <w:sz w:val="18"/>
                <w:szCs w:val="18"/>
              </w:rPr>
              <w:t>托管费：</w:t>
            </w:r>
          </w:p>
          <w:p w14:paraId="226F92C0">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693E030D">
            <w:pPr>
              <w:spacing w:line="200" w:lineRule="exact"/>
            </w:pPr>
            <w:r>
              <w:rPr>
                <w:rFonts w:ascii="方正黑体_GBK" w:hAnsi="方正黑体_GBK" w:eastAsia="方正黑体_GBK" w:cs="宋体"/>
                <w:b/>
                <w:sz w:val="18"/>
                <w:szCs w:val="18"/>
              </w:rPr>
              <w:t>每日计提的托管费=前一日理财产品资产净值×年化托管费率÷365</w:t>
            </w:r>
          </w:p>
          <w:p w14:paraId="0BFC2E61">
            <w:pPr>
              <w:spacing w:line="200" w:lineRule="exact"/>
            </w:pPr>
            <w:r>
              <w:rPr>
                <w:rFonts w:ascii="方正黑体_GBK" w:hAnsi="方正黑体_GBK" w:eastAsia="方正黑体_GBK" w:cs="宋体"/>
                <w:b/>
                <w:sz w:val="18"/>
                <w:szCs w:val="18"/>
              </w:rPr>
              <w:t>业绩报酬：</w:t>
            </w:r>
          </w:p>
          <w:p w14:paraId="799E78ED">
            <w:pPr>
              <w:spacing w:line="200" w:lineRule="exact"/>
            </w:pPr>
            <w:r>
              <w:rPr>
                <w:rFonts w:ascii="方正黑体_GBK" w:hAnsi="方正黑体_GBK" w:eastAsia="方正黑体_GBK" w:cs="宋体"/>
                <w:b/>
                <w:sz w:val="18"/>
                <w:szCs w:val="18"/>
              </w:rPr>
              <w:t>A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22EF596A">
            <w:pPr>
              <w:spacing w:line="200" w:lineRule="exact"/>
            </w:pPr>
            <w:r>
              <w:rPr>
                <w:rFonts w:ascii="方正黑体_GBK" w:hAnsi="方正黑体_GBK" w:eastAsia="方正黑体_GBK" w:cs="宋体"/>
                <w:b/>
                <w:sz w:val="18"/>
                <w:szCs w:val="18"/>
              </w:rPr>
              <w:t>C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0A28201A">
            <w:pPr>
              <w:spacing w:line="200" w:lineRule="exact"/>
            </w:pPr>
            <w:r>
              <w:rPr>
                <w:rFonts w:ascii="方正黑体_GBK" w:hAnsi="方正黑体_GBK" w:eastAsia="方正黑体_GBK" w:cs="宋体"/>
                <w:b/>
                <w:sz w:val="18"/>
                <w:szCs w:val="18"/>
              </w:rPr>
              <w:t>E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1384BF95">
            <w:pPr>
              <w:spacing w:line="200" w:lineRule="exact"/>
            </w:pPr>
            <w:r>
              <w:rPr>
                <w:rFonts w:ascii="方正黑体_GBK" w:hAnsi="方正黑体_GBK" w:eastAsia="方正黑体_GBK" w:cs="宋体"/>
                <w:b/>
                <w:sz w:val="18"/>
                <w:szCs w:val="18"/>
              </w:rPr>
              <w:t>B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044B3935">
            <w:pPr>
              <w:spacing w:line="200" w:lineRule="exact"/>
            </w:pPr>
            <w:r>
              <w:rPr>
                <w:rFonts w:ascii="方正黑体_GBK" w:hAnsi="方正黑体_GBK" w:eastAsia="方正黑体_GBK" w:cs="宋体"/>
                <w:b/>
                <w:sz w:val="18"/>
                <w:szCs w:val="18"/>
              </w:rPr>
              <w:t>C2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51CD32CC">
            <w:pPr>
              <w:spacing w:line="200" w:lineRule="exact"/>
            </w:pPr>
            <w:r>
              <w:rPr>
                <w:rFonts w:ascii="方正黑体_GBK" w:hAnsi="方正黑体_GBK" w:eastAsia="方正黑体_GBK" w:cs="宋体"/>
                <w:b/>
                <w:sz w:val="18"/>
                <w:szCs w:val="18"/>
              </w:rPr>
              <w:t>D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555500A7">
            <w:pPr>
              <w:spacing w:line="200" w:lineRule="exact"/>
            </w:pPr>
            <w:r>
              <w:rPr>
                <w:rFonts w:ascii="方正黑体_GBK" w:hAnsi="方正黑体_GBK" w:eastAsia="方正黑体_GBK" w:cs="宋体"/>
                <w:b/>
                <w:sz w:val="18"/>
                <w:szCs w:val="18"/>
              </w:rPr>
              <w:t>E2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4D2E6124">
            <w:pPr>
              <w:spacing w:line="200" w:lineRule="exact"/>
            </w:pPr>
            <w:r>
              <w:rPr>
                <w:rFonts w:ascii="方正黑体_GBK" w:hAnsi="方正黑体_GBK" w:eastAsia="方正黑体_GBK" w:cs="宋体"/>
                <w:b/>
                <w:sz w:val="18"/>
                <w:szCs w:val="18"/>
              </w:rPr>
              <w:t>B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1207E361">
            <w:pPr>
              <w:spacing w:line="200" w:lineRule="exact"/>
            </w:pPr>
            <w:r>
              <w:rPr>
                <w:rFonts w:ascii="方正黑体_GBK" w:hAnsi="方正黑体_GBK" w:eastAsia="方正黑体_GBK" w:cs="宋体"/>
                <w:b/>
                <w:sz w:val="18"/>
                <w:szCs w:val="18"/>
              </w:rPr>
              <w:t>C3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3406070C">
            <w:pPr>
              <w:spacing w:line="200" w:lineRule="exact"/>
            </w:pPr>
            <w:r>
              <w:rPr>
                <w:rFonts w:ascii="方正黑体_GBK" w:hAnsi="方正黑体_GBK" w:eastAsia="方正黑体_GBK" w:cs="宋体"/>
                <w:b/>
                <w:sz w:val="18"/>
                <w:szCs w:val="18"/>
              </w:rPr>
              <w:t>D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579A957F">
            <w:pPr>
              <w:spacing w:line="200" w:lineRule="exact"/>
            </w:pPr>
            <w:r>
              <w:rPr>
                <w:rFonts w:ascii="方正黑体_GBK" w:hAnsi="方正黑体_GBK" w:eastAsia="方正黑体_GBK" w:cs="宋体"/>
                <w:b/>
                <w:sz w:val="18"/>
                <w:szCs w:val="18"/>
              </w:rPr>
              <w:t>E3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41E71893">
            <w:pPr>
              <w:spacing w:line="200" w:lineRule="exact"/>
            </w:pPr>
            <w:r>
              <w:rPr>
                <w:rFonts w:ascii="方正黑体_GBK" w:hAnsi="方正黑体_GBK" w:eastAsia="方正黑体_GBK" w:cs="宋体"/>
                <w:b/>
                <w:sz w:val="18"/>
                <w:szCs w:val="18"/>
              </w:rPr>
              <w:t>F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554094C3">
            <w:pPr>
              <w:spacing w:line="200" w:lineRule="exact"/>
            </w:pPr>
            <w:r>
              <w:rPr>
                <w:rFonts w:ascii="方正黑体_GBK" w:hAnsi="方正黑体_GBK" w:eastAsia="方正黑体_GBK" w:cs="宋体"/>
                <w:b/>
                <w:sz w:val="18"/>
                <w:szCs w:val="18"/>
              </w:rPr>
              <w:t>F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18F2ED67">
            <w:pPr>
              <w:spacing w:line="200" w:lineRule="exact"/>
            </w:pPr>
            <w:r>
              <w:rPr>
                <w:rFonts w:ascii="方正黑体_GBK" w:hAnsi="方正黑体_GBK" w:eastAsia="方正黑体_GBK" w:cs="宋体"/>
                <w:b/>
                <w:sz w:val="18"/>
                <w:szCs w:val="18"/>
              </w:rPr>
              <w:t>G2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19591090">
            <w:pPr>
              <w:spacing w:line="200" w:lineRule="exact"/>
            </w:pPr>
            <w:r>
              <w:rPr>
                <w:rFonts w:ascii="方正黑体_GBK" w:hAnsi="方正黑体_GBK" w:eastAsia="方正黑体_GBK" w:cs="宋体"/>
                <w:b/>
                <w:sz w:val="18"/>
                <w:szCs w:val="18"/>
              </w:rPr>
              <w:t>G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7968BC71">
            <w:pPr>
              <w:spacing w:line="200" w:lineRule="exact"/>
            </w:pPr>
            <w:r>
              <w:rPr>
                <w:rFonts w:ascii="方正黑体_GBK" w:hAnsi="方正黑体_GBK" w:eastAsia="方正黑体_GBK" w:cs="宋体"/>
                <w:b/>
                <w:sz w:val="18"/>
                <w:szCs w:val="18"/>
              </w:rPr>
              <w:t>J2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759DC680">
            <w:pPr>
              <w:spacing w:line="200" w:lineRule="exact"/>
            </w:pPr>
            <w:r>
              <w:rPr>
                <w:rFonts w:ascii="方正黑体_GBK" w:hAnsi="方正黑体_GBK" w:eastAsia="方正黑体_GBK" w:cs="宋体"/>
                <w:b/>
                <w:sz w:val="18"/>
                <w:szCs w:val="18"/>
              </w:rPr>
              <w:t>K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25C13FC8">
            <w:pPr>
              <w:spacing w:line="200" w:lineRule="exact"/>
            </w:pPr>
            <w:r>
              <w:rPr>
                <w:rFonts w:ascii="方正黑体_GBK" w:hAnsi="方正黑体_GBK" w:eastAsia="方正黑体_GBK" w:cs="宋体"/>
                <w:b/>
                <w:sz w:val="18"/>
                <w:szCs w:val="18"/>
              </w:rPr>
              <w:t>L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79DB2553">
            <w:pPr>
              <w:spacing w:line="200" w:lineRule="exact"/>
            </w:pPr>
            <w:r>
              <w:rPr>
                <w:rFonts w:ascii="方正黑体_GBK" w:hAnsi="方正黑体_GBK" w:eastAsia="方正黑体_GBK" w:cs="宋体"/>
                <w:b/>
                <w:sz w:val="18"/>
                <w:szCs w:val="18"/>
              </w:rPr>
              <w:t>J3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6E2127A2">
            <w:pPr>
              <w:spacing w:line="200" w:lineRule="exact"/>
            </w:pPr>
            <w:r>
              <w:rPr>
                <w:rFonts w:ascii="方正黑体_GBK" w:hAnsi="方正黑体_GBK" w:eastAsia="方正黑体_GBK" w:cs="宋体"/>
                <w:b/>
                <w:sz w:val="18"/>
                <w:szCs w:val="18"/>
              </w:rPr>
              <w:t>K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231EAC25">
            <w:pPr>
              <w:spacing w:line="200" w:lineRule="exact"/>
            </w:pPr>
            <w:r>
              <w:rPr>
                <w:rFonts w:ascii="方正黑体_GBK" w:hAnsi="方正黑体_GBK" w:eastAsia="方正黑体_GBK" w:cs="宋体"/>
                <w:b/>
                <w:sz w:val="18"/>
                <w:szCs w:val="18"/>
              </w:rPr>
              <w:t>L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30D5807D">
            <w:pPr>
              <w:spacing w:line="200" w:lineRule="exact"/>
            </w:pPr>
            <w:r>
              <w:rPr>
                <w:rFonts w:ascii="方正黑体_GBK" w:hAnsi="方正黑体_GBK" w:eastAsia="方正黑体_GBK" w:cs="宋体"/>
                <w:b/>
                <w:sz w:val="18"/>
                <w:szCs w:val="18"/>
              </w:rPr>
              <w:t>M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084FF745">
            <w:pPr>
              <w:spacing w:line="200" w:lineRule="exact"/>
            </w:pPr>
            <w:r>
              <w:rPr>
                <w:rFonts w:ascii="方正黑体_GBK" w:hAnsi="方正黑体_GBK" w:eastAsia="方正黑体_GBK" w:cs="宋体"/>
                <w:b/>
                <w:sz w:val="18"/>
                <w:szCs w:val="18"/>
              </w:rPr>
              <w:t>M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47647E5E">
            <w:pPr>
              <w:spacing w:line="200" w:lineRule="exact"/>
            </w:pPr>
            <w:r>
              <w:rPr>
                <w:rFonts w:ascii="方正黑体_GBK" w:hAnsi="方正黑体_GBK" w:eastAsia="方正黑体_GBK" w:cs="宋体"/>
                <w:b/>
                <w:sz w:val="18"/>
                <w:szCs w:val="18"/>
              </w:rPr>
              <w:t>O2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237B2172">
            <w:pPr>
              <w:spacing w:line="200" w:lineRule="exact"/>
            </w:pPr>
            <w:r>
              <w:rPr>
                <w:rFonts w:ascii="方正黑体_GBK" w:hAnsi="方正黑体_GBK" w:eastAsia="方正黑体_GBK" w:cs="宋体"/>
                <w:b/>
                <w:sz w:val="18"/>
                <w:szCs w:val="18"/>
              </w:rPr>
              <w:t>O3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131DBD8F">
            <w:pPr>
              <w:spacing w:line="200" w:lineRule="exact"/>
            </w:pPr>
            <w:r>
              <w:rPr>
                <w:rFonts w:ascii="方正黑体_GBK" w:hAnsi="方正黑体_GBK" w:eastAsia="方正黑体_GBK" w:cs="宋体"/>
                <w:b/>
                <w:sz w:val="18"/>
                <w:szCs w:val="18"/>
              </w:rPr>
              <w:t>Q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03C64E63">
            <w:pPr>
              <w:spacing w:line="200" w:lineRule="exact"/>
            </w:pPr>
            <w:r>
              <w:rPr>
                <w:rFonts w:ascii="方正黑体_GBK" w:hAnsi="方正黑体_GBK" w:eastAsia="方正黑体_GBK" w:cs="宋体"/>
                <w:b/>
                <w:sz w:val="18"/>
                <w:szCs w:val="18"/>
              </w:rPr>
              <w:t>R1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4DA090E6">
            <w:pPr>
              <w:spacing w:line="200" w:lineRule="exact"/>
            </w:pPr>
            <w:r>
              <w:rPr>
                <w:rFonts w:ascii="方正黑体_GBK" w:hAnsi="方正黑体_GBK" w:eastAsia="方正黑体_GBK" w:cs="宋体"/>
                <w:b/>
                <w:sz w:val="18"/>
                <w:szCs w:val="18"/>
              </w:rPr>
              <w:t>Q2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4D75FF88">
            <w:pPr>
              <w:spacing w:line="200" w:lineRule="exact"/>
            </w:pPr>
            <w:r>
              <w:rPr>
                <w:rFonts w:ascii="方正黑体_GBK" w:hAnsi="方正黑体_GBK" w:eastAsia="方正黑体_GBK" w:cs="宋体"/>
                <w:b/>
                <w:sz w:val="18"/>
                <w:szCs w:val="18"/>
              </w:rPr>
              <w:t>R2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3F06EF31">
            <w:pPr>
              <w:spacing w:line="200" w:lineRule="exact"/>
            </w:pPr>
            <w:r>
              <w:rPr>
                <w:rFonts w:ascii="方正黑体_GBK" w:hAnsi="方正黑体_GBK" w:eastAsia="方正黑体_GBK" w:cs="宋体"/>
                <w:b/>
                <w:sz w:val="18"/>
                <w:szCs w:val="18"/>
              </w:rPr>
              <w:t>Q3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551F49A1">
            <w:pPr>
              <w:spacing w:line="200" w:lineRule="exact"/>
            </w:pPr>
            <w:r>
              <w:rPr>
                <w:rFonts w:ascii="方正黑体_GBK" w:hAnsi="方正黑体_GBK" w:eastAsia="方正黑体_GBK" w:cs="宋体"/>
                <w:b/>
                <w:sz w:val="18"/>
                <w:szCs w:val="18"/>
              </w:rPr>
              <w:t>R3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0172270B">
            <w:pPr>
              <w:spacing w:line="200" w:lineRule="exact"/>
            </w:pPr>
            <w:r>
              <w:rPr>
                <w:rFonts w:ascii="方正黑体_GBK" w:hAnsi="方正黑体_GBK" w:eastAsia="方正黑体_GBK" w:cs="宋体"/>
                <w:b/>
                <w:sz w:val="18"/>
                <w:szCs w:val="18"/>
              </w:rPr>
              <w:t>B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1E5DD853">
            <w:pPr>
              <w:spacing w:line="200" w:lineRule="exact"/>
            </w:pPr>
            <w:r>
              <w:rPr>
                <w:rFonts w:ascii="方正黑体_GBK" w:hAnsi="方正黑体_GBK" w:eastAsia="方正黑体_GBK" w:cs="宋体"/>
                <w:b/>
                <w:sz w:val="18"/>
                <w:szCs w:val="18"/>
              </w:rPr>
              <w:t>C1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695F17E1">
            <w:pPr>
              <w:spacing w:line="200" w:lineRule="exact"/>
            </w:pPr>
            <w:r>
              <w:rPr>
                <w:rFonts w:ascii="方正黑体_GBK" w:hAnsi="方正黑体_GBK" w:eastAsia="方正黑体_GBK" w:cs="宋体"/>
                <w:b/>
                <w:sz w:val="18"/>
                <w:szCs w:val="18"/>
              </w:rPr>
              <w:t>D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75122F69">
            <w:pPr>
              <w:spacing w:line="200" w:lineRule="exact"/>
            </w:pPr>
            <w:r>
              <w:rPr>
                <w:rFonts w:ascii="方正黑体_GBK" w:hAnsi="方正黑体_GBK" w:eastAsia="方正黑体_GBK" w:cs="宋体"/>
                <w:b/>
                <w:sz w:val="18"/>
                <w:szCs w:val="18"/>
              </w:rPr>
              <w:t>E1份额：申购/赎回确认日和产品实际到期时，当期产品投资的实际资产组合收益（扣除销售费、固定管理费、托管费等相关费用）超过2.725%（年化，即产品该份额对应的业绩报酬计提基准）时，超过部分管理人将按60%收取业绩报酬。</w:t>
            </w:r>
          </w:p>
          <w:p w14:paraId="1B344088">
            <w:pPr>
              <w:spacing w:line="200" w:lineRule="exact"/>
            </w:pPr>
            <w:r>
              <w:rPr>
                <w:rFonts w:ascii="方正黑体_GBK" w:hAnsi="方正黑体_GBK" w:eastAsia="方正黑体_GBK" w:cs="宋体"/>
                <w:b/>
                <w:sz w:val="18"/>
                <w:szCs w:val="18"/>
              </w:rPr>
              <w:t>F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24BDA6ED">
            <w:pPr>
              <w:spacing w:line="200" w:lineRule="exact"/>
            </w:pPr>
            <w:r>
              <w:rPr>
                <w:rFonts w:ascii="方正黑体_GBK" w:hAnsi="方正黑体_GBK" w:eastAsia="方正黑体_GBK" w:cs="宋体"/>
                <w:b/>
                <w:sz w:val="18"/>
                <w:szCs w:val="18"/>
              </w:rPr>
              <w:t>G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4E6CD392">
            <w:pPr>
              <w:spacing w:line="200" w:lineRule="exact"/>
            </w:pPr>
            <w:r>
              <w:rPr>
                <w:rFonts w:ascii="方正黑体_GBK" w:hAnsi="方正黑体_GBK" w:eastAsia="方正黑体_GBK" w:cs="宋体"/>
                <w:b/>
                <w:sz w:val="18"/>
                <w:szCs w:val="18"/>
              </w:rPr>
              <w:t>H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41716D5C">
            <w:pPr>
              <w:spacing w:line="200" w:lineRule="exact"/>
            </w:pPr>
            <w:r>
              <w:rPr>
                <w:rFonts w:ascii="方正黑体_GBK" w:hAnsi="方正黑体_GBK" w:eastAsia="方正黑体_GBK" w:cs="宋体"/>
                <w:b/>
                <w:sz w:val="18"/>
                <w:szCs w:val="18"/>
              </w:rPr>
              <w:t>J1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312EB11A">
            <w:pPr>
              <w:spacing w:line="200" w:lineRule="exact"/>
            </w:pPr>
            <w:r>
              <w:rPr>
                <w:rFonts w:ascii="方正黑体_GBK" w:hAnsi="方正黑体_GBK" w:eastAsia="方正黑体_GBK" w:cs="宋体"/>
                <w:b/>
                <w:sz w:val="18"/>
                <w:szCs w:val="18"/>
              </w:rPr>
              <w:t>K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226324D9">
            <w:pPr>
              <w:spacing w:line="200" w:lineRule="exact"/>
            </w:pPr>
            <w:r>
              <w:rPr>
                <w:rFonts w:ascii="方正黑体_GBK" w:hAnsi="方正黑体_GBK" w:eastAsia="方正黑体_GBK" w:cs="宋体"/>
                <w:b/>
                <w:sz w:val="18"/>
                <w:szCs w:val="18"/>
              </w:rPr>
              <w:t>L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490A8076">
            <w:pPr>
              <w:spacing w:line="200" w:lineRule="exact"/>
            </w:pPr>
            <w:r>
              <w:rPr>
                <w:rFonts w:ascii="方正黑体_GBK" w:hAnsi="方正黑体_GBK" w:eastAsia="方正黑体_GBK" w:cs="宋体"/>
                <w:b/>
                <w:sz w:val="18"/>
                <w:szCs w:val="18"/>
              </w:rPr>
              <w:t>M1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7484CFBE">
            <w:pPr>
              <w:spacing w:line="200" w:lineRule="exact"/>
            </w:pPr>
            <w:r>
              <w:rPr>
                <w:rFonts w:ascii="方正黑体_GBK" w:hAnsi="方正黑体_GBK" w:eastAsia="方正黑体_GBK" w:cs="宋体"/>
                <w:b/>
                <w:sz w:val="18"/>
                <w:szCs w:val="18"/>
              </w:rPr>
              <w:t>N1份额：申购/赎回确认日和产品实际到期时，当期产品投资的实际资产组合收益（扣除销售费、固定管理费、托管费等相关费用）超过2.775%（年化，即产品该份额对应的业绩报酬计提基准）时，超过部分管理人将按60%收取业绩报酬。</w:t>
            </w:r>
          </w:p>
          <w:p w14:paraId="19DE1DC2">
            <w:pPr>
              <w:spacing w:line="200" w:lineRule="exact"/>
            </w:pPr>
            <w:r>
              <w:rPr>
                <w:rFonts w:ascii="方正黑体_GBK" w:hAnsi="方正黑体_GBK" w:eastAsia="方正黑体_GBK" w:cs="宋体"/>
                <w:b/>
                <w:sz w:val="18"/>
                <w:szCs w:val="18"/>
              </w:rPr>
              <w:t>O1份额：申购/赎回确认日和产品实际到期时，当期产品投资的实际资产组合收益（扣除销售费、固定管理费、托管费等相关费用）超过2.625%（年化，即产品该份额对应的业绩报酬计提基准）时，超过部分管理人将按60%收取业绩报酬。</w:t>
            </w:r>
          </w:p>
          <w:p w14:paraId="721A90C8">
            <w:pPr>
              <w:spacing w:line="200" w:lineRule="exact"/>
            </w:pPr>
            <w:r>
              <w:rPr>
                <w:rFonts w:ascii="方正黑体_GBK" w:hAnsi="方正黑体_GBK" w:eastAsia="方正黑体_GBK" w:cs="宋体"/>
                <w:b/>
                <w:sz w:val="18"/>
                <w:szCs w:val="18"/>
              </w:rPr>
              <w:t>S1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103EF9D7">
            <w:pPr>
              <w:spacing w:line="200" w:lineRule="exact"/>
            </w:pPr>
            <w:r>
              <w:rPr>
                <w:rFonts w:ascii="方正黑体_GBK" w:hAnsi="方正黑体_GBK" w:eastAsia="方正黑体_GBK" w:cs="宋体"/>
                <w:b/>
                <w:sz w:val="18"/>
                <w:szCs w:val="18"/>
              </w:rPr>
              <w:t>S2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1065688C">
            <w:pPr>
              <w:spacing w:line="200" w:lineRule="exact"/>
            </w:pPr>
            <w:r>
              <w:rPr>
                <w:rFonts w:ascii="方正黑体_GBK" w:hAnsi="方正黑体_GBK" w:eastAsia="方正黑体_GBK" w:cs="宋体"/>
                <w:b/>
                <w:sz w:val="18"/>
                <w:szCs w:val="18"/>
              </w:rPr>
              <w:t>S3份额：申购/赎回确认日和产品实际到期时，当期产品投资的实际资产组合收益（扣除销售费、固定管理费、托管费等相关费用）超过2.675%（年化，即产品该份额对应的业绩报酬计提基准）时，超过部分管理人将按60%收取业绩报酬。</w:t>
            </w:r>
          </w:p>
          <w:p w14:paraId="4FB6CD43">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3F1508ED">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7DF4CD96">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58D7F694">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27162DA0">
            <w:pPr>
              <w:spacing w:line="200" w:lineRule="exact"/>
            </w:pPr>
            <w:r>
              <w:rPr>
                <w:rFonts w:ascii="方正黑体_GBK" w:hAnsi="方正黑体_GBK" w:eastAsia="方正黑体_GBK" w:cs="宋体"/>
                <w:b/>
                <w:sz w:val="18"/>
                <w:szCs w:val="18"/>
              </w:rPr>
              <w:t>计算本区间业绩报酬的公式如下：</w:t>
            </w:r>
          </w:p>
          <w:p w14:paraId="5E097D2B">
            <w:pPr>
              <w:spacing w:line="200" w:lineRule="exact"/>
            </w:pPr>
            <w:r>
              <w:rPr>
                <w:rFonts w:ascii="方正黑体_GBK" w:hAnsi="方正黑体_GBK" w:eastAsia="方正黑体_GBK" w:cs="宋体"/>
                <w:b/>
                <w:sz w:val="18"/>
                <w:szCs w:val="18"/>
              </w:rPr>
              <w:t>A={B-C*D*(1+E*F/365)}*G。</w:t>
            </w:r>
          </w:p>
          <w:p w14:paraId="79D49A35">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6793848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3746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16E5391B">
            <w:pPr>
              <w:spacing w:line="200" w:lineRule="exact"/>
              <w:jc w:val="left"/>
            </w:pPr>
            <w:r>
              <w:rPr>
                <w:rFonts w:ascii="方正黑体_GBK" w:hAnsi="方正黑体_GBK" w:eastAsia="方正黑体_GBK" w:cs="宋体"/>
                <w:color w:val="000000"/>
                <w:sz w:val="18"/>
                <w:szCs w:val="18"/>
              </w:rPr>
              <w:t>具体参见本理财产品风险揭示书。</w:t>
            </w:r>
          </w:p>
          <w:p w14:paraId="3BF138F5">
            <w:pPr>
              <w:spacing w:line="200" w:lineRule="exact"/>
              <w:jc w:val="left"/>
            </w:pPr>
            <w:r>
              <w:rPr>
                <w:rFonts w:ascii="方正黑体_GBK" w:hAnsi="方正黑体_GBK" w:eastAsia="方正黑体_GBK"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13BFFC56">
            <w:pPr>
              <w:spacing w:line="200" w:lineRule="exact"/>
              <w:jc w:val="left"/>
            </w:pPr>
            <w:r>
              <w:rPr>
                <w:rFonts w:ascii="方正黑体_GBK" w:hAnsi="方正黑体_GBK" w:eastAsia="方正黑体_GBK" w:cs="宋体"/>
                <w:color w:val="000000"/>
                <w:sz w:val="18"/>
                <w:szCs w:val="18"/>
              </w:rPr>
              <w:t>一是建仓或进行组合调整时，若投资资产包括债券或基金，可能由于特定债券或基金的流动性相对不足而无法按预期的价格买进（申购）或卖出（赎回）；</w:t>
            </w:r>
          </w:p>
          <w:p w14:paraId="082FBCAD">
            <w:pPr>
              <w:spacing w:line="200" w:lineRule="exact"/>
              <w:jc w:val="left"/>
            </w:pPr>
            <w:r>
              <w:rPr>
                <w:rFonts w:ascii="方正黑体_GBK" w:hAnsi="方正黑体_GBK" w:eastAsia="方正黑体_GBK" w:cs="宋体"/>
                <w:color w:val="000000"/>
                <w:sz w:val="18"/>
                <w:szCs w:val="18"/>
              </w:rPr>
              <w:t>二是为应对投资者的赎回，被迫以不适当的价格卖出债券或赎回基金；</w:t>
            </w:r>
          </w:p>
          <w:p w14:paraId="4599E71A">
            <w:pPr>
              <w:spacing w:line="200" w:lineRule="exact"/>
              <w:jc w:val="left"/>
            </w:pPr>
            <w:r>
              <w:rPr>
                <w:rFonts w:ascii="方正黑体_GBK" w:hAnsi="方正黑体_GBK" w:eastAsia="方正黑体_GBK" w:cs="宋体"/>
                <w:color w:val="000000"/>
                <w:sz w:val="18"/>
                <w:szCs w:val="18"/>
              </w:rPr>
              <w:t>三是若投资资产包括非标准化债权类资产，可能由于资产缺少流动性而难以变现。</w:t>
            </w:r>
          </w:p>
          <w:p w14:paraId="3C437092">
            <w:pPr>
              <w:spacing w:line="200" w:lineRule="exact"/>
              <w:jc w:val="left"/>
            </w:pPr>
            <w:r>
              <w:rPr>
                <w:rFonts w:ascii="方正黑体_GBK" w:hAnsi="方正黑体_GBK" w:eastAsia="方正黑体_GBK" w:cs="宋体"/>
                <w:color w:val="000000"/>
                <w:sz w:val="18"/>
                <w:szCs w:val="18"/>
              </w:rPr>
              <w:t>以上情形均可能使产品净值受到不利影响。</w:t>
            </w:r>
          </w:p>
        </w:tc>
      </w:tr>
      <w:tr w14:paraId="2EDC02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F53F8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7F8D307D">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745E284F">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3B574582">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0CB6BA45">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542BDAAA">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4CEE709F">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3B12A4D3">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77269F45">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0142FD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27784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1B758C4C">
            <w:pPr>
              <w:spacing w:line="200" w:lineRule="exact"/>
              <w:jc w:val="left"/>
            </w:pPr>
            <w:r>
              <w:rPr>
                <w:rFonts w:ascii="方正黑体_GBK" w:hAnsi="方正黑体_GBK" w:eastAsia="方正黑体_GBK" w:cs="宋体"/>
                <w:sz w:val="18"/>
                <w:szCs w:val="18"/>
              </w:rPr>
              <w:t>本理财产品销售机构为南银理财有限责任公司、南京银行股份有限公司、兴业银行股份有限公司、齐商银行股份有限公司、嘉兴银行股份有限公司、江苏常熟农村商业银行股份有限公司、江苏苏州农村商业银行股份有限公司、福建海峡银行股份有限公司、秦皇岛银行股份有限公司、齐鲁银行股份有限公司、贵阳银行股份有限公司、深圳前海微众银行股份有限公司、云南红塔银行股份有限公司、中原银行股份有限公司、九江银行股份有限公司、天津农村商业银行股份有限公司、江苏紫金农村商业银行股份有限公司、苏州银行股份有限公司、桂林银行股份有限公司、重庆富民银行股份有限公司、宁波通商银行股份有限公司、日照银行股份有限公司、石嘴山银行股份有限公司、无锡锡商银行股份有限公司、江苏丹阳农村商业银行股份有限公司、江苏宜兴农村商业银行股份有限公司、江苏靖江农村商业银行股份有限公司、江苏新沂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洪泽农村商业银行股份有限公司、江苏镇江农村商业银行股份有限公司、江苏如皋农村商业银行股份有限公司、徐州农村商业银行股份有限公司、江苏丰县农村商业银行股份有限公司、江苏射阳农村商业银行股份有限公司、江苏句容农村商业银行股份有限公司、江苏张家港农村商业银行股份有限公司、江苏江阴农村商业银行股份有限公司、北京中关村银行股份有限公司、廊坊银行股份有限公司、乌鲁木齐银行股份有限公司、河北银行股份有限公司、郑州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成都银行股份有限公司、广发银行股份有限公司、江苏沭阳农村商业银行股份有限公司、江苏海安农村商业银行股份有限公司、江苏海门农村商业银行股份有限公司、成都农村商业银行股份有限公司、江苏睢宁农村商业银行股份有限公司。管理人有权调整本理财产品的销售机构并进行信息披露。</w:t>
            </w:r>
          </w:p>
          <w:p w14:paraId="6FBCA827">
            <w:pPr>
              <w:spacing w:line="200" w:lineRule="exact"/>
              <w:jc w:val="left"/>
            </w:pPr>
            <w:r>
              <w:rPr>
                <w:rFonts w:ascii="方正黑体_GBK" w:hAnsi="方正黑体_GBK" w:eastAsia="方正黑体_GBK" w:cs="宋体"/>
                <w:sz w:val="18"/>
                <w:szCs w:val="18"/>
              </w:rPr>
              <w:t>销售机构主要职责如下：</w:t>
            </w:r>
          </w:p>
          <w:p w14:paraId="4DC2855C">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6EBC9B29">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3172C8BF">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77F2024C">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4B856F12">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364E1BCE">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0229953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0706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3DF98D6">
            <w:pPr>
              <w:spacing w:line="200" w:lineRule="exact"/>
            </w:pPr>
            <w:r>
              <w:rPr>
                <w:rFonts w:ascii="方正黑体_GBK" w:hAnsi="方正黑体_GBK" w:eastAsia="方正黑体_GBK" w:cs="宋体"/>
                <w:sz w:val="18"/>
                <w:szCs w:val="18"/>
              </w:rPr>
              <w:t>本理财产品托管人为南京银行股份有限公司，主要职责如下：</w:t>
            </w:r>
          </w:p>
          <w:p w14:paraId="60CFF81B">
            <w:pPr>
              <w:spacing w:line="200" w:lineRule="exact"/>
            </w:pPr>
            <w:r>
              <w:rPr>
                <w:rFonts w:ascii="方正黑体_GBK" w:hAnsi="方正黑体_GBK" w:eastAsia="方正黑体_GBK" w:cs="宋体"/>
                <w:sz w:val="18"/>
                <w:szCs w:val="18"/>
              </w:rPr>
              <w:t>1.安全保管理财产品财产；</w:t>
            </w:r>
          </w:p>
          <w:p w14:paraId="0BE9E8F2">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2EB2135A">
            <w:pPr>
              <w:spacing w:line="200" w:lineRule="exact"/>
            </w:pPr>
            <w:r>
              <w:rPr>
                <w:rFonts w:ascii="方正黑体_GBK" w:hAnsi="方正黑体_GBK" w:eastAsia="方正黑体_GBK" w:cs="宋体"/>
                <w:sz w:val="18"/>
                <w:szCs w:val="18"/>
              </w:rPr>
              <w:t>3.按照托管协议约定和管理人的投资指令，及时办理清算、交割事宜；</w:t>
            </w:r>
          </w:p>
          <w:p w14:paraId="442A31A4">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7D8D32FB">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2E8572A9">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5622FD2">
            <w:pPr>
              <w:spacing w:line="200" w:lineRule="exact"/>
            </w:pPr>
            <w:r>
              <w:rPr>
                <w:rFonts w:ascii="方正黑体_GBK" w:hAnsi="方正黑体_GBK" w:eastAsia="方正黑体_GBK" w:cs="宋体"/>
                <w:sz w:val="18"/>
                <w:szCs w:val="18"/>
              </w:rPr>
              <w:t>7.理财托管业务活动的记录、账册、报表和其他相关资料保存20年以上；</w:t>
            </w:r>
          </w:p>
          <w:p w14:paraId="638A83C1">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433F83B0">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49815C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D7DF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02906213">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广东粤财信托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重庆国际信托股份有限公司，上述投资合作机构主要职责对应如下，具体职责以管理人与投资合作机构签署的合同为准。</w:t>
            </w:r>
          </w:p>
          <w:p w14:paraId="6769156D">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大家资产管理有限责任公司、光大永明资产管理股份有限公司、广东粤财信托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重庆国际信托股份有限公司。</w:t>
            </w:r>
          </w:p>
          <w:p w14:paraId="68BE9BD7">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11952B5E">
            <w:pPr>
              <w:spacing w:line="200" w:lineRule="exact"/>
            </w:pPr>
            <w:r>
              <w:rPr>
                <w:rFonts w:ascii="方正黑体_GBK" w:hAnsi="方正黑体_GBK" w:eastAsia="方正黑体_GBK" w:cs="宋体"/>
                <w:sz w:val="18"/>
                <w:szCs w:val="18"/>
              </w:rPr>
              <w:t>上述投资合作机构简介：</w:t>
            </w:r>
          </w:p>
          <w:p w14:paraId="558BD23C">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3DC3AEB3">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278A64D5">
            <w:pPr>
              <w:spacing w:line="200" w:lineRule="exact"/>
            </w:pPr>
            <w:r>
              <w:rPr>
                <w:rFonts w:ascii="方正黑体_GBK" w:hAnsi="方正黑体_GBK" w:eastAsia="方正黑体_GBK" w:cs="宋体"/>
                <w:sz w:val="18"/>
                <w:szCs w:val="18"/>
              </w:rPr>
              <w:t>广东粤财信托有限公司成立于1985年03月07日，注册资本金380000万元。</w:t>
            </w:r>
          </w:p>
          <w:p w14:paraId="3E3B8D17">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2181FD0F">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32121029">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7FB7E515">
            <w:pPr>
              <w:spacing w:line="200" w:lineRule="exact"/>
            </w:pPr>
            <w:r>
              <w:rPr>
                <w:rFonts w:ascii="方正黑体_GBK" w:hAnsi="方正黑体_GBK" w:eastAsia="方正黑体_GBK" w:cs="宋体"/>
                <w:sz w:val="18"/>
                <w:szCs w:val="18"/>
              </w:rPr>
              <w:t>华鑫国际信托有限公司成立于1984年06月01日，注册资本金73.95亿元。</w:t>
            </w:r>
          </w:p>
          <w:p w14:paraId="420D066B">
            <w:pPr>
              <w:spacing w:line="200" w:lineRule="exact"/>
            </w:pPr>
            <w:r>
              <w:rPr>
                <w:rFonts w:ascii="方正黑体_GBK" w:hAnsi="方正黑体_GBK" w:eastAsia="方正黑体_GBK" w:cs="宋体"/>
                <w:sz w:val="18"/>
                <w:szCs w:val="18"/>
              </w:rPr>
              <w:t>建信保险资产管理有限公司成立于2016年04月27日，注册资本金3亿元。</w:t>
            </w:r>
          </w:p>
          <w:p w14:paraId="7947ED3F">
            <w:pPr>
              <w:spacing w:line="200" w:lineRule="exact"/>
            </w:pPr>
            <w:r>
              <w:rPr>
                <w:rFonts w:ascii="方正黑体_GBK" w:hAnsi="方正黑体_GBK" w:eastAsia="方正黑体_GBK" w:cs="宋体"/>
                <w:sz w:val="18"/>
                <w:szCs w:val="18"/>
              </w:rPr>
              <w:t>泰康资产管理有限责任公司成立于2006年02月21日，注册资本金10亿元。</w:t>
            </w:r>
          </w:p>
          <w:p w14:paraId="184CADF6">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0F496C32">
            <w:pPr>
              <w:spacing w:line="200" w:lineRule="exact"/>
            </w:pPr>
            <w:r>
              <w:rPr>
                <w:rFonts w:ascii="方正黑体_GBK" w:hAnsi="方正黑体_GBK" w:eastAsia="方正黑体_GBK" w:cs="宋体"/>
                <w:sz w:val="18"/>
                <w:szCs w:val="18"/>
              </w:rPr>
              <w:t>云南国际信托有限公司成立于1997年09月03日，注册资本金120000万元人民币。</w:t>
            </w:r>
          </w:p>
          <w:p w14:paraId="72FF4508">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6C4A9B21">
            <w:pPr>
              <w:spacing w:line="200" w:lineRule="exact"/>
            </w:pPr>
            <w:r>
              <w:rPr>
                <w:rFonts w:ascii="方正黑体_GBK" w:hAnsi="方正黑体_GBK" w:eastAsia="方正黑体_GBK" w:cs="宋体"/>
                <w:sz w:val="18"/>
                <w:szCs w:val="18"/>
              </w:rPr>
              <w:t>中粮信托有限责任公司成立于2009年07月27日，注册资本金28.3亿元。</w:t>
            </w:r>
          </w:p>
          <w:p w14:paraId="3A75CB5A">
            <w:pPr>
              <w:spacing w:line="200" w:lineRule="exact"/>
            </w:pPr>
            <w:r>
              <w:rPr>
                <w:rFonts w:ascii="方正黑体_GBK" w:hAnsi="方正黑体_GBK" w:eastAsia="方正黑体_GBK" w:cs="宋体"/>
                <w:sz w:val="18"/>
                <w:szCs w:val="18"/>
              </w:rPr>
              <w:t>中信信托有限责任公司成立于1988年03月01日，注册资本金1127600万元人民币。</w:t>
            </w:r>
          </w:p>
          <w:p w14:paraId="03FBD993">
            <w:pPr>
              <w:spacing w:line="200" w:lineRule="exact"/>
            </w:pPr>
            <w:r>
              <w:rPr>
                <w:rFonts w:ascii="方正黑体_GBK" w:hAnsi="方正黑体_GBK" w:eastAsia="方正黑体_GBK" w:cs="宋体"/>
                <w:sz w:val="18"/>
                <w:szCs w:val="18"/>
              </w:rPr>
              <w:t>重庆国际信托股份有限公司成立于1984年10月22日，注册资本金150亿元。</w:t>
            </w:r>
          </w:p>
        </w:tc>
      </w:tr>
      <w:tr w14:paraId="15568E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F09A8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29D72150">
            <w:pPr>
              <w:spacing w:line="200" w:lineRule="exact"/>
              <w:jc w:val="left"/>
            </w:pPr>
            <w:r>
              <w:rPr>
                <w:rFonts w:ascii="方正黑体_GBK" w:hAnsi="方正黑体_GBK" w:eastAsia="方正黑体_GBK" w:cs="宋体"/>
                <w:color w:val="000000"/>
                <w:sz w:val="18"/>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14:paraId="6DA6A8A6">
            <w:pPr>
              <w:spacing w:line="200" w:lineRule="exact"/>
              <w:jc w:val="left"/>
            </w:pPr>
            <w:r>
              <w:rPr>
                <w:rFonts w:ascii="方正黑体_GBK" w:hAnsi="方正黑体_GBK" w:eastAsia="方正黑体_GBK" w:cs="宋体"/>
                <w:color w:val="000000"/>
                <w:sz w:val="18"/>
                <w:szCs w:val="18"/>
              </w:rPr>
              <w:t>1.接受全额赎回：当管理人认为有能力兑付投资者的全部赎回申请时，将在赎回确认日按正常赎回程序执行；</w:t>
            </w:r>
          </w:p>
          <w:p w14:paraId="2B9796F8">
            <w:pPr>
              <w:spacing w:line="200" w:lineRule="exact"/>
              <w:jc w:val="left"/>
            </w:pPr>
            <w:r>
              <w:rPr>
                <w:rFonts w:ascii="方正黑体_GBK" w:hAnsi="方正黑体_GBK" w:eastAsia="方正黑体_GBK" w:cs="宋体"/>
                <w:color w:val="000000"/>
                <w:sz w:val="18"/>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14:paraId="78EF4974">
            <w:pPr>
              <w:spacing w:line="200" w:lineRule="exact"/>
              <w:jc w:val="left"/>
            </w:pPr>
            <w:r>
              <w:rPr>
                <w:rFonts w:ascii="方正黑体_GBK" w:hAnsi="方正黑体_GBK" w:eastAsia="方正黑体_GBK" w:cs="宋体"/>
                <w:color w:val="000000"/>
                <w:sz w:val="18"/>
                <w:szCs w:val="18"/>
              </w:rPr>
              <w:t>（1）对于接受赎回申请的部分，管理人将按单个投资者的赎回申请份额占当日所有投资者的净赎回申请总份额的比例，确认该投资者当日办理的赎回申请份额。</w:t>
            </w:r>
          </w:p>
          <w:p w14:paraId="7B5F1965">
            <w:pPr>
              <w:spacing w:line="200" w:lineRule="exact"/>
              <w:jc w:val="left"/>
            </w:pPr>
            <w:r>
              <w:rPr>
                <w:rFonts w:ascii="方正黑体_GBK" w:hAnsi="方正黑体_GBK" w:eastAsia="方正黑体_GBK" w:cs="宋体"/>
                <w:color w:val="000000"/>
                <w:sz w:val="18"/>
                <w:szCs w:val="18"/>
              </w:rPr>
              <w:t>（2）对于暂停接受的部分，管理人将拒绝该部分赎回申请，投资者可在下一个产品开放日再次发起赎回申请。</w:t>
            </w:r>
          </w:p>
          <w:p w14:paraId="5984DBCF">
            <w:pPr>
              <w:spacing w:line="200" w:lineRule="exact"/>
              <w:jc w:val="left"/>
            </w:pPr>
            <w:r>
              <w:rPr>
                <w:rFonts w:ascii="方正黑体_GBK" w:hAnsi="方正黑体_GBK" w:eastAsia="方正黑体_GBK" w:cs="宋体"/>
                <w:color w:val="000000"/>
                <w:sz w:val="18"/>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14:paraId="6F6C65E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73DFC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连续巨额赎回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0994482D">
            <w:pPr>
              <w:spacing w:line="200" w:lineRule="exact"/>
            </w:pPr>
            <w:r>
              <w:rPr>
                <w:rFonts w:ascii="方正黑体_GBK" w:hAnsi="方正黑体_GBK" w:eastAsia="方正黑体_GBK"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2BA0FC1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BBD8BA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暂停接受认申购</w:t>
            </w:r>
          </w:p>
        </w:tc>
        <w:tc>
          <w:tcPr>
            <w:tcW w:w="5543" w:type="dxa"/>
            <w:tcBorders>
              <w:top w:val="single" w:color="auto" w:sz="4" w:space="0"/>
              <w:left w:val="nil"/>
              <w:bottom w:val="single" w:color="auto" w:sz="4" w:space="0"/>
              <w:right w:val="single" w:color="auto" w:sz="4" w:space="0"/>
              <w:tl2br w:val="nil"/>
              <w:tr2bl w:val="nil"/>
            </w:tcBorders>
            <w:vAlign w:val="center"/>
          </w:tcPr>
          <w:p w14:paraId="171E291F">
            <w:pPr>
              <w:spacing w:line="200" w:lineRule="exact"/>
            </w:pPr>
            <w:r>
              <w:rPr>
                <w:rFonts w:ascii="方正黑体_GBK" w:hAnsi="方正黑体_GBK" w:eastAsia="方正黑体_GBK" w:cs="宋体"/>
                <w:sz w:val="18"/>
                <w:szCs w:val="18"/>
              </w:rPr>
              <w:t>发生下列情形时，管理人可暂停接受投资者认申购申请：</w:t>
            </w:r>
          </w:p>
          <w:p w14:paraId="7F56429E">
            <w:pPr>
              <w:spacing w:line="200" w:lineRule="exact"/>
            </w:pPr>
            <w:r>
              <w:rPr>
                <w:rFonts w:ascii="方正黑体_GBK" w:hAnsi="方正黑体_GBK" w:eastAsia="方正黑体_GBK" w:cs="宋体"/>
                <w:sz w:val="18"/>
                <w:szCs w:val="18"/>
              </w:rPr>
              <w:t>1.因不可抗力导致理财产品无法正常运作；</w:t>
            </w:r>
          </w:p>
          <w:p w14:paraId="206B565E">
            <w:pPr>
              <w:spacing w:line="200" w:lineRule="exact"/>
            </w:pPr>
            <w:r>
              <w:rPr>
                <w:rFonts w:ascii="方正黑体_GBK" w:hAnsi="方正黑体_GBK" w:eastAsia="方正黑体_GBK" w:cs="宋体"/>
                <w:sz w:val="18"/>
                <w:szCs w:val="18"/>
              </w:rPr>
              <w:t>2.因监管政策、市场发生重大变化，导致理财产品无法正常运作；</w:t>
            </w:r>
          </w:p>
          <w:p w14:paraId="6501F980">
            <w:pPr>
              <w:spacing w:line="200" w:lineRule="exact"/>
            </w:pPr>
            <w:r>
              <w:rPr>
                <w:rFonts w:ascii="方正黑体_GBK" w:hAnsi="方正黑体_GBK" w:eastAsia="方正黑体_GBK" w:cs="宋体"/>
                <w:sz w:val="18"/>
                <w:szCs w:val="18"/>
              </w:rPr>
              <w:t>3.管理人认为需要暂停认申购的其他情形。</w:t>
            </w:r>
          </w:p>
          <w:p w14:paraId="42E76DC4">
            <w:pPr>
              <w:spacing w:line="200" w:lineRule="exact"/>
            </w:pPr>
            <w:r>
              <w:rPr>
                <w:rFonts w:ascii="方正黑体_GBK" w:hAnsi="方正黑体_GBK" w:eastAsia="方正黑体_GBK" w:cs="宋体"/>
                <w:b/>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4DCAF84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DE6E5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暂停接受赎回</w:t>
            </w:r>
          </w:p>
        </w:tc>
        <w:tc>
          <w:tcPr>
            <w:tcW w:w="5543" w:type="dxa"/>
            <w:tcBorders>
              <w:top w:val="single" w:color="auto" w:sz="4" w:space="0"/>
              <w:left w:val="nil"/>
              <w:bottom w:val="single" w:color="auto" w:sz="4" w:space="0"/>
              <w:right w:val="single" w:color="auto" w:sz="4" w:space="0"/>
              <w:tl2br w:val="nil"/>
              <w:tr2bl w:val="nil"/>
            </w:tcBorders>
            <w:vAlign w:val="center"/>
          </w:tcPr>
          <w:p w14:paraId="5CDFE925">
            <w:pPr>
              <w:spacing w:line="200" w:lineRule="exact"/>
            </w:pPr>
            <w:r>
              <w:rPr>
                <w:rFonts w:ascii="方正黑体_GBK" w:hAnsi="方正黑体_GBK" w:eastAsia="方正黑体_GBK" w:cs="宋体"/>
                <w:sz w:val="18"/>
                <w:szCs w:val="18"/>
              </w:rPr>
              <w:t>当本理财产品的当期赎回量超过上期理财产品规模的20%时，管理人有权暂停接受投资者的赎回申请，已经接受的赎回申请管理人有权延缓支付赎回款项，延缓期限不超过20个工作日。</w:t>
            </w:r>
          </w:p>
          <w:p w14:paraId="75BDC8BC">
            <w:pPr>
              <w:spacing w:line="200" w:lineRule="exact"/>
            </w:pPr>
            <w:r>
              <w:rPr>
                <w:rFonts w:ascii="方正黑体_GBK" w:hAnsi="方正黑体_GBK" w:eastAsia="方正黑体_GBK" w:cs="宋体"/>
                <w:b/>
                <w:sz w:val="18"/>
                <w:szCs w:val="18"/>
              </w:rPr>
              <w:t>如发生以上暂停的情况，管理人将在3个交易日内告知投资者，并说明运用相关措施的原因、拟采取的应对安排等，投资者需重新进行资金安排。</w:t>
            </w:r>
          </w:p>
        </w:tc>
      </w:tr>
      <w:tr w14:paraId="08FA441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5D654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4D74A546">
            <w:pPr>
              <w:spacing w:line="200" w:lineRule="exact"/>
              <w:jc w:val="left"/>
            </w:pPr>
            <w:r>
              <w:rPr>
                <w:rFonts w:ascii="方正黑体_GBK" w:hAnsi="方正黑体_GBK" w:eastAsia="方正黑体_GBK" w:cs="宋体"/>
                <w:sz w:val="18"/>
                <w:szCs w:val="18"/>
              </w:rPr>
              <w:t>1.本理财产品开放日内非操作时间不能进行申购/赎回申请，封闭期内不开放申购/赎回申请。</w:t>
            </w:r>
          </w:p>
          <w:p w14:paraId="7083C890">
            <w:pPr>
              <w:spacing w:line="200" w:lineRule="exact"/>
              <w:jc w:val="left"/>
            </w:pPr>
            <w:r>
              <w:rPr>
                <w:rFonts w:ascii="方正黑体_GBK" w:hAnsi="方正黑体_GBK" w:eastAsia="方正黑体_GBK" w:cs="宋体"/>
                <w:sz w:val="18"/>
                <w:szCs w:val="18"/>
              </w:rPr>
              <w:t>2.管理人在本理财产品存续期间按照监管规定进行信息披露，详见本理财产品说明书第五条信息披露。</w:t>
            </w:r>
          </w:p>
          <w:p w14:paraId="5606F8F3">
            <w:pPr>
              <w:spacing w:line="200" w:lineRule="exact"/>
              <w:jc w:val="left"/>
            </w:pPr>
            <w:r>
              <w:rPr>
                <w:rFonts w:ascii="方正黑体_GBK" w:hAnsi="方正黑体_GBK" w:eastAsia="方正黑体_GBK" w:cs="宋体"/>
                <w:b/>
                <w:sz w:val="18"/>
                <w:szCs w:val="18"/>
              </w:rPr>
              <w:t>3.本理财产品投资的资产管理产品的业绩报酬、赎回费等的提取（如有）可能造成本理财产品净值的下降。</w:t>
            </w:r>
          </w:p>
          <w:p w14:paraId="53A087CC">
            <w:pPr>
              <w:spacing w:line="200" w:lineRule="exact"/>
            </w:pPr>
            <w:r>
              <w:rPr>
                <w:rFonts w:ascii="方正黑体_GBK" w:hAnsi="方正黑体_GBK" w:eastAsia="方正黑体_GBK" w:cs="宋体"/>
                <w:b/>
                <w:sz w:val="18"/>
                <w:szCs w:val="18"/>
              </w:rPr>
              <w:t>4.本理财产品可能投资不存在活跃交易市场且需要采用估值技术确定公允价值的资产，且计划投资前述资产的比例达到本理财产品净资产50%以上（“以上”含本数）。</w:t>
            </w:r>
          </w:p>
        </w:tc>
      </w:tr>
      <w:tr w14:paraId="7561A37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CA86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92F79BF">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6E794287">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7B1E3582">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45DFD327">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00D6327B">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7B723B2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78EDBB26">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1E4B840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1C91EC5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78DFD4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01C11F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65744A4E">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7DA7C39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307738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34DE8B5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301E174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58546B7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30EFD6D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7B46C63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1678CB3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68819CE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1C59AB6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40A797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4BE53A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31F0F9B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0CB850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0BC7EE4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35C72D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48280E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3230AE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10A64A1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480042E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22565CBB">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13B93FF7">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南银理财珠联璧合安稳1911一年定开公募人民币理财产品</w:t>
      </w:r>
      <w:r>
        <w:rPr>
          <w:rFonts w:hint="eastAsia" w:ascii="方正黑体_GBK" w:hAnsi="方正黑体_GBK" w:eastAsia="方正黑体_GBK"/>
          <w:vanish w:val="0"/>
          <w:color w:val="3D3D3D"/>
          <w:kern w:val="0"/>
          <w:sz w:val="15"/>
          <w:szCs w:val="15"/>
        </w:rPr>
        <w:t>。</w:t>
      </w:r>
    </w:p>
    <w:p w14:paraId="3E6D0BC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6CF88E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12534A5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57C0CA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162C33D0">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1741E5E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4D58C7E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59AFBC0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512DBEE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74CE10B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484CD5D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4D25057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39B77DB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587DAAE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AE71D0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092B9A4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6E02420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76DCAB20">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55BD54F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632106C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4C954492">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010CCBB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29BD521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7D3521D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604C0A7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6920F347">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3B7BAA45">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40C4DE90">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87F952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4EEE54EB">
      <w:pPr>
        <w:spacing w:line="200" w:lineRule="exact"/>
        <w:ind w:firstLine="280"/>
        <w:jc w:val="left"/>
      </w:pPr>
      <w:r>
        <w:rPr>
          <w:rFonts w:ascii="方正黑体_GBK" w:hAnsi="方正黑体_GBK" w:eastAsia="方正黑体_GBK" w:cs="宋体"/>
          <w:sz w:val="15"/>
          <w:szCs w:val="20"/>
        </w:rPr>
        <w:t>假设：投资者认购本理财产品10万元，成立日当日产品净值为1.0000元，折算份额100,000份。</w:t>
      </w:r>
    </w:p>
    <w:p w14:paraId="5AF86218">
      <w:pPr>
        <w:spacing w:line="200" w:lineRule="exact"/>
        <w:ind w:firstLine="280"/>
        <w:jc w:val="left"/>
      </w:pPr>
      <w:r>
        <w:rPr>
          <w:rFonts w:ascii="方正黑体_GBK" w:hAnsi="方正黑体_GBK" w:eastAsia="方正黑体_GBK" w:cs="宋体"/>
          <w:sz w:val="15"/>
          <w:szCs w:val="20"/>
        </w:rPr>
        <w:t>情景示例一：产品赎回确认时，扣除所有税费后（如有业绩报酬，已扣除）的赎回确认每份额净值为1.0300，则客户在资金到帐日收到到期款项为103,000元。</w:t>
      </w:r>
    </w:p>
    <w:p w14:paraId="2A2A35FC">
      <w:pPr>
        <w:spacing w:line="200" w:lineRule="exact"/>
        <w:ind w:firstLine="280"/>
        <w:jc w:val="left"/>
      </w:pPr>
      <w:r>
        <w:rPr>
          <w:rFonts w:ascii="方正黑体_GBK" w:hAnsi="方正黑体_GBK" w:eastAsia="方正黑体_GBK" w:cs="宋体"/>
          <w:sz w:val="15"/>
          <w:szCs w:val="20"/>
        </w:rPr>
        <w:t>情景示例二：产品赎回确认时，扣除所有税费后（如有业绩报酬，已扣除）的赎回确认每份额净值为0.9700，则客户在资金到帐日收到到期款项为97,000元。</w:t>
      </w:r>
    </w:p>
    <w:p w14:paraId="4EC95587">
      <w:pPr>
        <w:spacing w:line="200" w:lineRule="exact"/>
      </w:pPr>
      <w:r>
        <w:rPr>
          <w:rFonts w:ascii="方正黑体_GBK" w:hAnsi="方正黑体_GBK" w:eastAsia="方正黑体_GBK" w:cs="宋体"/>
          <w:sz w:val="15"/>
          <w:szCs w:val="20"/>
        </w:rPr>
        <w:t xml:space="preserve"> 以上数据为假设情形中的模拟数据，不代表实际收益，投资需谨慎。</w:t>
      </w:r>
    </w:p>
    <w:p w14:paraId="6FF0C66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40C00267">
      <w:pPr>
        <w:pStyle w:val="29"/>
        <w:keepNext w:val="0"/>
        <w:keepLines w:val="0"/>
        <w:pageBreakBefore w:val="0"/>
        <w:widowControl/>
        <w:suppressLineNumbers w:val="0"/>
        <w:suppressAutoHyphens w:val="0"/>
        <w:spacing w:line="200" w:lineRule="exact"/>
        <w:ind w:firstLine="301"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61F02F8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374670BF">
      <w:pPr>
        <w:spacing w:line="200" w:lineRule="exact"/>
        <w:ind w:firstLine="300"/>
        <w:jc w:val="both"/>
      </w:pPr>
      <w:r>
        <w:rPr>
          <w:rFonts w:ascii="方正黑体_GBK" w:hAnsi="方正黑体_GBK" w:eastAsia="方正黑体_GBK" w:cs="宋体"/>
          <w:sz w:val="15"/>
          <w:szCs w:val="20"/>
        </w:rPr>
        <w:t>（一）估值日</w:t>
      </w:r>
    </w:p>
    <w:p w14:paraId="5E3A2D7B">
      <w:pPr>
        <w:spacing w:line="200" w:lineRule="exact"/>
        <w:ind w:firstLine="300"/>
        <w:jc w:val="both"/>
      </w:pPr>
      <w:r>
        <w:rPr>
          <w:rFonts w:ascii="方正黑体_GBK" w:hAnsi="方正黑体_GBK" w:eastAsia="方正黑体_GBK" w:cs="宋体"/>
          <w:sz w:val="15"/>
          <w:szCs w:val="20"/>
        </w:rPr>
        <w:t>本理财产品每个工作日进行估值。</w:t>
      </w:r>
    </w:p>
    <w:p w14:paraId="7CBE0B79">
      <w:pPr>
        <w:spacing w:line="200" w:lineRule="exact"/>
        <w:ind w:firstLine="300"/>
        <w:jc w:val="both"/>
      </w:pPr>
      <w:r>
        <w:rPr>
          <w:rFonts w:ascii="方正黑体_GBK" w:hAnsi="方正黑体_GBK" w:eastAsia="方正黑体_GBK" w:cs="宋体"/>
          <w:sz w:val="15"/>
          <w:szCs w:val="20"/>
        </w:rPr>
        <w:t>（二）估值对象</w:t>
      </w:r>
    </w:p>
    <w:p w14:paraId="5896990D">
      <w:pPr>
        <w:spacing w:line="200" w:lineRule="exact"/>
        <w:ind w:firstLine="300"/>
        <w:jc w:val="both"/>
      </w:pPr>
      <w:r>
        <w:rPr>
          <w:rFonts w:ascii="方正黑体_GBK" w:hAnsi="方正黑体_GBK" w:eastAsia="方正黑体_GBK" w:cs="宋体"/>
          <w:sz w:val="15"/>
          <w:szCs w:val="20"/>
        </w:rPr>
        <w:t>本理财产品所拥有的所有资产及负债。</w:t>
      </w:r>
    </w:p>
    <w:p w14:paraId="45A8579F">
      <w:pPr>
        <w:spacing w:line="200" w:lineRule="exact"/>
        <w:ind w:firstLine="300"/>
        <w:jc w:val="both"/>
      </w:pPr>
      <w:r>
        <w:rPr>
          <w:rFonts w:ascii="方正黑体_GBK" w:hAnsi="方正黑体_GBK" w:eastAsia="方正黑体_GBK" w:cs="宋体"/>
          <w:sz w:val="15"/>
          <w:szCs w:val="20"/>
        </w:rPr>
        <w:t>（三）估值目的</w:t>
      </w:r>
    </w:p>
    <w:p w14:paraId="23A909BC">
      <w:pPr>
        <w:spacing w:line="200" w:lineRule="exact"/>
        <w:ind w:firstLine="300"/>
        <w:jc w:val="both"/>
      </w:pPr>
      <w:r>
        <w:rPr>
          <w:rFonts w:ascii="方正黑体_GBK" w:hAnsi="方正黑体_GBK" w:eastAsia="方正黑体_GBK" w:cs="宋体"/>
          <w:sz w:val="15"/>
          <w:szCs w:val="20"/>
        </w:rPr>
        <w:t>客观、准确反映理财产品的价值。</w:t>
      </w:r>
    </w:p>
    <w:p w14:paraId="2FFB39F2">
      <w:pPr>
        <w:spacing w:line="200" w:lineRule="exact"/>
        <w:ind w:firstLine="300"/>
        <w:jc w:val="both"/>
      </w:pPr>
      <w:r>
        <w:rPr>
          <w:rFonts w:ascii="方正黑体_GBK" w:hAnsi="方正黑体_GBK" w:eastAsia="方正黑体_GBK" w:cs="宋体"/>
          <w:sz w:val="15"/>
          <w:szCs w:val="20"/>
        </w:rPr>
        <w:t>（四）估值原则</w:t>
      </w:r>
    </w:p>
    <w:p w14:paraId="4A69C957">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4E645D63">
      <w:pPr>
        <w:spacing w:line="200" w:lineRule="exact"/>
        <w:ind w:firstLine="300"/>
        <w:jc w:val="both"/>
      </w:pPr>
      <w:r>
        <w:rPr>
          <w:rFonts w:ascii="方正黑体_GBK" w:hAnsi="方正黑体_GBK" w:eastAsia="方正黑体_GBK" w:cs="宋体"/>
          <w:sz w:val="15"/>
          <w:szCs w:val="20"/>
        </w:rPr>
        <w:t>（五）估值方法</w:t>
      </w:r>
    </w:p>
    <w:p w14:paraId="65A2A047">
      <w:pPr>
        <w:spacing w:line="200" w:lineRule="exact"/>
        <w:ind w:firstLine="280"/>
        <w:jc w:val="left"/>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5E68960E">
      <w:pPr>
        <w:spacing w:line="200" w:lineRule="exact"/>
        <w:ind w:firstLine="280"/>
        <w:jc w:val="left"/>
      </w:pPr>
      <w:r>
        <w:rPr>
          <w:rFonts w:ascii="方正黑体_GBK" w:hAnsi="方正黑体_GBK" w:eastAsia="方正黑体_GBK" w:cs="宋体"/>
          <w:sz w:val="15"/>
          <w:szCs w:val="20"/>
        </w:rPr>
        <w:t>1.银行存款、回购等货币市场工具</w:t>
      </w:r>
    </w:p>
    <w:p w14:paraId="6A519F80">
      <w:pPr>
        <w:spacing w:line="200" w:lineRule="exact"/>
        <w:ind w:firstLine="280"/>
        <w:jc w:val="left"/>
      </w:pPr>
      <w:r>
        <w:rPr>
          <w:rFonts w:ascii="方正黑体_GBK" w:hAnsi="方正黑体_GBK" w:eastAsia="方正黑体_GBK" w:cs="宋体"/>
          <w:sz w:val="15"/>
          <w:szCs w:val="20"/>
        </w:rPr>
        <w:t>以本金列示，按商定的利率在实际持有期间内逐日计提。</w:t>
      </w:r>
    </w:p>
    <w:p w14:paraId="37EBECD7">
      <w:pPr>
        <w:spacing w:line="200" w:lineRule="exact"/>
        <w:ind w:firstLine="280"/>
        <w:jc w:val="left"/>
      </w:pPr>
      <w:r>
        <w:rPr>
          <w:rFonts w:ascii="方正黑体_GBK" w:hAnsi="方正黑体_GBK" w:eastAsia="方正黑体_GBK" w:cs="宋体"/>
          <w:color w:val="3D3D3D"/>
          <w:sz w:val="15"/>
          <w:szCs w:val="20"/>
        </w:rPr>
        <w:t>2.债券类资产</w:t>
      </w:r>
    </w:p>
    <w:p w14:paraId="4A21C6AF">
      <w:pPr>
        <w:spacing w:line="200" w:lineRule="exact"/>
        <w:ind w:firstLine="280"/>
        <w:jc w:val="left"/>
      </w:pPr>
      <w:r>
        <w:rPr>
          <w:rFonts w:ascii="方正黑体_GBK" w:hAnsi="方正黑体_GBK" w:eastAsia="方正黑体_GBK"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39D78AB8">
      <w:pPr>
        <w:spacing w:line="200" w:lineRule="exact"/>
        <w:ind w:firstLine="280"/>
        <w:jc w:val="left"/>
      </w:pPr>
      <w:r>
        <w:rPr>
          <w:rFonts w:ascii="方正黑体_GBK" w:hAnsi="方正黑体_GBK" w:eastAsia="方正黑体_GBK" w:cs="宋体"/>
          <w:color w:val="3D3D3D"/>
          <w:sz w:val="15"/>
          <w:szCs w:val="20"/>
        </w:rPr>
        <w:t>3.非标准化债权类资产</w:t>
      </w:r>
    </w:p>
    <w:p w14:paraId="49F61AE6">
      <w:pPr>
        <w:spacing w:line="200" w:lineRule="exact"/>
        <w:ind w:firstLine="280"/>
        <w:jc w:val="left"/>
      </w:pPr>
      <w:r>
        <w:rPr>
          <w:rFonts w:ascii="方正黑体_GBK" w:hAnsi="方正黑体_GBK" w:eastAsia="方正黑体_GBK" w:cs="宋体"/>
          <w:color w:val="3D3D3D"/>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35DC2287">
      <w:pPr>
        <w:spacing w:line="200" w:lineRule="exact"/>
        <w:ind w:firstLine="280"/>
        <w:jc w:val="left"/>
      </w:pPr>
      <w:r>
        <w:rPr>
          <w:rFonts w:ascii="方正黑体_GBK" w:hAnsi="方正黑体_GBK" w:eastAsia="方正黑体_GBK" w:cs="宋体"/>
          <w:color w:val="3D3D3D"/>
          <w:sz w:val="15"/>
          <w:szCs w:val="20"/>
        </w:rPr>
        <w:t>4.证券投资基金</w:t>
      </w:r>
    </w:p>
    <w:p w14:paraId="4081362C">
      <w:pPr>
        <w:spacing w:line="200" w:lineRule="exact"/>
        <w:ind w:firstLine="280"/>
        <w:jc w:val="left"/>
      </w:pPr>
      <w:r>
        <w:rPr>
          <w:rFonts w:ascii="方正黑体_GBK" w:hAnsi="方正黑体_GBK" w:eastAsia="方正黑体_GBK"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09865578">
      <w:pPr>
        <w:spacing w:line="200" w:lineRule="exact"/>
        <w:ind w:firstLine="280"/>
        <w:jc w:val="left"/>
      </w:pPr>
      <w:r>
        <w:rPr>
          <w:rFonts w:ascii="方正黑体_GBK" w:hAnsi="方正黑体_GBK" w:eastAsia="方正黑体_GBK" w:cs="宋体"/>
          <w:color w:val="3D3D3D"/>
          <w:sz w:val="15"/>
          <w:szCs w:val="20"/>
        </w:rPr>
        <w:t>5.股权类资产</w:t>
      </w:r>
    </w:p>
    <w:p w14:paraId="49E3AE52">
      <w:pPr>
        <w:spacing w:line="200" w:lineRule="exact"/>
        <w:ind w:firstLine="280"/>
        <w:jc w:val="left"/>
      </w:pPr>
      <w:r>
        <w:rPr>
          <w:rFonts w:ascii="方正黑体_GBK" w:hAnsi="方正黑体_GBK" w:eastAsia="方正黑体_GBK" w:cs="宋体"/>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6AC7E6E8">
      <w:pPr>
        <w:spacing w:line="200" w:lineRule="exact"/>
        <w:ind w:firstLine="280"/>
        <w:jc w:val="left"/>
      </w:pPr>
      <w:r>
        <w:rPr>
          <w:rFonts w:ascii="方正黑体_GBK" w:hAnsi="方正黑体_GBK" w:eastAsia="方正黑体_GBK" w:cs="宋体"/>
          <w:color w:val="3D3D3D"/>
          <w:sz w:val="15"/>
          <w:szCs w:val="20"/>
        </w:rPr>
        <w:t>6.资管计划、信托计划等资产</w:t>
      </w:r>
    </w:p>
    <w:p w14:paraId="4967B990">
      <w:pPr>
        <w:spacing w:line="200" w:lineRule="exact"/>
        <w:ind w:firstLine="280"/>
        <w:jc w:val="left"/>
      </w:pPr>
      <w:r>
        <w:rPr>
          <w:rFonts w:ascii="方正黑体_GBK" w:hAnsi="方正黑体_GBK" w:eastAsia="方正黑体_GBK" w:cs="宋体"/>
          <w:color w:val="3D3D3D"/>
          <w:sz w:val="15"/>
          <w:szCs w:val="20"/>
        </w:rPr>
        <w:t>存在公允价值的，按照公允价值估值，或采用估值技术确定估值，也可采用被委托机构提供的估值或计量报告。</w:t>
      </w:r>
    </w:p>
    <w:p w14:paraId="7F78DAD4">
      <w:pPr>
        <w:spacing w:line="200" w:lineRule="exact"/>
        <w:ind w:firstLine="280"/>
        <w:jc w:val="left"/>
      </w:pPr>
      <w:r>
        <w:rPr>
          <w:rFonts w:ascii="方正黑体_GBK" w:hAnsi="方正黑体_GBK" w:eastAsia="方正黑体_GBK" w:cs="宋体"/>
          <w:color w:val="3D3D3D"/>
          <w:sz w:val="15"/>
          <w:szCs w:val="20"/>
        </w:rPr>
        <w:t>7.其他资产</w:t>
      </w:r>
    </w:p>
    <w:p w14:paraId="6DD78D86">
      <w:pPr>
        <w:spacing w:line="200" w:lineRule="exact"/>
        <w:ind w:firstLine="280"/>
        <w:jc w:val="left"/>
      </w:pPr>
      <w:r>
        <w:rPr>
          <w:rFonts w:ascii="方正黑体_GBK" w:hAnsi="方正黑体_GBK" w:eastAsia="方正黑体_GBK" w:cs="宋体"/>
          <w:color w:val="3D3D3D"/>
          <w:sz w:val="15"/>
          <w:szCs w:val="20"/>
        </w:rPr>
        <w:t>存在公允价值的，按照公允价值估值，或采用估值技术确定估值，也可采用被委托机构提供的估值或计量报告。具体可参考《企业会计准则》以及相关监管政策的规定。</w:t>
      </w:r>
    </w:p>
    <w:p w14:paraId="78BCADB4">
      <w:pPr>
        <w:spacing w:line="200" w:lineRule="exact"/>
        <w:ind w:firstLine="280"/>
        <w:jc w:val="left"/>
      </w:pPr>
      <w:r>
        <w:rPr>
          <w:rFonts w:ascii="方正黑体_GBK" w:hAnsi="方正黑体_GBK" w:eastAsia="方正黑体_GBK" w:cs="宋体"/>
          <w:color w:val="3D3D3D"/>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0027E14F">
      <w:pPr>
        <w:spacing w:line="200" w:lineRule="exact"/>
        <w:ind w:firstLine="280"/>
        <w:jc w:val="left"/>
      </w:pPr>
      <w:r>
        <w:rPr>
          <w:rFonts w:ascii="方正黑体_GBK" w:hAnsi="方正黑体_GBK" w:eastAsia="方正黑体_GBK" w:cs="宋体"/>
          <w:color w:val="3D3D3D"/>
          <w:sz w:val="15"/>
          <w:szCs w:val="20"/>
        </w:rPr>
        <w:t>9.如有新增事项或变更事项，按国家最新规定或管理人最新的约定估值。</w:t>
      </w:r>
    </w:p>
    <w:p w14:paraId="0AD4B345">
      <w:pPr>
        <w:spacing w:line="200" w:lineRule="exact"/>
        <w:ind w:firstLine="280"/>
        <w:jc w:val="left"/>
      </w:pPr>
      <w:r>
        <w:rPr>
          <w:rFonts w:ascii="方正黑体_GBK" w:hAnsi="方正黑体_GBK" w:eastAsia="方正黑体_GBK" w:cs="宋体"/>
          <w:sz w:val="15"/>
          <w:szCs w:val="20"/>
        </w:rPr>
        <w:t>开放式理财产品在前一估值日内，产品资产净值50%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3个交易日内告知投资者，并说明运用相关措施的原因、拟采取的应对安排等，投资者需重新进行资金安排。</w:t>
      </w:r>
    </w:p>
    <w:p w14:paraId="43504050">
      <w:pPr>
        <w:spacing w:line="200" w:lineRule="exact"/>
        <w:ind w:firstLine="300"/>
        <w:jc w:val="both"/>
      </w:pPr>
      <w:r>
        <w:rPr>
          <w:rFonts w:ascii="方正黑体_GBK" w:hAnsi="方正黑体_GBK" w:eastAsia="方正黑体_GBK" w:cs="宋体"/>
          <w:sz w:val="15"/>
          <w:szCs w:val="20"/>
        </w:rPr>
        <w:t>（六）估值错误及暂停估值</w:t>
      </w:r>
    </w:p>
    <w:p w14:paraId="2C7CD071">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3EAFED5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12D4543C">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26BF1E30">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30451D90">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3C6F8B4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6A8517D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按月</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EDA505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1646A9C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32F3F54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71BA741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2651FE6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A28C34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70662CB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444DB8C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2F38079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167F9B8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6846CF7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2B2849F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4C97F93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66CB364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38C213B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53F4960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2D4C98E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18E8C08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3B34B860">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166D9B0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58E8838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51460E4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38ACC933">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0BBB64D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3AA8538A">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1E6303D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3FDB6AE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5B4BBAD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45241F2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51C23FA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216B697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44383516">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定期开放式、固定收益类、公募、净值型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BBF82">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227C0B8E"/>
    <w:rsid w:val="73B503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d42eb9ea"/>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2f0c5db1"/>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a32b59b3"/>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ad17c5ca"/>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905d1274"/>
    <w:qFormat/>
    <w:uiPriority w:val="0"/>
  </w:style>
  <w:style w:type="paragraph" w:customStyle="1" w:styleId="20">
    <w:name w:val="toc 1f29662e7"/>
    <w:basedOn w:val="15"/>
    <w:next w:val="1"/>
    <w:autoRedefine/>
    <w:qFormat/>
    <w:uiPriority w:val="0"/>
  </w:style>
  <w:style w:type="paragraph" w:customStyle="1" w:styleId="21">
    <w:name w:val="toc 209ddbe6e"/>
    <w:basedOn w:val="15"/>
    <w:next w:val="1"/>
    <w:autoRedefine/>
    <w:qFormat/>
    <w:uiPriority w:val="0"/>
    <w:pPr>
      <w:ind w:left="420"/>
    </w:pPr>
  </w:style>
  <w:style w:type="paragraph" w:customStyle="1" w:styleId="22">
    <w:name w:val="toc 343ea6db0"/>
    <w:basedOn w:val="15"/>
    <w:next w:val="1"/>
    <w:autoRedefine/>
    <w:qFormat/>
    <w:uiPriority w:val="0"/>
    <w:pPr>
      <w:ind w:left="840"/>
    </w:pPr>
  </w:style>
  <w:style w:type="paragraph" w:customStyle="1" w:styleId="23">
    <w:name w:val="toc 46274b19b"/>
    <w:basedOn w:val="15"/>
    <w:next w:val="1"/>
    <w:autoRedefine/>
    <w:qFormat/>
    <w:uiPriority w:val="0"/>
    <w:pPr>
      <w:ind w:left="1260"/>
    </w:pPr>
  </w:style>
  <w:style w:type="paragraph" w:customStyle="1" w:styleId="24">
    <w:name w:val="toc 5dfbab9bf"/>
    <w:basedOn w:val="15"/>
    <w:next w:val="1"/>
    <w:autoRedefine/>
    <w:qFormat/>
    <w:uiPriority w:val="0"/>
    <w:pPr>
      <w:ind w:left="1680"/>
    </w:pPr>
  </w:style>
  <w:style w:type="paragraph" w:customStyle="1" w:styleId="25">
    <w:name w:val="header11898f98"/>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370a4d66"/>
    <w:basedOn w:val="15"/>
    <w:qFormat/>
    <w:uiPriority w:val="0"/>
    <w:pPr>
      <w:tabs>
        <w:tab w:val="center" w:pos="4153"/>
        <w:tab w:val="right" w:pos="8307"/>
      </w:tabs>
      <w:adjustRightInd/>
      <w:snapToGrid w:val="0"/>
      <w:contextualSpacing w:val="0"/>
      <w:jc w:val="left"/>
    </w:pPr>
    <w:rPr>
      <w:sz w:val="18"/>
    </w:rPr>
  </w:style>
  <w:style w:type="character" w:customStyle="1" w:styleId="27">
    <w:name w:val="Stronga0ff86ba"/>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6922383d"/>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6e14373b"/>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227851a7"/>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be3b75ee"/>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9d4c4954"/>
    <w:qFormat/>
    <w:uiPriority w:val="0"/>
  </w:style>
  <w:style w:type="paragraph" w:customStyle="1" w:styleId="34">
    <w:name w:val="Normal Indentd1415727"/>
    <w:basedOn w:val="29"/>
    <w:qFormat/>
    <w:uiPriority w:val="0"/>
    <w:pPr>
      <w:ind w:firstLine="200" w:firstLineChars="200"/>
    </w:pPr>
  </w:style>
  <w:style w:type="paragraph" w:customStyle="1" w:styleId="35">
    <w:name w:val="toc 5e3ec41e8"/>
    <w:basedOn w:val="29"/>
    <w:next w:val="1"/>
    <w:qFormat/>
    <w:uiPriority w:val="0"/>
    <w:pPr>
      <w:ind w:left="1680"/>
    </w:pPr>
  </w:style>
  <w:style w:type="paragraph" w:customStyle="1" w:styleId="36">
    <w:name w:val="toc 35e14dbcb"/>
    <w:basedOn w:val="29"/>
    <w:next w:val="1"/>
    <w:qFormat/>
    <w:uiPriority w:val="0"/>
    <w:pPr>
      <w:ind w:left="840"/>
    </w:pPr>
  </w:style>
  <w:style w:type="paragraph" w:customStyle="1" w:styleId="37">
    <w:name w:val="footerc1518e6f"/>
    <w:basedOn w:val="29"/>
    <w:qFormat/>
    <w:uiPriority w:val="0"/>
    <w:pPr>
      <w:tabs>
        <w:tab w:val="center" w:pos="4153"/>
        <w:tab w:val="right" w:pos="8307"/>
      </w:tabs>
      <w:adjustRightInd/>
      <w:snapToGrid w:val="0"/>
      <w:contextualSpacing w:val="0"/>
      <w:jc w:val="left"/>
    </w:pPr>
    <w:rPr>
      <w:sz w:val="18"/>
    </w:rPr>
  </w:style>
  <w:style w:type="paragraph" w:customStyle="1" w:styleId="38">
    <w:name w:val="header375c3605"/>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753ca89c"/>
    <w:basedOn w:val="29"/>
    <w:next w:val="1"/>
    <w:qFormat/>
    <w:uiPriority w:val="0"/>
  </w:style>
  <w:style w:type="paragraph" w:customStyle="1" w:styleId="40">
    <w:name w:val="toc 43efbed26"/>
    <w:basedOn w:val="29"/>
    <w:next w:val="1"/>
    <w:qFormat/>
    <w:uiPriority w:val="0"/>
    <w:pPr>
      <w:ind w:left="1260"/>
    </w:pPr>
  </w:style>
  <w:style w:type="paragraph" w:customStyle="1" w:styleId="41">
    <w:name w:val="toc 25e8aeb85"/>
    <w:basedOn w:val="29"/>
    <w:next w:val="1"/>
    <w:qFormat/>
    <w:uiPriority w:val="0"/>
    <w:pPr>
      <w:ind w:left="420"/>
    </w:pPr>
  </w:style>
  <w:style w:type="paragraph" w:customStyle="1" w:styleId="42">
    <w:name w:val="Normal (Web)48489dcf"/>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d1bfc0b4d1bfc0b4"/>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785e7954785e7954"/>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b93baf07b93baf0"/>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8377ccf48377ccf"/>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9c1780ce9c1780ce"/>
    <w:qFormat/>
    <w:uiPriority w:val="0"/>
  </w:style>
  <w:style w:type="paragraph" w:customStyle="1" w:styleId="49">
    <w:name w:val="引文目录1bb66b5a5bb66b5a5"/>
    <w:basedOn w:val="44"/>
    <w:next w:val="1"/>
    <w:qFormat/>
    <w:uiPriority w:val="0"/>
    <w:pPr>
      <w:ind w:left="200" w:leftChars="200"/>
    </w:pPr>
  </w:style>
  <w:style w:type="paragraph" w:customStyle="1" w:styleId="50">
    <w:name w:val="toc 5816ee0be816ee0be"/>
    <w:basedOn w:val="44"/>
    <w:next w:val="1"/>
    <w:qFormat/>
    <w:uiPriority w:val="0"/>
    <w:pPr>
      <w:ind w:left="1680"/>
    </w:pPr>
  </w:style>
  <w:style w:type="paragraph" w:customStyle="1" w:styleId="51">
    <w:name w:val="toc 33e75575f3e75575f"/>
    <w:basedOn w:val="44"/>
    <w:next w:val="1"/>
    <w:qFormat/>
    <w:uiPriority w:val="0"/>
    <w:pPr>
      <w:ind w:left="840"/>
    </w:pPr>
  </w:style>
  <w:style w:type="paragraph" w:customStyle="1" w:styleId="52">
    <w:name w:val="footer561a1ba6561a1ba6"/>
    <w:basedOn w:val="44"/>
    <w:qFormat/>
    <w:uiPriority w:val="0"/>
    <w:pPr>
      <w:tabs>
        <w:tab w:val="center" w:pos="4153"/>
        <w:tab w:val="right" w:pos="8307"/>
      </w:tabs>
      <w:adjustRightInd/>
      <w:snapToGrid w:val="0"/>
      <w:contextualSpacing w:val="0"/>
      <w:jc w:val="left"/>
    </w:pPr>
    <w:rPr>
      <w:sz w:val="18"/>
    </w:rPr>
  </w:style>
  <w:style w:type="paragraph" w:customStyle="1" w:styleId="53">
    <w:name w:val="header3b4e58cf3b4e58cf"/>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c9707b71c9707b71"/>
    <w:basedOn w:val="44"/>
    <w:next w:val="1"/>
    <w:qFormat/>
    <w:uiPriority w:val="0"/>
  </w:style>
  <w:style w:type="paragraph" w:customStyle="1" w:styleId="55">
    <w:name w:val="toc 44938957e4938957e"/>
    <w:basedOn w:val="44"/>
    <w:next w:val="1"/>
    <w:qFormat/>
    <w:uiPriority w:val="0"/>
    <w:pPr>
      <w:ind w:left="1260"/>
    </w:pPr>
  </w:style>
  <w:style w:type="paragraph" w:customStyle="1" w:styleId="56">
    <w:name w:val="toc 2a62137bca62137bc"/>
    <w:basedOn w:val="44"/>
    <w:next w:val="1"/>
    <w:qFormat/>
    <w:uiPriority w:val="0"/>
    <w:pPr>
      <w:ind w:left="420"/>
    </w:pPr>
  </w:style>
  <w:style w:type="paragraph" w:customStyle="1" w:styleId="57">
    <w:name w:val="列出段落13904c4ea3904c4ea"/>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27</Pages>
  <Words>4074</Words>
  <Characters>4086</Characters>
  <Lines>81</Lines>
  <Paragraphs>27</Paragraphs>
  <TotalTime>18</TotalTime>
  <ScaleCrop>false</ScaleCrop>
  <LinksUpToDate>false</LinksUpToDate>
  <CharactersWithSpaces>4087</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PC</cp:lastModifiedBy>
  <dcterms:modified xsi:type="dcterms:W3CDTF">2026-01-15T07:54:37Z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02AEF6DED8204361AEB85E71A6BDE641</vt:lpwstr>
  </property>
</Properties>
</file>