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幸福99丰裕固收763天26005期理财</w:t>
      </w:r>
      <w:r>
        <w:rPr>
          <w:rFonts w:hint="eastAsia" w:ascii="宋体" w:hAnsi="宋体" w:cs="宋体"/>
          <w:b/>
          <w:bCs/>
          <w:sz w:val="44"/>
          <w:szCs w:val="44"/>
          <w:highlight w:val="none"/>
        </w:rPr>
        <w:t>合同</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32"/>
          <w:szCs w:val="32"/>
          <w:highlight w:val="none"/>
        </w:rPr>
      </w:pPr>
      <w:r>
        <w:rPr>
          <w:rFonts w:hint="eastAsia" w:ascii="宋体" w:hAnsi="宋体" w:cs="宋体"/>
          <w:sz w:val="32"/>
          <w:szCs w:val="32"/>
          <w:highlight w:val="none"/>
        </w:rPr>
        <w:t>理财计划管理人：杭银理财有限责任公司</w:t>
      </w:r>
    </w:p>
    <w:p>
      <w:pPr>
        <w:ind w:firstLine="1280" w:firstLineChars="400"/>
        <w:jc w:val="left"/>
        <w:rPr>
          <w:rFonts w:hint="eastAsia" w:ascii="宋体" w:hAnsi="宋体" w:cs="宋体"/>
          <w:sz w:val="32"/>
          <w:szCs w:val="32"/>
          <w:highlight w:val="none"/>
        </w:rPr>
      </w:pPr>
      <w:r>
        <w:rPr>
          <w:rFonts w:hint="eastAsia" w:ascii="宋体" w:hAnsi="宋体" w:cs="宋体"/>
          <w:sz w:val="32"/>
          <w:szCs w:val="32"/>
          <w:highlight w:val="none"/>
        </w:rPr>
        <w:t>理财计划托管人：</w:t>
      </w:r>
      <w:r>
        <w:rPr>
          <w:rFonts w:hint="eastAsia" w:ascii="宋体" w:hAnsi="宋体" w:eastAsia="宋体" w:cs="宋体"/>
          <w:kern w:val="2"/>
          <w:sz w:val="32"/>
          <w:szCs w:val="32"/>
          <w:highlight w:val="none"/>
          <w:lang w:val="en-US" w:eastAsia="zh-CN" w:bidi="ar-SA"/>
        </w:rPr>
        <w:t>杭州银行股份有限公司</w:t>
      </w:r>
    </w:p>
    <w:p>
      <w:pPr>
        <w:ind w:firstLine="1280" w:firstLineChars="400"/>
        <w:jc w:val="left"/>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outlineLvl w:val="9"/>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幸福99丰裕固收763天26005期理财</w:t>
      </w:r>
      <w:r>
        <w:rPr>
          <w:rFonts w:hint="eastAsia" w:ascii="宋体" w:hAnsi="宋体" w:cs="宋体"/>
          <w:b/>
          <w:bCs/>
          <w:sz w:val="44"/>
          <w:szCs w:val="44"/>
          <w:highlight w:val="none"/>
        </w:rPr>
        <w:t>合同文件</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tbl>
      <w:tblPr>
        <w:tblStyle w:val="8"/>
        <w:tblW w:w="8191"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516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序号</w:t>
            </w:r>
          </w:p>
        </w:tc>
        <w:tc>
          <w:tcPr>
            <w:tcW w:w="516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理财计划合同文件中的文件名称</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文件简称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1</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幸福99丰裕固收763天26005期理财</w:t>
            </w:r>
            <w:r>
              <w:rPr>
                <w:rFonts w:hint="eastAsia" w:ascii="宋体" w:hAnsi="宋体" w:cs="宋体"/>
                <w:szCs w:val="21"/>
                <w:highlight w:val="none"/>
              </w:rPr>
              <w:t>风险揭示书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理财计划风险揭示书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2</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幸福99丰裕固收763天26005期理财</w:t>
            </w:r>
            <w:r>
              <w:rPr>
                <w:rFonts w:hint="eastAsia" w:ascii="宋体" w:hAnsi="宋体" w:cs="宋体"/>
                <w:szCs w:val="21"/>
                <w:highlight w:val="none"/>
              </w:rPr>
              <w:t>产品说明书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理财计划产品说明书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3</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杭银理财投资者权益须知</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投资者权益须知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4</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杭银理财理财计划投资协议书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理财计划投资协议书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5</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杭银理财理财计划销售协议书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理财计划销售协议书</w:t>
            </w:r>
          </w:p>
        </w:tc>
      </w:tr>
    </w:tbl>
    <w:p>
      <w:pPr>
        <w:rPr>
          <w:rFonts w:ascii="宋体" w:hAnsi="宋体" w:cs="宋体"/>
          <w:bCs/>
          <w:color w:val="000000"/>
          <w:sz w:val="24"/>
          <w:highlight w:val="none"/>
        </w:rPr>
      </w:pPr>
      <w:r>
        <w:rPr>
          <w:rFonts w:ascii="宋体" w:hAnsi="宋体" w:cs="宋体"/>
          <w:bCs/>
          <w:color w:val="000000"/>
          <w:sz w:val="24"/>
          <w:highlight w:val="none"/>
        </w:rPr>
        <w:br w:type="page"/>
      </w:r>
    </w:p>
    <w:p>
      <w:pPr>
        <w:ind w:left="0" w:leftChars="0" w:firstLine="0" w:firstLineChars="0"/>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幸福99丰裕固收763天26005期理财</w:t>
      </w:r>
      <w:r>
        <w:rPr>
          <w:rFonts w:hint="eastAsia" w:ascii="宋体" w:hAnsi="宋体" w:cs="宋体"/>
          <w:b/>
          <w:bCs/>
          <w:sz w:val="44"/>
          <w:szCs w:val="44"/>
          <w:highlight w:val="none"/>
        </w:rPr>
        <w:t>风险揭示书</w:t>
      </w:r>
    </w:p>
    <w:p>
      <w:pPr>
        <w:jc w:val="center"/>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763</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9"/>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9"/>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r>
        <w:rPr>
          <w:rFonts w:ascii="宋体" w:hAnsi="宋体" w:cs="宋体"/>
          <w:bCs/>
          <w:color w:val="000000"/>
          <w:sz w:val="24"/>
          <w:highlight w:val="none"/>
        </w:rPr>
        <w:br w:type="page"/>
      </w:r>
    </w:p>
    <w:p>
      <w:pPr>
        <w:pageBreakBefore/>
        <w:widowControl/>
        <w:ind w:left="0" w:leftChars="0" w:firstLine="0" w:firstLineChars="0"/>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幸福99丰裕固收763天26005期理财</w:t>
      </w:r>
      <w:r>
        <w:rPr>
          <w:rFonts w:hint="eastAsia" w:ascii="宋体" w:hAnsi="宋体" w:cs="宋体"/>
          <w:b/>
          <w:bCs/>
          <w:sz w:val="44"/>
          <w:szCs w:val="44"/>
          <w:highlight w:val="none"/>
        </w:rPr>
        <w:t>产品说明书</w:t>
      </w:r>
    </w:p>
    <w:p>
      <w:pPr>
        <w:jc w:val="center"/>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Z7002226000044</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9"/>
        </w:numPr>
        <w:spacing w:line="360" w:lineRule="auto"/>
        <w:jc w:val="left"/>
        <w:outlineLvl w:val="9"/>
        <w:rPr>
          <w:rFonts w:ascii="宋体" w:hAnsi="宋体" w:cs="宋体"/>
          <w:b/>
          <w:sz w:val="24"/>
          <w:highlight w:val="none"/>
        </w:rPr>
      </w:pPr>
      <w:r>
        <w:rPr>
          <w:rFonts w:hint="eastAsia" w:ascii="宋体" w:hAnsi="宋体" w:cs="宋体"/>
          <w:b/>
          <w:sz w:val="24"/>
          <w:highlight w:val="none"/>
        </w:rPr>
        <w:t>重要须知</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11"/>
        </w:numPr>
        <w:spacing w:line="360" w:lineRule="auto"/>
        <w:jc w:val="left"/>
        <w:outlineLvl w:val="9"/>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15"/>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15"/>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15"/>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15"/>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16"/>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17"/>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8"/>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8"/>
        </w:numPr>
        <w:adjustRightInd/>
        <w:spacing w:line="360" w:lineRule="auto"/>
        <w:outlineLvl w:val="9"/>
        <w:rPr>
          <w:rFonts w:hint="eastAsia" w:ascii="宋体" w:hAnsi="宋体" w:cs="宋体"/>
          <w:b/>
          <w:color w:val="auto"/>
          <w:kern w:val="2"/>
          <w:highlight w:val="none"/>
        </w:rPr>
      </w:pPr>
      <w:bookmarkStart w:id="0" w:name="_GoBack"/>
      <w:bookmarkEnd w:id="0"/>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幸福99丰裕固收763天26005期理财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丰裕固收26005期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FYG26005</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Z7002226000044</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A份额（销售代码〖FYG26005A〗）：普通个人投资者和机构客户。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B份额（销售代码〖FYG26005B〗）：普通个人投资者和机构客户。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C份额（销售代码〖FYG26005C〗）：普通个人投资者和机构客户。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D份额（销售代码〖FYG26005D〗）：普通个人投资者和机构客户。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E份额（幸福金桂）（销售代码〖FYG26005E〗）：普通个人投资者和机构客户。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F份额（幸福金桂私行专属）（销售代码〖FYG26005F〗）：普通个人投资者和机构客户。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G份额（销售代码〖FYG26005G〗）：普通个人投资者和机构客户。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H份额（汉口银行新春专属）（销售代码〖FYG26005H〗）：普通个人投资者和机构客户。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I份额（爽盈优选）（销售代码〖FYG26005I〗）：普通个人投资者和机构客户。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L份额（天府·优选-新春专享）（销售代码〖FYG26005L〗）：普通个人投资者和机构客户。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M份额（湖北银行新春特惠）（销售代码〖FYG26005M〗）：普通个人投资者和机构客户。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N份额惠享款（长长财富·专属）（销售代码〖FYG26005N〗）：普通个人投资者和机构客户。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P份额（芙蓉锦程·优选）（销售代码〖FYG26005P〗）：普通个人投资者和机构客户。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Q份额（芙蓉锦程·优选-尊享款）（销售代码〖FYG26005Q〗）：普通个人投资者和机构客户。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R份额（兰州银行开门红专属）（销售代码〖FYG26005R〗）：普通个人投资者和机构客户。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W份额惠享款（销售代码〖FYG26005W〗）：普通个人投资者和机构客户。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Y份额惠享款（销售代码〖FYG26005Y〗）：普通个人投资者和机构客户。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Z份额惠享款（销售代码〖FYG26005Z〗）：普通个人投资者和机构客户。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11</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12</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2028</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16</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763</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〖F份额〗起点〖1〗元整，超过认购起点部分，应为〖1〗元的整数倍。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本理财计划〖C份额〗业绩比较基准为〖2.70%-2.90%〗（年化）。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本理财计划〖F份额〗业绩比较基准为〖2.65%-2.85%〗（年化）。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本理财计划〖H份额〗业绩比较基准为〖2.85%-3.05%〗（年化）。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本理财计划〖M份额〗业绩比较基准为〖2.85%-3.05%〗（年化）。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本理财计划〖Z份额〗业绩比较基准为〖2.70%-2.90%〗（年化）。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〖E份额〗收取年化〖0.20%〗的销售服务费, 〖F份额〗收取年化〖0.15%〗的销售服务费, 〖G份额〗收取年化〖0.40%〗的销售服务费, 〖H份额〗收取年化〖0.01%〗的销售服务费, 〖I份额〗收取年化〖0.30%〗的销售服务费, 〖L份额〗收取年化〖0.05%〗的销售服务费, 〖M份额〗收取年化〖0.01%〗的销售服务费, 〖N份额〗收取年化〖0.20%〗的销售服务费, 〖P份额〗收取年化〖0.15%〗的销售服务费, 〖Q份额〗收取年化〖0.05%〗的销售服务费, 〖R份额〗收取年化〖0.15%〗的销售服务费, 〖W份额〗收取年化〖0.30%〗的销售服务费, 〖Y份额〗收取年化〖0.20%〗的销售服务费, 〖Z份额〗收取年化〖0.10%〗的销售服务费。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〖E份额〗收取年化〖0.10%〗的固定管理费, 〖F份额〗收取年化〖0.10%〗的固定管理费, 〖G份额〗收取年化〖0.10%〗的固定管理费, 〖H份额〗收取年化〖0.04%〗的固定管理费, 〖I份额〗收取年化〖0.10%〗的固定管理费, 〖L份额〗收取年化〖0.05%〗的固定管理费, 〖M份额〗收取年化〖0.04%〗的固定管理费, 〖N份额〗收取年化〖0.10%〗的固定管理费, 〖P份额〗收取年化〖0.10%〗的固定管理费, 〖Q份额〗收取年化〖0.05%〗的固定管理费, 〖R份额〗收取年化〖0.10%〗的固定管理费, 〖W份额〗收取年化〖0.10%〗的固定管理费, 〖Y份额〗收取年化〖0.10%〗的固定管理费, 〖Z份额〗收取年化〖0.10%〗的固定管理费。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到期日（提前终止日）的折合年化收益率在〖业绩比较基准下限（含）至业绩比较基准上限（含）〗的部分，管理人提取〖50%〗作为浮动管理费，在折合年化收益率超过〖业绩比较基准上限〗的部分，管理人提取〖80%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9"/>
        </w:numPr>
        <w:spacing w:line="360" w:lineRule="auto"/>
        <w:outlineLvl w:val="9"/>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20"/>
        </w:numPr>
        <w:spacing w:line="360" w:lineRule="auto"/>
        <w:jc w:val="left"/>
        <w:outlineLvl w:val="9"/>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21"/>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21"/>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21"/>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21"/>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22"/>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2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23"/>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25"/>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26"/>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26"/>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26"/>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8"/>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3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3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3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3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3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33"/>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费用及税收</w:t>
      </w:r>
    </w:p>
    <w:p>
      <w:pPr>
        <w:numPr>
          <w:ilvl w:val="0"/>
          <w:numId w:val="34"/>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34"/>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F份额〗、〖G份额〗、〖H份额〗、〖I份额〗、〖L份额〗、〖P份额〗、〖Q份额〗、〖R份额〗和销售服务费于产品成立日一次性收取的〖M份额〗、〖N份额〗、〖W份额〗、〖Y份额〗、〖Z份额〗。A份额的年化销售服务费率为〖0.30%〗, B份额的年化销售服务费率为〖0.20%〗, C份额的年化销售服务费率为〖0.10%〗, D份额的年化销售服务费率为〖0.15%〗, E份额的年化销售服务费率为〖0.20%〗, F份额的年化销售服务费率为〖0.15%〗, G份额的年化销售服务费率为〖0.40%〗, H份额的年化销售服务费率为〖0.01%〗, I份额的年化销售服务费率为〖0.30%〗, L份额的年化销售服务费率为〖0.05%〗, M份额的年化销售服务费率为〖0.01%〗, N份额的年化销售服务费率为〖0.20%〗, P份额的年化销售服务费率为〖0.15%〗, Q份额的年化销售服务费率为〖0.05%〗, R份额的年化销售服务费率为〖0.15%〗, W份额的年化销售服务费率为〖0.30%〗, Y份额的年化销售服务费率为〖0.20%〗, Z份额的年化销售服务费率为〖0.10%〗。两种计算方法如下：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H2＝E2×〖0.01%〗×P÷365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H2为〖M份额〗应计提的销售服务费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E2为〖M份额〗成立日产品份额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E份额的年化固定管理费率为〖0.10%〗, F份额的年化固定管理费率为〖0.10%〗, G份额的年化固定管理费率为〖0.10%〗, H份额的年化固定管理费率为〖0.04%〗, I份额的年化固定管理费率为〖0.10%〗, L份额的年化固定管理费率为〖0.05%〗, M份额的年化固定管理费率为〖0.04%〗, N份额的年化固定管理费率为〖0.10%〗, P份额的年化固定管理费率为〖0.10%〗, Q份额的年化固定管理费率为〖0.05%〗, R份额的年化固定管理费率为〖0.10%〗, W份额的年化固定管理费率为〖0.10%〗, Y份额的年化固定管理费率为〖0.10%〗, 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3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税收说明</w:t>
      </w:r>
    </w:p>
    <w:p>
      <w:pPr>
        <w:numPr>
          <w:ilvl w:val="0"/>
          <w:numId w:val="38"/>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8"/>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8"/>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收益计算</w:t>
      </w:r>
    </w:p>
    <w:p>
      <w:pPr>
        <w:numPr>
          <w:ilvl w:val="0"/>
          <w:numId w:val="3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交易规则</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认购</w:t>
      </w:r>
    </w:p>
    <w:p>
      <w:pPr>
        <w:numPr>
          <w:ilvl w:val="0"/>
          <w:numId w:val="42"/>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42"/>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42"/>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成立</w:t>
      </w:r>
    </w:p>
    <w:p>
      <w:pPr>
        <w:numPr>
          <w:ilvl w:val="0"/>
          <w:numId w:val="4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43"/>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信息披露</w:t>
      </w:r>
    </w:p>
    <w:p>
      <w:pPr>
        <w:numPr>
          <w:ilvl w:val="0"/>
          <w:numId w:val="46"/>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47"/>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8"/>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8"/>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47"/>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9"/>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9"/>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9"/>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47"/>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5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50"/>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46"/>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其他</w:t>
      </w:r>
    </w:p>
    <w:p>
      <w:pPr>
        <w:numPr>
          <w:ilvl w:val="0"/>
          <w:numId w:val="5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51"/>
        </w:numPr>
        <w:tabs>
          <w:tab w:val="left" w:pos="6090"/>
        </w:tabs>
        <w:spacing w:line="360" w:lineRule="auto"/>
        <w:jc w:val="left"/>
        <w:outlineLvl w:val="9"/>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5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5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rPr>
          <w:rFonts w:ascii="宋体" w:hAnsi="宋体" w:cs="宋体"/>
          <w:bCs/>
          <w:color w:val="000000"/>
          <w:sz w:val="24"/>
          <w:highlight w:val="none"/>
        </w:rPr>
      </w:pPr>
      <w:r>
        <w:rPr>
          <w:rFonts w:ascii="宋体" w:hAnsi="宋体" w:cs="宋体"/>
          <w:bCs/>
          <w:color w:val="000000"/>
          <w:sz w:val="24"/>
          <w:highlight w:val="none"/>
        </w:rPr>
        <w:br w:type="page"/>
      </w:r>
    </w:p>
    <w:p>
      <w:pPr>
        <w:spacing w:line="360" w:lineRule="auto"/>
        <w:jc w:val="center"/>
        <w:outlineLvl w:val="9"/>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52"/>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w:t>
      </w:r>
      <w:r>
        <w:rPr>
          <w:rFonts w:hint="eastAsia" w:ascii="宋体" w:hAnsi="宋体" w:cs="宋体"/>
          <w:kern w:val="0"/>
          <w:sz w:val="24"/>
          <w:highlight w:val="none"/>
          <w:lang w:val="en-US" w:eastAsia="zh-CN"/>
        </w:rPr>
        <w:t>代理销售</w:t>
      </w:r>
      <w:r>
        <w:rPr>
          <w:rFonts w:hint="eastAsia" w:ascii="宋体" w:hAnsi="宋体" w:cs="宋体"/>
          <w:kern w:val="0"/>
          <w:sz w:val="24"/>
          <w:highlight w:val="none"/>
          <w:lang w:eastAsia="zh-CN"/>
        </w:rPr>
        <w:t>）销售协议书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r>
        <w:rPr>
          <w:rFonts w:hint="eastAsia" w:ascii="宋体" w:hAnsi="宋体" w:cs="宋体"/>
          <w:kern w:val="0"/>
          <w:sz w:val="24"/>
          <w:highlight w:val="none"/>
          <w:lang w:val="en-US" w:eastAsia="zh-CN"/>
        </w:rPr>
        <w:t>在没有销售人员推介的情况下，投资者通过自助终端等电子设备进行自主购买的情况除外。</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54"/>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pStyle w:val="17"/>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55"/>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5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5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5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5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5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5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5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5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60"/>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1"/>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60"/>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color w:val="auto"/>
          <w:kern w:val="0"/>
          <w:sz w:val="24"/>
          <w:highlight w:val="none"/>
          <w:u w:val="none"/>
          <w:lang w:val="en-US" w:eastAsia="zh-CN"/>
        </w:rPr>
        <w:fldChar w:fldCharType="begin"/>
      </w:r>
      <w:r>
        <w:rPr>
          <w:rFonts w:hint="eastAsia" w:ascii="宋体" w:hAnsi="宋体" w:cs="宋体"/>
          <w:color w:val="auto"/>
          <w:kern w:val="0"/>
          <w:sz w:val="24"/>
          <w:highlight w:val="none"/>
          <w:u w:val="none"/>
          <w:lang w:val="en-US" w:eastAsia="zh-CN"/>
        </w:rPr>
        <w:instrText xml:space="preserve"> HYPERLINK "http://www.hzbankwealth.cn" </w:instrText>
      </w:r>
      <w:r>
        <w:rPr>
          <w:rFonts w:hint="eastAsia" w:ascii="宋体" w:hAnsi="宋体" w:cs="宋体"/>
          <w:color w:val="auto"/>
          <w:kern w:val="0"/>
          <w:sz w:val="24"/>
          <w:highlight w:val="none"/>
          <w:u w:val="none"/>
          <w:lang w:val="en-US" w:eastAsia="zh-CN"/>
        </w:rPr>
        <w:fldChar w:fldCharType="separate"/>
      </w:r>
      <w:r>
        <w:rPr>
          <w:rStyle w:val="11"/>
          <w:rFonts w:hint="eastAsia" w:ascii="宋体" w:hAnsi="宋体" w:cs="宋体"/>
          <w:color w:val="auto"/>
          <w:kern w:val="0"/>
          <w:sz w:val="24"/>
          <w:highlight w:val="none"/>
          <w:u w:val="none"/>
          <w:lang w:val="en-US" w:eastAsia="zh-CN"/>
        </w:rPr>
        <w:t>www.hzbank.com.cn</w:t>
      </w:r>
      <w:r>
        <w:rPr>
          <w:rFonts w:hint="eastAsia" w:ascii="宋体" w:hAnsi="宋体" w:cs="宋体"/>
          <w:color w:val="auto"/>
          <w:kern w:val="0"/>
          <w:sz w:val="24"/>
          <w:highlight w:val="none"/>
          <w:u w:val="non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ascii="宋体" w:hAnsi="宋体" w:cs="宋体"/>
          <w:bCs/>
          <w:color w:val="000000"/>
          <w:sz w:val="24"/>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rPr>
          <w:rFonts w:ascii="宋体" w:hAnsi="宋体" w:cs="宋体"/>
          <w:bCs/>
          <w:color w:val="000000"/>
          <w:sz w:val="24"/>
          <w:highlight w:val="none"/>
        </w:rPr>
      </w:pPr>
      <w:r>
        <w:rPr>
          <w:rFonts w:ascii="宋体" w:hAnsi="宋体" w:cs="宋体"/>
          <w:bCs/>
          <w:color w:val="000000"/>
          <w:sz w:val="24"/>
          <w:highlight w:val="none"/>
        </w:rPr>
        <w:br w:type="page"/>
      </w:r>
    </w:p>
    <w:p>
      <w:pPr>
        <w:jc w:val="center"/>
        <w:outlineLvl w:val="9"/>
        <w:rPr>
          <w:rFonts w:hint="eastAsia"/>
          <w:b/>
          <w:sz w:val="44"/>
          <w:szCs w:val="44"/>
          <w:highlight w:val="none"/>
        </w:rPr>
      </w:pPr>
      <w:r>
        <w:rPr>
          <w:rFonts w:hint="eastAsia"/>
          <w:b/>
          <w:sz w:val="44"/>
          <w:szCs w:val="44"/>
          <w:highlight w:val="none"/>
        </w:rPr>
        <w:t>杭银理财理财计划投资协议书</w:t>
      </w:r>
    </w:p>
    <w:p>
      <w:pPr>
        <w:jc w:val="center"/>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61"/>
        </w:numPr>
        <w:spacing w:line="360" w:lineRule="auto"/>
        <w:ind w:firstLine="482" w:firstLineChars="200"/>
        <w:outlineLvl w:val="9"/>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投资者权利与义务</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管理人权利与义务</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63"/>
        </w:numPr>
        <w:spacing w:line="360" w:lineRule="auto"/>
        <w:contextualSpacing/>
        <w:outlineLvl w:val="9"/>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理财计划认（申）购、赎回及终止</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64"/>
        </w:numPr>
        <w:spacing w:line="360" w:lineRule="auto"/>
        <w:contextualSpacing/>
        <w:outlineLvl w:val="9"/>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违约责任及免责条款</w:t>
      </w:r>
    </w:p>
    <w:p>
      <w:pPr>
        <w:widowControl/>
        <w:numPr>
          <w:ilvl w:val="0"/>
          <w:numId w:val="65"/>
        </w:numPr>
        <w:spacing w:line="360" w:lineRule="auto"/>
        <w:contextualSpacing/>
        <w:outlineLvl w:val="9"/>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65"/>
        </w:numPr>
        <w:spacing w:line="360" w:lineRule="auto"/>
        <w:contextualSpacing/>
        <w:outlineLvl w:val="9"/>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65"/>
        </w:numPr>
        <w:spacing w:line="360" w:lineRule="auto"/>
        <w:contextualSpacing/>
        <w:outlineLvl w:val="9"/>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65"/>
        </w:numPr>
        <w:spacing w:line="360" w:lineRule="auto"/>
        <w:contextualSpacing/>
        <w:outlineLvl w:val="9"/>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65"/>
        </w:numPr>
        <w:spacing w:line="360" w:lineRule="auto"/>
        <w:contextualSpacing/>
        <w:outlineLvl w:val="9"/>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65"/>
        </w:numPr>
        <w:spacing w:line="360" w:lineRule="auto"/>
        <w:contextualSpacing/>
        <w:outlineLvl w:val="9"/>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61"/>
        </w:numPr>
        <w:spacing w:line="360" w:lineRule="auto"/>
        <w:ind w:firstLine="482" w:firstLineChars="200"/>
        <w:outlineLvl w:val="9"/>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协议生效和终止</w:t>
      </w:r>
    </w:p>
    <w:p>
      <w:pPr>
        <w:widowControl/>
        <w:numPr>
          <w:ilvl w:val="0"/>
          <w:numId w:val="66"/>
        </w:numPr>
        <w:spacing w:line="360" w:lineRule="auto"/>
        <w:contextualSpacing/>
        <w:outlineLvl w:val="9"/>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6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6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6"/>
        </w:numPr>
        <w:spacing w:line="360" w:lineRule="auto"/>
        <w:contextualSpacing/>
        <w:outlineLvl w:val="9"/>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61"/>
        </w:numPr>
        <w:spacing w:line="360" w:lineRule="auto"/>
        <w:ind w:firstLine="482" w:firstLineChars="200"/>
        <w:outlineLvl w:val="9"/>
        <w:rPr>
          <w:b/>
          <w:sz w:val="24"/>
          <w:highlight w:val="none"/>
        </w:rPr>
      </w:pPr>
      <w:r>
        <w:rPr>
          <w:rFonts w:hint="eastAsia"/>
          <w:b/>
          <w:sz w:val="24"/>
          <w:highlight w:val="none"/>
        </w:rPr>
        <w:t>附则</w:t>
      </w:r>
    </w:p>
    <w:p>
      <w:pPr>
        <w:widowControl/>
        <w:numPr>
          <w:ilvl w:val="0"/>
          <w:numId w:val="67"/>
        </w:numPr>
        <w:spacing w:line="360" w:lineRule="auto"/>
        <w:contextualSpacing/>
        <w:outlineLvl w:val="9"/>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67"/>
        </w:numPr>
        <w:spacing w:line="360" w:lineRule="auto"/>
        <w:contextualSpacing/>
        <w:outlineLvl w:val="9"/>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67"/>
        </w:numPr>
        <w:spacing w:line="360" w:lineRule="auto"/>
        <w:contextualSpacing/>
        <w:outlineLvl w:val="9"/>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6"/>
        <w:widowControl/>
        <w:spacing w:line="360" w:lineRule="auto"/>
        <w:jc w:val="right"/>
        <w:rPr>
          <w:rFonts w:ascii="宋体" w:hAnsi="宋体" w:cs="宋体"/>
          <w:bCs/>
          <w:color w:val="000000"/>
          <w:sz w:val="24"/>
          <w:highlight w:val="none"/>
        </w:rPr>
      </w:pPr>
      <w:r>
        <w:rPr>
          <w:rFonts w:hint="eastAsia" w:ascii="宋体" w:hAnsi="宋体" w:cs="宋体"/>
          <w:kern w:val="0"/>
          <w:highlight w:val="none"/>
        </w:rPr>
        <w:t>杭银理财有限责任公司</w:t>
      </w:r>
    </w:p>
    <w:p>
      <w:pPr>
        <w:pageBreakBefore/>
        <w:widowControl/>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ascii="宋体" w:hAnsi="宋体" w:cs="宋体"/>
          <w:bCs/>
          <w:color w:val="000000"/>
          <w:sz w:val="24"/>
          <w:highlight w:val="none"/>
        </w:rPr>
      </w:pPr>
      <w:r>
        <w:rPr>
          <w:rFonts w:hint="eastAsia" w:ascii="Arial" w:hAnsi="Arial"/>
          <w:sz w:val="24"/>
          <w:highlight w:val="none"/>
        </w:rPr>
        <w:t xml:space="preserve">   年   月   日</w:t>
      </w:r>
    </w:p>
    <w:p>
      <w:pPr>
        <w:pageBreakBefore/>
        <w:widowControl/>
        <w:spacing w:line="120" w:lineRule="auto"/>
        <w:jc w:val="center"/>
        <w:outlineLvl w:val="9"/>
        <w:rPr>
          <w:rFonts w:hint="eastAsia" w:ascii="Calibri" w:hAnsi="Calibri" w:eastAsia="宋体" w:cs="黑体"/>
          <w:b/>
          <w:bCs w:val="0"/>
          <w:sz w:val="44"/>
          <w:szCs w:val="44"/>
          <w:highlight w:val="none"/>
        </w:rPr>
      </w:pPr>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68"/>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68"/>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销售机构对投资者负有信息保密义务，未经投资者书面许可，销售机构不得向任何组织、个人提供或泄露与投资者有关的业务资料及信息，但法律、法规、监管机构另有规定的除外。</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63"/>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63"/>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63"/>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72"/>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7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7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7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7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7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7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eastAsia" w:ascii="宋体" w:hAnsi="宋体" w:eastAsia="宋体" w:cs="黑体"/>
          <w:b w:val="0"/>
          <w:bCs w:val="0"/>
          <w:sz w:val="24"/>
          <w:szCs w:val="24"/>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rPr>
          <w:rFonts w:hint="eastAsia"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br w:type="page"/>
      </w:r>
    </w:p>
    <w:p>
      <w:pPr>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ascii="宋体" w:hAnsi="宋体" w:cs="宋体"/>
          <w:bCs/>
          <w:color w:val="000000"/>
          <w:sz w:val="24"/>
        </w:rPr>
      </w:pPr>
      <w:r>
        <w:rPr>
          <w:rFonts w:hint="eastAsia" w:ascii="Arial" w:hAnsi="Arial"/>
          <w:sz w:val="24"/>
          <w:highlight w:val="none"/>
        </w:rPr>
        <w:t xml:space="preserve">   年   月   日</w:t>
      </w:r>
    </w:p>
    <w:p>
      <w:pPr>
        <w:spacing w:before="156" w:beforeLines="50" w:after="156" w:afterLines="50" w:line="360" w:lineRule="auto"/>
        <w:ind w:firstLine="0" w:firstLineChars="0"/>
        <w:jc w:val="cente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2">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
    <w:nsid w:val="8906C252"/>
    <w:multiLevelType w:val="singleLevel"/>
    <w:tmpl w:val="8906C252"/>
    <w:lvl w:ilvl="0" w:tentative="0">
      <w:start w:val="1"/>
      <w:numFmt w:val="decimal"/>
      <w:suff w:val="nothing"/>
      <w:lvlText w:val="（%1）"/>
      <w:lvlJc w:val="left"/>
      <w:rPr>
        <w:rFonts w:hint="default"/>
        <w:b w:val="0"/>
        <w:bCs w:val="0"/>
      </w:rPr>
    </w:lvl>
  </w:abstractNum>
  <w:abstractNum w:abstractNumId="4">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6">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7">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8">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9">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10">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1">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2">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3">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4">
    <w:nsid w:val="AC40BB97"/>
    <w:multiLevelType w:val="singleLevel"/>
    <w:tmpl w:val="AC40BB97"/>
    <w:lvl w:ilvl="0" w:tentative="0">
      <w:start w:val="1"/>
      <w:numFmt w:val="chineseCounting"/>
      <w:suff w:val="nothing"/>
      <w:lvlText w:val="%1、"/>
      <w:lvlJc w:val="left"/>
      <w:rPr>
        <w:rFonts w:hint="eastAsia"/>
      </w:rPr>
    </w:lvl>
  </w:abstractNum>
  <w:abstractNum w:abstractNumId="15">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6">
    <w:nsid w:val="B08226EF"/>
    <w:multiLevelType w:val="singleLevel"/>
    <w:tmpl w:val="B08226EF"/>
    <w:lvl w:ilvl="0" w:tentative="0">
      <w:start w:val="1"/>
      <w:numFmt w:val="chineseCounting"/>
      <w:suff w:val="space"/>
      <w:lvlText w:val="第%1条"/>
      <w:lvlJc w:val="left"/>
      <w:rPr>
        <w:rFonts w:hint="eastAsia"/>
      </w:rPr>
    </w:lvl>
  </w:abstractNum>
  <w:abstractNum w:abstractNumId="17">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8">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9">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20">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21">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22">
    <w:nsid w:val="D8D75090"/>
    <w:multiLevelType w:val="singleLevel"/>
    <w:tmpl w:val="D8D75090"/>
    <w:lvl w:ilvl="0" w:tentative="0">
      <w:start w:val="1"/>
      <w:numFmt w:val="decimal"/>
      <w:suff w:val="nothing"/>
      <w:lvlText w:val="（%1）"/>
      <w:lvlJc w:val="left"/>
      <w:rPr>
        <w:rFonts w:hint="default"/>
        <w:b w:val="0"/>
        <w:bCs w:val="0"/>
      </w:rPr>
    </w:lvl>
  </w:abstractNum>
  <w:abstractNum w:abstractNumId="23">
    <w:nsid w:val="DD2251DF"/>
    <w:multiLevelType w:val="singleLevel"/>
    <w:tmpl w:val="DD2251DF"/>
    <w:lvl w:ilvl="0" w:tentative="0">
      <w:start w:val="1"/>
      <w:numFmt w:val="decimal"/>
      <w:suff w:val="nothing"/>
      <w:lvlText w:val="（%1）"/>
      <w:lvlJc w:val="left"/>
      <w:rPr>
        <w:rFonts w:hint="default"/>
        <w:b w:val="0"/>
        <w:bCs w:val="0"/>
      </w:rPr>
    </w:lvl>
  </w:abstractNum>
  <w:abstractNum w:abstractNumId="24">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5">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6">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7">
    <w:nsid w:val="F574F5B6"/>
    <w:multiLevelType w:val="singleLevel"/>
    <w:tmpl w:val="F574F5B6"/>
    <w:lvl w:ilvl="0" w:tentative="0">
      <w:start w:val="1"/>
      <w:numFmt w:val="decimal"/>
      <w:suff w:val="nothing"/>
      <w:lvlText w:val="（%1）"/>
      <w:lvlJc w:val="left"/>
    </w:lvl>
  </w:abstractNum>
  <w:abstractNum w:abstractNumId="28">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9">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0">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31">
    <w:nsid w:val="084A6179"/>
    <w:multiLevelType w:val="singleLevel"/>
    <w:tmpl w:val="084A6179"/>
    <w:lvl w:ilvl="0" w:tentative="0">
      <w:start w:val="1"/>
      <w:numFmt w:val="decimal"/>
      <w:suff w:val="nothing"/>
      <w:lvlText w:val="（%1）"/>
      <w:lvlJc w:val="left"/>
      <w:rPr>
        <w:rFonts w:hint="default"/>
        <w:highlight w:val="none"/>
      </w:rPr>
    </w:lvl>
  </w:abstractNum>
  <w:abstractNum w:abstractNumId="3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3">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34">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5">
    <w:nsid w:val="167B0BB4"/>
    <w:multiLevelType w:val="singleLevel"/>
    <w:tmpl w:val="167B0BB4"/>
    <w:lvl w:ilvl="0" w:tentative="0">
      <w:start w:val="1"/>
      <w:numFmt w:val="decimal"/>
      <w:suff w:val="nothing"/>
      <w:lvlText w:val="（%1）"/>
      <w:lvlJc w:val="left"/>
    </w:lvl>
  </w:abstractNum>
  <w:abstractNum w:abstractNumId="36">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7">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38">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9">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40">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41">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42">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43">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44">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45">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46">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47">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8">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9">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0">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51">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52">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53">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4">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55">
    <w:nsid w:val="60C03933"/>
    <w:multiLevelType w:val="singleLevel"/>
    <w:tmpl w:val="60C03933"/>
    <w:lvl w:ilvl="0" w:tentative="0">
      <w:start w:val="1"/>
      <w:numFmt w:val="chineseCounting"/>
      <w:suff w:val="nothing"/>
      <w:lvlText w:val="（%1）"/>
      <w:lvlJc w:val="left"/>
      <w:pPr>
        <w:ind w:left="0" w:firstLine="420"/>
      </w:pPr>
      <w:rPr>
        <w:rFonts w:hint="eastAsia"/>
      </w:rPr>
    </w:lvl>
  </w:abstractNum>
  <w:abstractNum w:abstractNumId="56">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57">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58">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59">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60">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61">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62">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63">
    <w:nsid w:val="60C03F4B"/>
    <w:multiLevelType w:val="singleLevel"/>
    <w:tmpl w:val="60C03F4B"/>
    <w:lvl w:ilvl="0" w:tentative="0">
      <w:start w:val="1"/>
      <w:numFmt w:val="chineseCounting"/>
      <w:suff w:val="nothing"/>
      <w:lvlText w:val="（%1）"/>
      <w:lvlJc w:val="left"/>
      <w:pPr>
        <w:ind w:left="0" w:firstLine="420"/>
      </w:pPr>
      <w:rPr>
        <w:rFonts w:hint="eastAsia"/>
      </w:rPr>
    </w:lvl>
  </w:abstractNum>
  <w:abstractNum w:abstractNumId="64">
    <w:nsid w:val="61CBC088"/>
    <w:multiLevelType w:val="singleLevel"/>
    <w:tmpl w:val="61CBC088"/>
    <w:lvl w:ilvl="0" w:tentative="0">
      <w:start w:val="1"/>
      <w:numFmt w:val="chineseCounting"/>
      <w:suff w:val="nothing"/>
      <w:lvlText w:val="（%1）"/>
      <w:lvlJc w:val="left"/>
      <w:pPr>
        <w:ind w:left="0" w:firstLine="420"/>
      </w:pPr>
      <w:rPr>
        <w:rFonts w:hint="eastAsia"/>
        <w:b w:val="0"/>
        <w:bCs w:val="0"/>
      </w:rPr>
    </w:lvl>
  </w:abstractNum>
  <w:abstractNum w:abstractNumId="65">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66">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67">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68">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69">
    <w:nsid w:val="61CBC28E"/>
    <w:multiLevelType w:val="singleLevel"/>
    <w:tmpl w:val="61CBC28E"/>
    <w:lvl w:ilvl="0" w:tentative="0">
      <w:start w:val="1"/>
      <w:numFmt w:val="chineseCounting"/>
      <w:suff w:val="nothing"/>
      <w:lvlText w:val="（%1）"/>
      <w:lvlJc w:val="left"/>
      <w:pPr>
        <w:ind w:left="0" w:firstLine="420"/>
      </w:pPr>
      <w:rPr>
        <w:rFonts w:hint="eastAsia"/>
      </w:rPr>
    </w:lvl>
  </w:abstractNum>
  <w:abstractNum w:abstractNumId="70">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71">
    <w:nsid w:val="6BA7AFBC"/>
    <w:multiLevelType w:val="singleLevel"/>
    <w:tmpl w:val="6BA7AFBC"/>
    <w:lvl w:ilvl="0" w:tentative="0">
      <w:start w:val="1"/>
      <w:numFmt w:val="chineseCounting"/>
      <w:suff w:val="nothing"/>
      <w:lvlText w:val="（%1）"/>
      <w:lvlJc w:val="left"/>
      <w:pPr>
        <w:ind w:left="0" w:firstLine="420"/>
      </w:pPr>
      <w:rPr>
        <w:rFonts w:hint="eastAsia"/>
      </w:rPr>
    </w:lvl>
  </w:abstractNum>
  <w:abstractNum w:abstractNumId="72">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3">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4"/>
  </w:num>
  <w:num w:numId="2">
    <w:abstractNumId w:val="0"/>
  </w:num>
  <w:num w:numId="3">
    <w:abstractNumId w:val="42"/>
  </w:num>
  <w:num w:numId="4">
    <w:abstractNumId w:val="37"/>
  </w:num>
  <w:num w:numId="5">
    <w:abstractNumId w:val="49"/>
  </w:num>
  <w:num w:numId="6">
    <w:abstractNumId w:val="72"/>
  </w:num>
  <w:num w:numId="7">
    <w:abstractNumId w:val="32"/>
  </w:num>
  <w:num w:numId="8">
    <w:abstractNumId w:val="73"/>
  </w:num>
  <w:num w:numId="9">
    <w:abstractNumId w:val="47"/>
  </w:num>
  <w:num w:numId="10">
    <w:abstractNumId w:val="44"/>
  </w:num>
  <w:num w:numId="11">
    <w:abstractNumId w:val="28"/>
  </w:num>
  <w:num w:numId="12">
    <w:abstractNumId w:val="26"/>
  </w:num>
  <w:num w:numId="13">
    <w:abstractNumId w:val="33"/>
  </w:num>
  <w:num w:numId="14">
    <w:abstractNumId w:val="25"/>
  </w:num>
  <w:num w:numId="15">
    <w:abstractNumId w:val="20"/>
  </w:num>
  <w:num w:numId="16">
    <w:abstractNumId w:val="11"/>
  </w:num>
  <w:num w:numId="17">
    <w:abstractNumId w:val="17"/>
  </w:num>
  <w:num w:numId="18">
    <w:abstractNumId w:val="8"/>
  </w:num>
  <w:num w:numId="19">
    <w:abstractNumId w:val="9"/>
  </w:num>
  <w:num w:numId="20">
    <w:abstractNumId w:val="7"/>
  </w:num>
  <w:num w:numId="21">
    <w:abstractNumId w:val="70"/>
  </w:num>
  <w:num w:numId="22">
    <w:abstractNumId w:val="5"/>
  </w:num>
  <w:num w:numId="23">
    <w:abstractNumId w:val="1"/>
  </w:num>
  <w:num w:numId="24">
    <w:abstractNumId w:val="43"/>
  </w:num>
  <w:num w:numId="25">
    <w:abstractNumId w:val="27"/>
  </w:num>
  <w:num w:numId="26">
    <w:abstractNumId w:val="19"/>
  </w:num>
  <w:num w:numId="27">
    <w:abstractNumId w:val="38"/>
  </w:num>
  <w:num w:numId="28">
    <w:abstractNumId w:val="21"/>
  </w:num>
  <w:num w:numId="29">
    <w:abstractNumId w:val="6"/>
  </w:num>
  <w:num w:numId="30">
    <w:abstractNumId w:val="46"/>
  </w:num>
  <w:num w:numId="31">
    <w:abstractNumId w:val="4"/>
  </w:num>
  <w:num w:numId="32">
    <w:abstractNumId w:val="31"/>
  </w:num>
  <w:num w:numId="33">
    <w:abstractNumId w:val="36"/>
  </w:num>
  <w:num w:numId="34">
    <w:abstractNumId w:val="71"/>
  </w:num>
  <w:num w:numId="35">
    <w:abstractNumId w:val="30"/>
  </w:num>
  <w:num w:numId="36">
    <w:abstractNumId w:val="23"/>
  </w:num>
  <w:num w:numId="37">
    <w:abstractNumId w:val="41"/>
  </w:num>
  <w:num w:numId="38">
    <w:abstractNumId w:val="2"/>
  </w:num>
  <w:num w:numId="39">
    <w:abstractNumId w:val="24"/>
  </w:num>
  <w:num w:numId="40">
    <w:abstractNumId w:val="29"/>
  </w:num>
  <w:num w:numId="41">
    <w:abstractNumId w:val="45"/>
  </w:num>
  <w:num w:numId="42">
    <w:abstractNumId w:val="34"/>
  </w:num>
  <w:num w:numId="43">
    <w:abstractNumId w:val="18"/>
  </w:num>
  <w:num w:numId="44">
    <w:abstractNumId w:val="48"/>
  </w:num>
  <w:num w:numId="45">
    <w:abstractNumId w:val="12"/>
  </w:num>
  <w:num w:numId="46">
    <w:abstractNumId w:val="10"/>
  </w:num>
  <w:num w:numId="47">
    <w:abstractNumId w:val="13"/>
  </w:num>
  <w:num w:numId="48">
    <w:abstractNumId w:val="35"/>
  </w:num>
  <w:num w:numId="49">
    <w:abstractNumId w:val="22"/>
  </w:num>
  <w:num w:numId="50">
    <w:abstractNumId w:val="3"/>
  </w:num>
  <w:num w:numId="51">
    <w:abstractNumId w:val="40"/>
  </w:num>
  <w:num w:numId="52">
    <w:abstractNumId w:val="57"/>
  </w:num>
  <w:num w:numId="53">
    <w:abstractNumId w:val="56"/>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39"/>
  </w:num>
  <w:num w:numId="61">
    <w:abstractNumId w:val="16"/>
  </w:num>
  <w:num w:numId="62">
    <w:abstractNumId w:val="50"/>
  </w:num>
  <w:num w:numId="63">
    <w:abstractNumId w:val="51"/>
  </w:num>
  <w:num w:numId="64">
    <w:abstractNumId w:val="52"/>
  </w:num>
  <w:num w:numId="65">
    <w:abstractNumId w:val="53"/>
  </w:num>
  <w:num w:numId="66">
    <w:abstractNumId w:val="54"/>
  </w:num>
  <w:num w:numId="67">
    <w:abstractNumId w:val="55"/>
  </w:num>
  <w:num w:numId="68">
    <w:abstractNumId w:val="64"/>
  </w:num>
  <w:num w:numId="69">
    <w:abstractNumId w:val="65"/>
  </w:num>
  <w:num w:numId="70">
    <w:abstractNumId w:val="15"/>
  </w:num>
  <w:num w:numId="71">
    <w:abstractNumId w:val="66"/>
  </w:num>
  <w:num w:numId="72">
    <w:abstractNumId w:val="67"/>
  </w:num>
  <w:num w:numId="73">
    <w:abstractNumId w:val="68"/>
  </w:num>
  <w:num w:numId="74">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C75C03"/>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57556F4"/>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122335"/>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B4D367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qFormat/>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37388</Words>
  <Characters>40124</Characters>
  <Lines>1</Lines>
  <Paragraphs>1</Paragraphs>
  <TotalTime>0</TotalTime>
  <ScaleCrop>false</ScaleCrop>
  <LinksUpToDate>false</LinksUpToDate>
  <CharactersWithSpaces>40603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2026-01-28T07:58:33Z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F2D34F34CE7D485AD3B27969B4EDB278_43</vt:lpwstr>
  </property>
</Properties>
</file>