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widowControl/>
        <w:ind w:left="0" w:leftChars="0" w:firstLine="0" w:firstLineChars="0"/>
        <w:jc w:val="center"/>
        <w:outlineLvl w:val="0"/>
        <w:rPr>
          <w:rFonts w:hint="eastAsia" w:ascii="宋体" w:hAnsi="宋体" w:cs="宋体"/>
          <w:b/>
          <w:bCs/>
          <w:sz w:val="44"/>
          <w:szCs w:val="44"/>
          <w:highlight w:val="none"/>
        </w:rPr>
      </w:pPr>
      <w:bookmarkStart w:id="0" w:name="_GoBack"/>
      <w:bookmarkEnd w:id="0"/>
      <w:r>
        <w:rPr>
          <w:rFonts w:hint="eastAsia" w:ascii="宋体" w:hAnsi="宋体" w:eastAsia="宋体" w:cs="宋体"/>
          <w:b/>
          <w:bCs/>
          <w:kern w:val="2"/>
          <w:sz w:val="44"/>
          <w:szCs w:val="44"/>
          <w:highlight w:val="none"/>
          <w:lang w:val="en-US" w:eastAsia="zh" w:bidi="ar-SA"/>
        </w:rPr>
        <w:t>幸福99丰裕固收386天26002期理财</w:t>
      </w:r>
      <w:r>
        <w:rPr>
          <w:rFonts w:hint="eastAsia" w:ascii="宋体" w:hAnsi="宋体" w:cs="宋体"/>
          <w:b/>
          <w:bCs/>
          <w:sz w:val="44"/>
          <w:szCs w:val="44"/>
          <w:highlight w:val="none"/>
        </w:rPr>
        <w:t>产品说明书</w:t>
      </w:r>
    </w:p>
    <w:p>
      <w:pPr>
        <w:jc w:val="center"/>
        <w:outlineLvl w:val="1"/>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Z7002226000041</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1"/>
        </w:numPr>
        <w:spacing w:line="360" w:lineRule="auto"/>
        <w:jc w:val="left"/>
        <w:outlineLvl w:val="1"/>
        <w:rPr>
          <w:rFonts w:ascii="宋体" w:hAnsi="宋体" w:cs="宋体"/>
          <w:b/>
          <w:sz w:val="24"/>
          <w:highlight w:val="none"/>
        </w:rPr>
      </w:pPr>
      <w:r>
        <w:rPr>
          <w:rFonts w:hint="eastAsia" w:ascii="宋体" w:hAnsi="宋体" w:cs="宋体"/>
          <w:b/>
          <w:sz w:val="24"/>
          <w:highlight w:val="none"/>
        </w:rPr>
        <w:t>重要须知</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理财计划投资协议书》《风险揭示书》《投资者权益须知》</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2"/>
        </w:numPr>
        <w:spacing w:line="360" w:lineRule="auto"/>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spacing w:line="360" w:lineRule="auto"/>
        <w:jc w:val="left"/>
        <w:rPr>
          <w:rFonts w:hint="eastAsia" w:ascii="宋体" w:hAnsi="宋体" w:cs="宋体"/>
          <w:bCs/>
          <w:sz w:val="24"/>
          <w:highlight w:val="none"/>
        </w:rPr>
      </w:pPr>
    </w:p>
    <w:p>
      <w:pPr>
        <w:numPr>
          <w:ilvl w:val="0"/>
          <w:numId w:val="3"/>
        </w:numPr>
        <w:spacing w:line="360" w:lineRule="auto"/>
        <w:jc w:val="left"/>
        <w:outlineLvl w:val="1"/>
        <w:rPr>
          <w:rFonts w:ascii="宋体" w:hAnsi="宋体" w:cs="宋体"/>
          <w:b/>
          <w:sz w:val="24"/>
          <w:highlight w:val="none"/>
        </w:rPr>
      </w:pPr>
      <w:r>
        <w:rPr>
          <w:rFonts w:hint="eastAsia" w:ascii="宋体" w:hAnsi="宋体" w:cs="宋体"/>
          <w:b/>
          <w:sz w:val="24"/>
          <w:highlight w:val="none"/>
        </w:rPr>
        <w:t>释义</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17"/>
        <w:numPr>
          <w:ilvl w:val="0"/>
          <w:numId w:val="5"/>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17"/>
        <w:numPr>
          <w:ilvl w:val="0"/>
          <w:numId w:val="6"/>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w:t>
      </w:r>
      <w:r>
        <w:rPr>
          <w:rFonts w:hint="eastAsia" w:ascii="宋体" w:hAnsi="宋体" w:cs="宋体"/>
          <w:bCs/>
          <w:color w:val="auto"/>
          <w:kern w:val="2"/>
          <w:highlight w:val="none"/>
        </w:rPr>
        <w:t>书》《投资者权益须知》《理财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幸福99丰裕固收386天26002期理财</w:t>
      </w:r>
      <w:r>
        <w:rPr>
          <w:rFonts w:hint="eastAsia" w:ascii="宋体" w:hAnsi="宋体" w:cs="宋体"/>
          <w:bCs/>
          <w:highlight w:val="none"/>
        </w:rPr>
        <w:t>。</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17"/>
        <w:numPr>
          <w:ilvl w:val="0"/>
          <w:numId w:val="7"/>
        </w:numPr>
        <w:adjustRightInd/>
        <w:spacing w:line="360" w:lineRule="auto"/>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17"/>
        <w:numPr>
          <w:ilvl w:val="0"/>
          <w:numId w:val="7"/>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如因国家相关主管部门临时调整节假日安排，导致原定成立日、到期日、估值日等日期安排发生变化的，原则上采用顺延方式对原定日期进行调整，如有特殊安排，以管理人对外披露的公告为准。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17"/>
        <w:numPr>
          <w:ilvl w:val="0"/>
          <w:numId w:val="7"/>
        </w:numPr>
        <w:adjustRightInd/>
        <w:spacing w:line="360" w:lineRule="auto"/>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流动性</w:t>
      </w:r>
      <w:r>
        <w:rPr>
          <w:rFonts w:hint="eastAsia"/>
          <w:b/>
          <w:bCs w:val="0"/>
          <w:highlight w:val="none"/>
          <w:lang w:val="en-US" w:eastAsia="zh-CN"/>
        </w:rPr>
        <w:t>受限资产：</w:t>
      </w:r>
      <w:r>
        <w:rPr>
          <w:rFonts w:hint="eastAsia"/>
          <w:highlight w:val="none"/>
          <w:lang w:val="en-US" w:eastAsia="zh-CN"/>
        </w:rPr>
        <w:t>是指由于法律法规、监管、合同或操作障碍等原因无法以合理价格予以变现的资产，包括到期日在</w:t>
      </w:r>
      <w:r>
        <w:rPr>
          <w:rFonts w:hint="eastAsia" w:ascii="宋体" w:hAnsi="宋体" w:eastAsia="宋体" w:cs="宋体"/>
          <w:highlight w:val="none"/>
          <w:lang w:val="en-US" w:eastAsia="zh-CN"/>
        </w:rPr>
        <w:t>10</w:t>
      </w:r>
      <w:r>
        <w:rPr>
          <w:rFonts w:hint="eastAsia"/>
          <w:highlight w:val="none"/>
          <w:lang w:val="en-US" w:eastAsia="zh-CN"/>
        </w:rPr>
        <w:t>个交易日以上的逆回购与银行定期存款（含协议约定有条件提前支取的银行存款）、距可赎回日在</w:t>
      </w:r>
      <w:r>
        <w:rPr>
          <w:rFonts w:hint="eastAsia" w:ascii="宋体" w:hAnsi="宋体" w:eastAsia="宋体" w:cs="宋体"/>
          <w:highlight w:val="none"/>
          <w:lang w:val="en-US" w:eastAsia="zh-CN"/>
        </w:rPr>
        <w:t>10</w:t>
      </w:r>
      <w:r>
        <w:rPr>
          <w:rFonts w:hint="eastAsia"/>
          <w:highlight w:val="none"/>
          <w:lang w:val="en-US" w:eastAsia="zh-CN"/>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17"/>
        <w:numPr>
          <w:ilvl w:val="0"/>
          <w:numId w:val="7"/>
        </w:numPr>
        <w:adjustRightInd/>
        <w:spacing w:line="360" w:lineRule="auto"/>
        <w:rPr>
          <w:rFonts w:hint="eastAsia" w:ascii="宋体" w:hAnsi="宋体" w:cs="宋体"/>
          <w:b/>
          <w:bCs w:val="0"/>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17"/>
        <w:numPr>
          <w:ilvl w:val="0"/>
          <w:numId w:val="4"/>
        </w:numPr>
        <w:adjustRightInd/>
        <w:spacing w:line="360" w:lineRule="auto"/>
        <w:outlineLvl w:val="2"/>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17"/>
        <w:numPr>
          <w:ilvl w:val="0"/>
          <w:numId w:val="8"/>
        </w:numPr>
        <w:adjustRightInd/>
        <w:spacing w:line="360" w:lineRule="auto"/>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17"/>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17"/>
        <w:numPr>
          <w:ilvl w:val="0"/>
          <w:numId w:val="9"/>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17"/>
        <w:numPr>
          <w:ilvl w:val="0"/>
          <w:numId w:val="9"/>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17"/>
        <w:adjustRightInd/>
        <w:spacing w:line="360" w:lineRule="auto"/>
        <w:rPr>
          <w:rFonts w:hint="eastAsia" w:ascii="宋体" w:hAnsi="宋体" w:cs="宋体"/>
          <w:bCs/>
          <w:color w:val="auto"/>
          <w:kern w:val="2"/>
          <w:highlight w:val="none"/>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17"/>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8"/>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17"/>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17"/>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17"/>
        <w:adjustRightInd/>
        <w:spacing w:line="360" w:lineRule="auto"/>
        <w:rPr>
          <w:rFonts w:hint="eastAsia" w:ascii="宋体" w:hAnsi="宋体" w:cs="宋体"/>
          <w:bCs/>
          <w:color w:val="auto"/>
          <w:kern w:val="2"/>
          <w:highlight w:val="none"/>
          <w:lang w:eastAsia="zh-CN"/>
        </w:rPr>
      </w:pPr>
    </w:p>
    <w:p>
      <w:pPr>
        <w:pStyle w:val="17"/>
        <w:numPr>
          <w:ilvl w:val="0"/>
          <w:numId w:val="10"/>
        </w:numPr>
        <w:adjustRightInd/>
        <w:spacing w:line="360" w:lineRule="auto"/>
        <w:outlineLvl w:val="1"/>
        <w:rPr>
          <w:rFonts w:hint="eastAsia" w:ascii="宋体" w:hAnsi="宋体" w:cs="宋体"/>
          <w:b/>
          <w:color w:val="auto"/>
          <w:kern w:val="2"/>
          <w:highlight w:val="none"/>
        </w:rPr>
      </w:pPr>
      <w:r>
        <w:rPr>
          <w:rFonts w:hint="eastAsia" w:ascii="宋体" w:hAnsi="宋体" w:cs="宋体"/>
          <w:b/>
          <w:color w:val="auto"/>
          <w:kern w:val="2"/>
          <w:highlight w:val="none"/>
        </w:rPr>
        <w:t>产品要素</w:t>
      </w:r>
    </w:p>
    <w:tbl>
      <w:tblPr>
        <w:tblStyle w:val="8"/>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幸福99丰裕固收386天26002期理财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eastAsia="宋体" w:cs="宋体"/>
                <w:kern w:val="2"/>
                <w:sz w:val="21"/>
                <w:szCs w:val="21"/>
                <w:highlight w:val="none"/>
                <w:lang w:val="en-US" w:eastAsia="zh-CN" w:bidi="ar-SA"/>
              </w:rPr>
              <w:t>丰裕固收26002期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Cs w:val="21"/>
                <w:highlight w:val="none"/>
              </w:rPr>
            </w:pPr>
            <w:r>
              <w:rPr>
                <w:rFonts w:hint="eastAsia" w:ascii="宋体" w:hAnsi="宋体" w:cs="宋体"/>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FYG26002</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Z7002226000041</w:t>
            </w:r>
            <w:r>
              <w:rPr>
                <w:rFonts w:hint="eastAsia" w:ascii="宋体" w:hAnsi="宋体" w:cs="宋体"/>
                <w:color w:val="000000"/>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Cs w:val="21"/>
                <w:highlight w:val="none"/>
              </w:rPr>
              <w:t>。</w:t>
            </w:r>
            <w:r>
              <w:rPr>
                <w:rFonts w:hint="eastAsia" w:ascii="宋体" w:hAnsi="宋体" w:cs="宋体"/>
                <w:bCs/>
                <w:color w:val="auto"/>
                <w:kern w:val="2"/>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A份额（销售代码〖FYG26002A〗）：普通个人投资者和机构客户。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B份额（销售代码〖FYG26002B〗）：普通个人投资者和机构客户。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C份额（销售代码〖FYG26002C〗）：普通个人投资者和机构客户。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D份额（销售代码〖FYG26002D〗）：普通个人投资者和机构客户。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E份额（公司专属）（销售代码〖FYG26002E〗）：普通个人投资者和机构客户。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G份额（汉口银行新春专属）（销售代码〖FYG26002G〗）：普通个人投资者和机构客户。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H份额（北行专属）（销售代码〖FYG26002H〗）：普通个人投资者和机构客户。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I份额（爽盈优选）（销售代码〖FYG26002I〗）：普通个人投资者和机构客户。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J份额（销售代码〖FYG26002J〗）：部分代销机构客户、浙商银行新资金及特邀客户。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K份额（鲲鹏优选）（销售代码〖FYG26002K〗）：普通个人投资者和机构客户。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L份额（宁夏银行尊享款）（销售代码〖FYG26002L〗）：普通个人投资者和机构客户。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M份额（天府·优选）（销售代码〖FYG26002M〗）：普通个人投资者和机构客户。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N份额惠享款（长长财富·专属）（销售代码〖FYG26002N〗）：普通个人投资者和机构客户。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O份额（销售代码〖FYG26002O〗）：普通个人投资者和机构客户。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P份额（芙蓉锦程·优选）（销售代码〖FYG26002P〗）：普通个人投资者和机构客户。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Q份额（兰州银行开门红专属）（销售代码〖FYG26002Q〗）：普通个人投资者和机构客户。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R份额惠享款吉行十二号（销售代码〖FYG26002R〗）：普通个人投资者和机构客户。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T份额惠享款（齐鲁-逢六有约）（销售代码〖FYG26002T〗）：普通个人投资者和机构客户。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V份额（金芙蓉专属）（销售代码〖FYG26002V〗）：普通个人投资者和机构客户。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W份额惠享款（销售代码〖FYG26002W〗）：普通个人投资者和机构客户。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X份额（销售代码〖FYG26002X〗）：普通个人投资者。</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Y份额惠享款（销售代码〖FYG26002Y〗）：普通个人投资者和机构客户。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Z份额惠享款（销售代码〖FYG26002Z〗）：普通个人投资者和机构客户。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ZZ份额（销售代码〖FYG26002ZZ〗）：普通个人投资者和机构客户。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Cs w:val="21"/>
                <w:highlight w:val="none"/>
              </w:rPr>
              <w:t>〗</w:t>
            </w:r>
            <w:r>
              <w:rPr>
                <w:rFonts w:hint="eastAsia" w:ascii="宋体" w:hAnsi="宋体" w:cs="宋体"/>
                <w:color w:val="000000"/>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cs="宋体"/>
                <w:color w:val="000000"/>
                <w:szCs w:val="21"/>
                <w:highlight w:val="none"/>
              </w:rPr>
              <w:t>全国</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可通过</w:t>
            </w:r>
            <w:r>
              <w:rPr>
                <w:rFonts w:hint="eastAsia" w:ascii="宋体" w:hAnsi="宋体" w:cs="宋体"/>
                <w:color w:val="000000"/>
                <w:szCs w:val="21"/>
                <w:highlight w:val="none"/>
                <w:lang w:eastAsia="zh-CN"/>
              </w:rPr>
              <w:t>杭银理财直销渠道和代理</w:t>
            </w:r>
            <w:r>
              <w:rPr>
                <w:rFonts w:hint="eastAsia" w:ascii="宋体" w:hAnsi="宋体" w:cs="宋体"/>
                <w:color w:val="000000"/>
                <w:szCs w:val="21"/>
                <w:highlight w:val="none"/>
              </w:rPr>
              <w:t>销售机构的〖营业网点、网上银行、手机银行〗等渠道购买</w:t>
            </w:r>
            <w:r>
              <w:rPr>
                <w:rFonts w:hint="eastAsia" w:ascii="宋体" w:hAnsi="宋体" w:cs="宋体"/>
                <w:color w:val="000000"/>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2"/>
                <w:sz w:val="21"/>
                <w:szCs w:val="21"/>
                <w:highlight w:val="none"/>
                <w:lang w:val="en-US" w:eastAsia="zh-CN" w:bidi="ar-SA"/>
              </w:rPr>
              <w:t>〖40〗亿元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〗日-〖</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9</w:t>
            </w:r>
            <w:r>
              <w:rPr>
                <w:rFonts w:hint="eastAsia" w:ascii="宋体" w:hAnsi="宋体" w:cs="宋体"/>
                <w:color w:val="000000"/>
                <w:szCs w:val="21"/>
                <w:highlight w:val="none"/>
              </w:rPr>
              <w:t>〗日</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认购期首日〖9：00〗至认购结束日〖17：00〗</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2026</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2</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10</w:t>
            </w:r>
            <w:r>
              <w:rPr>
                <w:rFonts w:hint="eastAsia" w:ascii="宋体" w:hAnsi="宋体" w:cs="宋体"/>
                <w:color w:val="000000"/>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到期日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2027</w:t>
            </w:r>
            <w:r>
              <w:rPr>
                <w:rFonts w:hint="eastAsia" w:ascii="宋体" w:hAnsi="宋体" w:cs="宋体"/>
                <w:color w:val="000000"/>
                <w:szCs w:val="21"/>
                <w:highlight w:val="none"/>
              </w:rPr>
              <w:t>〗年〖</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〗月〖</w:t>
            </w:r>
            <w:r>
              <w:rPr>
                <w:rFonts w:hint="eastAsia" w:ascii="宋体" w:hAnsi="宋体" w:eastAsia="宋体" w:cs="宋体"/>
                <w:color w:val="000000"/>
                <w:kern w:val="2"/>
                <w:sz w:val="21"/>
                <w:szCs w:val="21"/>
                <w:highlight w:val="none"/>
                <w:lang w:val="en-US" w:eastAsia="zh-CN" w:bidi="ar-SA"/>
              </w:rPr>
              <w:t>3</w:t>
            </w:r>
            <w:r>
              <w:rPr>
                <w:rFonts w:hint="eastAsia" w:ascii="宋体" w:hAnsi="宋体" w:cs="宋体"/>
                <w:color w:val="000000"/>
                <w:szCs w:val="21"/>
                <w:highlight w:val="none"/>
              </w:rPr>
              <w:t>〗日，若到期日为非工作日则顺延至下一个</w:t>
            </w:r>
            <w:r>
              <w:rPr>
                <w:rFonts w:hint="eastAsia" w:ascii="宋体" w:hAnsi="宋体" w:eastAsia="宋体" w:cs="宋体"/>
                <w:color w:val="000000"/>
                <w:kern w:val="2"/>
                <w:sz w:val="21"/>
                <w:szCs w:val="21"/>
                <w:highlight w:val="none"/>
                <w:lang w:val="en-US" w:eastAsia="zh-CN" w:bidi="ar-SA"/>
              </w:rPr>
              <w:t>工作日</w:t>
            </w:r>
            <w:r>
              <w:rPr>
                <w:rFonts w:hint="eastAsia" w:ascii="宋体" w:hAnsi="宋体" w:cs="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386</w:t>
            </w:r>
            <w:r>
              <w:rPr>
                <w:rFonts w:hint="eastAsia" w:ascii="宋体" w:hAnsi="宋体" w:cs="宋体"/>
                <w:color w:val="000000"/>
                <w:szCs w:val="21"/>
                <w:highlight w:val="none"/>
              </w:rPr>
              <w:t>〗天（实际理财期限受制于管理人提前终止权等条款）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认购起点金额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eastAsia="宋体" w:cs="宋体"/>
                <w:color w:val="000000"/>
                <w:kern w:val="0"/>
                <w:sz w:val="21"/>
                <w:szCs w:val="21"/>
                <w:highlight w:val="none"/>
                <w:lang w:val="en-US" w:eastAsia="zh-CN" w:bidi="ar-SA"/>
              </w:rPr>
              <w:t>〖A份额〗起点〖1〗元整，超过认购起点部分，应为〖1〗元的整数倍。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〖B份额〗起点〖1〗元整，超过认购起点部分，应为〖1〗元的整数倍。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〖C份额〗起点〖1〗元整，超过认购起点部分，应为〖1〗元的整数倍。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〖D份额〗起点〖1〗元整，超过认购起点部分，应为〖1〗元的整数倍。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〖E份额〗起点〖1〗元整，超过认购起点部分，应为〖1〗元的整数倍。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〖G份额〗起点〖20〗万元整，超过认购起点部分，应为〖1〗元的整数倍。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〖H份额〗起点〖1〗元整，超过认购起点部分，应为〖1〗元的整数倍。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〖I份额〗起点〖1〗元整，超过认购起点部分，应为〖1〗元的整数倍。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〖J份额〗起点〖1〗元整，超过认购起点部分，应为〖1〗元的整数倍。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〖K份额〗起点〖1〗元整，超过认购起点部分，应为〖1〗元的整数倍。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〖L份额〗起点〖1〗元整，超过认购起点部分，应为〖1〗元的整数倍。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〖M份额〗起点〖1〗元整，超过认购起点部分，应为〖1〗元的整数倍。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〖N份额〗起点〖1〗元整，超过认购起点部分，应为〖1〗元的整数倍。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〖O份额〗起点〖1〗元整，超过认购起点部分，应为〖1〗元的整数倍。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〖P份额〗起点〖1〗元整，超过认购起点部分，应为〖1〗元的整数倍。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〖Q份额〗起点〖20〗万元整，超过认购起点部分，应为〖1〗元的整数倍。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〖R份额〗起点〖1〗元整，超过认购起点部分，应为〖1〗元的整数倍。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〖T份额〗起点〖1〗元整，超过认购起点部分，应为〖1〗元的整数倍。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〖V份额〗起点〖100〗万元整，超过认购起点部分，应为〖1〗元的整数倍。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〖W份额〗起点〖1〗元整，超过认购起点部分，应为〖1〗元的整数倍。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〖X份额〗起点〖1〗元整，超过认购起点部分，应为〖1〗元的整数倍。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〖Y份额〗起点〖1〗元整，超过认购起点部分，应为〖1〗元的整数倍。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〖Z份额〗起点〖1〗元整，超过认购起点部分，应为〖1〗元的整数倍。</w:t>
            </w:r>
            <w:r>
              <w:rPr>
                <w:rFonts w:hint="eastAsia" w:ascii="宋体" w:hAnsi="宋体" w:eastAsia="宋体" w:cs="宋体"/>
                <w:color w:val="000000"/>
                <w:kern w:val="0"/>
                <w:sz w:val="21"/>
                <w:szCs w:val="21"/>
                <w:highlight w:val="none"/>
                <w:lang w:val="en-US" w:eastAsia="zh-CN" w:bidi="ar-SA"/>
              </w:rPr>
              <w:br w:type="textWrapping"/>
            </w:r>
            <w:r>
              <w:rPr>
                <w:rFonts w:hint="eastAsia" w:ascii="宋体" w:hAnsi="宋体" w:eastAsia="宋体" w:cs="宋体"/>
                <w:color w:val="000000"/>
                <w:kern w:val="0"/>
                <w:sz w:val="21"/>
                <w:szCs w:val="21"/>
                <w:highlight w:val="none"/>
                <w:lang w:val="en-US" w:eastAsia="zh-CN" w:bidi="ar-SA"/>
              </w:rPr>
              <w:t>〖ZZ份额〗起点〖1〗元整，超过认购起点部分，应为〖1〗元的整数倍。</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〖3〗千万元</w:t>
            </w:r>
            <w:r>
              <w:rPr>
                <w:rFonts w:hint="eastAsia" w:ascii="宋体" w:hAnsi="宋体" w:cs="宋体"/>
                <w:color w:val="000000"/>
                <w:szCs w:val="21"/>
                <w:highlight w:val="none"/>
              </w:rPr>
              <w:t>，则管理人可宣布本理财计划不成立并在原定理财计划成立日后</w:t>
            </w:r>
            <w:r>
              <w:rPr>
                <w:rFonts w:hint="eastAsia" w:ascii="宋体" w:hAnsi="宋体" w:cs="宋体"/>
                <w:szCs w:val="21"/>
                <w:highlight w:val="none"/>
              </w:rPr>
              <w:t>〖</w:t>
            </w:r>
            <w:r>
              <w:rPr>
                <w:rFonts w:hint="eastAsia" w:ascii="宋体" w:hAnsi="宋体" w:cs="宋体"/>
                <w:color w:val="000000"/>
                <w:szCs w:val="21"/>
                <w:highlight w:val="none"/>
              </w:rPr>
              <w:t>2</w:t>
            </w:r>
            <w:r>
              <w:rPr>
                <w:rFonts w:hint="eastAsia" w:ascii="宋体" w:hAnsi="宋体" w:cs="宋体"/>
                <w:szCs w:val="21"/>
                <w:highlight w:val="none"/>
              </w:rPr>
              <w:t>〗</w:t>
            </w:r>
            <w:r>
              <w:rPr>
                <w:rFonts w:hint="eastAsia" w:ascii="宋体" w:hAnsi="宋体" w:cs="宋体"/>
                <w:color w:val="000000"/>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Cs w:val="21"/>
                <w:highlight w:val="none"/>
                <w:lang w:val="en-US" w:eastAsia="zh"/>
              </w:rPr>
            </w:pPr>
            <w:r>
              <w:rPr>
                <w:rFonts w:hint="eastAsia" w:ascii="宋体" w:hAnsi="宋体" w:cs="宋体"/>
                <w:color w:val="000000"/>
                <w:sz w:val="21"/>
                <w:szCs w:val="21"/>
                <w:highlight w:val="none"/>
                <w:lang w:val="en-US" w:eastAsia="zh-CN"/>
              </w:rPr>
              <w:t>单户持有份额不得超过理财计划总份额的50%。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Cs w:val="21"/>
                <w:highlight w:val="none"/>
              </w:rPr>
              <w:t>理财计划总份额，单位净值</w:t>
            </w:r>
            <w:r>
              <w:rPr>
                <w:rFonts w:hint="eastAsia" w:ascii="宋体" w:hAnsi="宋体" w:cs="宋体"/>
                <w:szCs w:val="21"/>
                <w:highlight w:val="none"/>
              </w:rPr>
              <w:t>〖</w:t>
            </w:r>
            <w:r>
              <w:rPr>
                <w:rFonts w:hint="eastAsia" w:ascii="宋体" w:hAnsi="宋体" w:cs="宋体"/>
                <w:color w:val="000000"/>
                <w:szCs w:val="21"/>
                <w:highlight w:val="none"/>
              </w:rPr>
              <w:t>保留小数点后四位</w:t>
            </w:r>
            <w:r>
              <w:rPr>
                <w:rFonts w:hint="eastAsia" w:ascii="宋体" w:hAnsi="宋体" w:cs="宋体"/>
                <w:szCs w:val="21"/>
                <w:highlight w:val="none"/>
              </w:rPr>
              <w:t>〗</w:t>
            </w:r>
            <w:r>
              <w:rPr>
                <w:rFonts w:hint="eastAsia" w:ascii="宋体" w:hAnsi="宋体" w:cs="宋体"/>
                <w:color w:val="000000"/>
                <w:szCs w:val="21"/>
                <w:highlight w:val="none"/>
                <w:lang w:val="en-US" w:eastAsia="zh-CN"/>
              </w:rPr>
              <w:t>,</w:t>
            </w:r>
            <w:r>
              <w:rPr>
                <w:rFonts w:hint="eastAsia" w:ascii="宋体" w:hAnsi="宋体" w:cs="宋体"/>
                <w:szCs w:val="21"/>
                <w:highlight w:val="none"/>
              </w:rPr>
              <w:t>〖</w:t>
            </w:r>
            <w:r>
              <w:rPr>
                <w:rFonts w:hint="eastAsia" w:ascii="宋体" w:hAnsi="宋体" w:cs="宋体"/>
                <w:kern w:val="2"/>
                <w:sz w:val="21"/>
                <w:szCs w:val="21"/>
                <w:highlight w:val="none"/>
                <w:lang w:val="en-US" w:eastAsia="zh" w:bidi="ar-SA"/>
              </w:rPr>
              <w:t>四舍五入</w:t>
            </w:r>
            <w:r>
              <w:rPr>
                <w:rFonts w:hint="eastAsia" w:ascii="宋体" w:hAnsi="宋体" w:cs="宋体"/>
                <w:szCs w:val="21"/>
                <w:highlight w:val="none"/>
              </w:rPr>
              <w:t>〗</w:t>
            </w:r>
            <w:r>
              <w:rPr>
                <w:rFonts w:hint="eastAsia" w:ascii="宋体" w:hAnsi="宋体" w:cs="宋体"/>
                <w:color w:val="000000"/>
                <w:szCs w:val="21"/>
                <w:highlight w:val="none"/>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Cs w:val="21"/>
                <w:highlight w:val="none"/>
              </w:rPr>
            </w:pPr>
            <w:r>
              <w:rPr>
                <w:rFonts w:hint="eastAsia" w:ascii="宋体" w:hAnsi="宋体" w:cs="宋体"/>
                <w:color w:val="000000"/>
                <w:szCs w:val="21"/>
                <w:highlight w:val="none"/>
              </w:rPr>
              <w:t>理财计划总净值=理财计划认购总额+理财计划所获总收益-理财计划总费用（包括但不限于管理费、托管费、</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资金与收益支付方式</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Cs w:val="21"/>
                <w:highlight w:val="none"/>
              </w:rPr>
            </w:pPr>
            <w:r>
              <w:rPr>
                <w:rFonts w:hint="eastAsia" w:ascii="宋体" w:hAnsi="宋体" w:cs="宋体"/>
                <w:color w:val="000000"/>
                <w:szCs w:val="21"/>
                <w:highlight w:val="none"/>
              </w:rPr>
              <w:t>理财计划到期后，最快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cs="宋体"/>
                <w:color w:val="000000"/>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〖工作日〗</w:t>
            </w:r>
            <w:r>
              <w:rPr>
                <w:rFonts w:hint="eastAsia" w:ascii="宋体" w:hAnsi="宋体" w:eastAsia="宋体" w:cs="宋体"/>
                <w:color w:val="000000"/>
                <w:kern w:val="2"/>
                <w:sz w:val="21"/>
                <w:szCs w:val="21"/>
                <w:lang w:val="en-US" w:eastAsia="zh-CN" w:bidi="ar"/>
              </w:rPr>
              <w:t>内</w:t>
            </w:r>
            <w:r>
              <w:rPr>
                <w:rFonts w:hint="eastAsia" w:ascii="宋体" w:hAnsi="宋体" w:cs="宋体"/>
                <w:color w:val="000000"/>
                <w:szCs w:val="21"/>
                <w:highlight w:val="none"/>
              </w:rPr>
              <w:t>（遇节假日顺延）支付。如遇资金在途或法定工作日调整，实际资金到账日以公告为准。</w:t>
            </w:r>
            <w:r>
              <w:rPr>
                <w:rFonts w:hint="eastAsia" w:ascii="宋体" w:hAnsi="宋体" w:cs="宋体"/>
                <w:color w:val="000000"/>
                <w:kern w:val="0"/>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Cs w:val="21"/>
                <w:highlight w:val="none"/>
              </w:rPr>
            </w:pPr>
            <w:r>
              <w:rPr>
                <w:rFonts w:hint="eastAsia" w:ascii="宋体" w:hAnsi="宋体" w:cs="宋体"/>
                <w:color w:val="000000"/>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Cs w:val="21"/>
                <w:highlight w:val="none"/>
              </w:rPr>
            </w:pPr>
            <w:r>
              <w:rPr>
                <w:rFonts w:hint="eastAsia" w:ascii="宋体" w:hAnsi="宋体" w:cs="宋体"/>
                <w:color w:val="000000"/>
                <w:szCs w:val="21"/>
                <w:highlight w:val="none"/>
              </w:rPr>
              <w:t>在满足收益分配基准日理财计划份额净值大于1元的情况下，管理人将</w:t>
            </w:r>
            <w:r>
              <w:rPr>
                <w:rFonts w:hint="eastAsia" w:ascii="宋体" w:hAnsi="宋体" w:cs="宋体"/>
                <w:szCs w:val="21"/>
                <w:highlight w:val="none"/>
              </w:rPr>
              <w:t>〖</w:t>
            </w:r>
            <w:r>
              <w:rPr>
                <w:rFonts w:hint="eastAsia" w:ascii="宋体" w:hAnsi="宋体" w:cs="宋体"/>
                <w:color w:val="000000"/>
                <w:szCs w:val="21"/>
                <w:highlight w:val="none"/>
                <w:lang w:eastAsia="zh"/>
              </w:rPr>
              <w:t>不</w:t>
            </w:r>
            <w:r>
              <w:rPr>
                <w:rFonts w:hint="eastAsia" w:ascii="宋体" w:hAnsi="宋体" w:cs="宋体"/>
                <w:color w:val="000000"/>
                <w:szCs w:val="21"/>
                <w:highlight w:val="none"/>
              </w:rPr>
              <w:t>定期</w:t>
            </w:r>
            <w:r>
              <w:rPr>
                <w:rFonts w:hint="eastAsia" w:ascii="宋体" w:hAnsi="宋体" w:cs="宋体"/>
                <w:szCs w:val="21"/>
                <w:highlight w:val="none"/>
              </w:rPr>
              <w:t>〗</w:t>
            </w:r>
            <w:r>
              <w:rPr>
                <w:rFonts w:hint="eastAsia" w:ascii="宋体" w:hAnsi="宋体" w:cs="宋体"/>
                <w:color w:val="000000"/>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本理财计划〖A份额〗业绩比较基准为〖2.40%-2.60%〗（年化）。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本理财计划〖B份额〗业绩比较基准为〖2.50%-2.70%〗（年化）。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本理财计划〖C份额〗业绩比较基准为〖2.60%-2.80%〗（年化）。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本理财计划〖D份额〗业绩比较基准为〖2.55%-2.75%〗（年化）。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本理财计划〖E份额〗业绩比较基准为〖2.25%-2.45%〗（年化）。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本理财计划〖G份额〗业绩比较基准为〖2.75%-2.95%〗（年化）。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本理财计划〖H份额〗业绩比较基准为〖2.50%-2.70%〗（年化）。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本理财计划〖I份额〗业绩比较基准为〖2.40%-2.60%〗（年化）。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本理财计划〖J份额〗业绩比较基准为〖2.65%-2.85%〗（年化）。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本理财计划〖K份额〗业绩比较基准为〖2.40%-2.60%〗（年化）。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本理财计划〖L份额〗业绩比较基准为〖2.60%-2.80%〗（年化）。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本理财计划〖M份额〗业绩比较基准为〖2.55%-2.75%〗（年化）。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本理财计划〖N份额〗业绩比较基准为〖2.50%-2.70%〗（年化）。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本理财计划〖O份额〗业绩比较基准为〖2.50%-2.70%〗（年化）。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本理财计划〖P份额〗业绩比较基准为〖2.55%-2.75%〗（年化）。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本理财计划〖Q份额〗业绩比较基准为〖2.55%-2.75%〗（年化）。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本理财计划〖R份额〗业绩比较基准为〖2.55%-2.75%〗（年化）。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本理财计划〖T份额〗业绩比较基准为〖2.56%-2.76%〗（年化）。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本理财计划〖V份额〗业绩比较基准为〖2.60%-2.80%〗（年化）。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本理财计划〖W份额〗业绩比较基准为〖2.40%-2.60%〗（年化）。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本理财计划〖X份额〗业绩比较基准为〖2.65%-2.85%〗（年化）。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本理财计划〖Y份额〗业绩比较基准为〖2.50%-2.70%〗（年化）。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本理财计划〖Z份额〗业绩比较基准为〖2.60%-2.80%〗（年化）。</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本理财计划〖ZZ份额〗业绩比较基准为〖2.30%-2.50%〗（年化）。</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Cs w:val="21"/>
                <w:highlight w:val="none"/>
              </w:rPr>
            </w:pPr>
            <w:r>
              <w:rPr>
                <w:rFonts w:hint="eastAsia" w:ascii="宋体" w:hAnsi="宋体" w:cs="宋体"/>
                <w:b/>
                <w:bCs/>
                <w:color w:val="000000"/>
                <w:szCs w:val="21"/>
                <w:highlight w:val="none"/>
              </w:rPr>
              <w:t>业绩基准测算依据：</w:t>
            </w:r>
            <w:r>
              <w:rPr>
                <w:rFonts w:hint="eastAsia" w:ascii="宋体" w:hAnsi="宋体" w:eastAsia="宋体" w:cs="宋体"/>
                <w:b/>
                <w:bCs/>
                <w:color w:val="000000"/>
                <w:kern w:val="2"/>
                <w:sz w:val="21"/>
                <w:szCs w:val="21"/>
                <w:lang w:val="en-US" w:eastAsia="zh-CN" w:bidi="ar"/>
              </w:rPr>
              <w:t>本理财计划重</w:t>
            </w:r>
            <w:r>
              <w:rPr>
                <w:rFonts w:hint="eastAsia" w:ascii="宋体" w:hAnsi="宋体" w:eastAsia="宋体" w:cs="宋体"/>
                <w:b/>
                <w:bCs/>
                <w:kern w:val="2"/>
                <w:sz w:val="21"/>
                <w:szCs w:val="21"/>
                <w:lang w:val="en-US" w:eastAsia="zh-CN" w:bidi="ar"/>
              </w:rPr>
              <w:t>点投资于货币市场工具、债券、非标准化债权类资产等资产，管理人根据固定收益市场历史表现，结合当前利率水平、资产配比及市场同类型产品情况，经综合判断得出。</w:t>
            </w:r>
          </w:p>
          <w:p>
            <w:pPr>
              <w:keepNext w:val="0"/>
              <w:keepLines w:val="0"/>
              <w:widowControl/>
              <w:suppressLineNumbers w:val="0"/>
              <w:spacing w:before="0" w:beforeAutospacing="0" w:after="0" w:afterAutospacing="0" w:line="360" w:lineRule="auto"/>
              <w:ind w:left="0" w:right="0"/>
              <w:jc w:val="left"/>
              <w:rPr>
                <w:rFonts w:hint="eastAsia" w:ascii="宋体" w:hAnsi="宋体" w:cs="宋体"/>
                <w:b/>
                <w:szCs w:val="21"/>
                <w:highlight w:val="none"/>
              </w:rPr>
            </w:pPr>
            <w:r>
              <w:rPr>
                <w:rFonts w:hint="eastAsia" w:ascii="宋体" w:hAnsi="宋体" w:cs="宋体"/>
                <w:szCs w:val="21"/>
                <w:highlight w:val="none"/>
              </w:rPr>
              <w:t>管理人有权根据市场情况及</w:t>
            </w:r>
            <w:r>
              <w:rPr>
                <w:rFonts w:hint="eastAsia" w:ascii="宋体" w:hAnsi="宋体" w:cs="宋体"/>
                <w:szCs w:val="21"/>
                <w:highlight w:val="none"/>
                <w:lang w:eastAsia="zh-CN"/>
              </w:rPr>
              <w:t>理财计划</w:t>
            </w:r>
            <w:r>
              <w:rPr>
                <w:rFonts w:hint="eastAsia" w:ascii="宋体" w:hAnsi="宋体" w:cs="宋体"/>
                <w:szCs w:val="21"/>
                <w:highlight w:val="none"/>
              </w:rPr>
              <w:t>运作情况调整业绩基准，并至少于新业绩基准启用前</w:t>
            </w:r>
            <w:r>
              <w:rPr>
                <w:rFonts w:hint="eastAsia" w:ascii="宋体" w:hAnsi="宋体" w:cs="宋体"/>
                <w:kern w:val="0"/>
                <w:highlight w:val="none"/>
              </w:rPr>
              <w:t>〖</w:t>
            </w:r>
            <w:r>
              <w:rPr>
                <w:rFonts w:hint="eastAsia" w:ascii="宋体" w:hAnsi="宋体" w:cs="宋体"/>
                <w:color w:val="000000"/>
                <w:kern w:val="0"/>
                <w:highlight w:val="none"/>
                <w:lang w:val="en-US" w:eastAsia="zh-CN"/>
              </w:rPr>
              <w:t>2</w:t>
            </w:r>
            <w:r>
              <w:rPr>
                <w:rFonts w:hint="eastAsia" w:ascii="宋体" w:hAnsi="宋体" w:cs="宋体"/>
                <w:kern w:val="0"/>
                <w:highlight w:val="none"/>
              </w:rPr>
              <w:t>〗</w:t>
            </w:r>
            <w:r>
              <w:rPr>
                <w:rFonts w:hint="eastAsia" w:ascii="宋体" w:hAnsi="宋体" w:cs="宋体"/>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b/>
                <w:szCs w:val="21"/>
                <w:highlight w:val="none"/>
              </w:rPr>
              <w:t>本理财计划为净值型理财产品，其业绩表现将随市场波动具有不确定性。本公司提醒投资者关注，业绩比较基准</w:t>
            </w:r>
            <w:r>
              <w:rPr>
                <w:rFonts w:hint="eastAsia" w:ascii="宋体" w:hAnsi="宋体" w:cs="宋体"/>
                <w:b/>
                <w:szCs w:val="21"/>
                <w:highlight w:val="none"/>
                <w:lang w:eastAsia="zh-CN"/>
              </w:rPr>
              <w:t>不是预期收益率，</w:t>
            </w:r>
            <w:r>
              <w:rPr>
                <w:rFonts w:hint="eastAsia" w:ascii="宋体" w:hAnsi="宋体" w:cs="宋体"/>
                <w:b/>
                <w:szCs w:val="21"/>
                <w:highlight w:val="none"/>
              </w:rPr>
              <w:t>并不代表</w:t>
            </w:r>
            <w:r>
              <w:rPr>
                <w:rFonts w:hint="eastAsia" w:ascii="宋体" w:hAnsi="宋体" w:cs="宋体"/>
                <w:b/>
                <w:szCs w:val="21"/>
                <w:highlight w:val="none"/>
                <w:lang w:eastAsia="zh-CN"/>
              </w:rPr>
              <w:t>理财计划的未来表现和</w:t>
            </w:r>
            <w:r>
              <w:rPr>
                <w:rFonts w:hint="eastAsia" w:ascii="宋体" w:hAnsi="宋体" w:cs="宋体"/>
                <w:b/>
                <w:szCs w:val="21"/>
                <w:highlight w:val="none"/>
              </w:rPr>
              <w:t>实际收益率</w:t>
            </w:r>
            <w:r>
              <w:rPr>
                <w:rFonts w:hint="eastAsia" w:ascii="宋体" w:hAnsi="宋体" w:cs="宋体"/>
                <w:b/>
                <w:szCs w:val="21"/>
                <w:highlight w:val="none"/>
                <w:lang w:eastAsia="zh-CN"/>
              </w:rPr>
              <w:t>，不构成对理财计划收益的承诺</w:t>
            </w:r>
            <w:r>
              <w:rPr>
                <w:rFonts w:hint="eastAsia" w:ascii="宋体" w:hAnsi="宋体" w:cs="宋体"/>
                <w:b/>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1.</w:t>
            </w:r>
            <w:r>
              <w:rPr>
                <w:rFonts w:hint="eastAsia" w:ascii="宋体" w:hAnsi="宋体" w:cs="宋体"/>
                <w:color w:val="000000"/>
                <w:szCs w:val="21"/>
                <w:highlight w:val="none"/>
                <w:lang w:eastAsia="zh-CN"/>
              </w:rPr>
              <w:t>销售服务费</w:t>
            </w:r>
            <w:r>
              <w:rPr>
                <w:rFonts w:hint="eastAsia" w:ascii="宋体" w:hAnsi="宋体" w:cs="宋体"/>
                <w:color w:val="000000"/>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〖C份额〗收取年化〖0.10%〗的销售服务费, 〖D份额〗收取年化〖0.15%〗的销售服务费, 〖E份额〗收取年化〖0.40%〗的销售服务费, 〖G份额〗收取年化〖0.01%〗的销售服务费, 〖H份额〗收取年化〖0.20%〗的销售服务费, 〖I份额〗收取年化〖0.30%〗的销售服务费, 〖J份额〗收取年化〖0.05%〗的销售服务费, 〖K份额〗收取年化〖0.30%〗的销售服务费, 〖L份额〗收取年化〖0.10%〗的销售服务费, 〖M份额〗收取年化〖0.15%〗的销售服务费, 〖N份额〗收取年化〖0.20%〗的销售服务费, 〖O份额〗收取年化〖0.20%〗的销售服务费, 〖P份额〗收取年化〖0.15%〗的销售服务费, 〖Q份额〗收取年化〖0.15%〗的销售服务费, 〖R份额〗收取年化〖0.15%〗的销售服务费, 〖T份额〗收取年化〖0.15%〗的销售服务费, 〖V份额〗收取年化〖0.10%〗的销售服务费, 〖W份额〗收取年化〖0.30%〗的销售服务费, 〖X份额〗收取年化〖0.05%〗的销售服务费, 〖Y份额〗收取年化〖0.20%〗的销售服务费, 〖Z份额〗收取年化〖0.10%〗的销售服务费, 〖ZZ份额〗收取年化〖0.40%〗的销售服务费。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2.托管费：收取年化</w:t>
            </w:r>
            <w:r>
              <w:rPr>
                <w:rFonts w:hint="eastAsia" w:ascii="宋体" w:hAnsi="宋体" w:cs="宋体"/>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Cs w:val="21"/>
                <w:highlight w:val="none"/>
                <w:lang w:eastAsia="zh"/>
              </w:rPr>
              <w:t>%</w:t>
            </w:r>
            <w:r>
              <w:rPr>
                <w:rFonts w:hint="eastAsia" w:ascii="宋体" w:hAnsi="宋体" w:cs="宋体"/>
                <w:szCs w:val="21"/>
                <w:highlight w:val="none"/>
              </w:rPr>
              <w:t>〗</w:t>
            </w:r>
            <w:r>
              <w:rPr>
                <w:rFonts w:hint="eastAsia" w:ascii="宋体" w:hAnsi="宋体" w:cs="宋体"/>
                <w:color w:val="000000"/>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〖A份额〗收取年化〖0.10%〗的固定管理费, 〖B份额〗收取年化〖0.10%〗的固定管理费, 〖C份额〗收取年化〖0.10%〗的固定管理费, 〖D份额〗收取年化〖0.10%〗的固定管理费, 〖E份额〗收取年化〖0.15%〗的固定管理费, 〖G份额〗收取年化〖0.04%〗的固定管理费, 〖H份额〗收取年化〖0.10%〗的固定管理费, 〖I份额〗收取年化〖0.10%〗的固定管理费, 〖J份额〗收取年化〖0.10%〗的固定管理费, 〖K份额〗收取年化〖0.10%〗的固定管理费, 〖L份额〗收取年化〖0.10%〗的固定管理费, 〖M份额〗收取年化〖0.10%〗的固定管理费, 〖N份额〗收取年化〖0.10%〗的固定管理费, 〖O份额〗收取年化〖0.10%〗的固定管理费, 〖P份额〗收取年化〖0.10%〗的固定管理费, 〖Q份额〗收取年化〖0.10%〗的固定管理费, 〖R份额〗收取年化〖0.10%〗的固定管理费, 〖T份额〗收取年化〖0.09%〗的固定管理费, 〖V份额〗收取年化〖0.10%〗的固定管理费, 〖W份额〗收取年化〖0.10%〗的固定管理费, 〖X份额〗收取年化〖0.10%〗的固定管理费, 〖Y份额〗收取年化〖0.10%〗的固定管理费, 〖Z份额〗收取年化〖0.10%〗的固定管理费, 〖ZZ份额〗收取年化〖0.10%〗的固定管理费。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Cs w:val="21"/>
                <w:highlight w:val="none"/>
              </w:rPr>
            </w:pPr>
            <w:r>
              <w:rPr>
                <w:rFonts w:hint="eastAsia" w:ascii="宋体" w:hAnsi="宋体" w:cs="宋体"/>
                <w:color w:val="000000"/>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5.浮动管理费</w:t>
            </w:r>
            <w:r>
              <w:rPr>
                <w:rFonts w:hint="eastAsia" w:ascii="宋体" w:hAnsi="宋体" w:cs="宋体"/>
                <w:color w:val="000000"/>
                <w:szCs w:val="21"/>
                <w:highlight w:val="none"/>
                <w:lang w:eastAsia="zh-CN"/>
              </w:rPr>
              <w:t>：</w:t>
            </w:r>
            <w:r>
              <w:rPr>
                <w:rFonts w:hint="eastAsia" w:ascii="宋体" w:hAnsi="宋体" w:eastAsia="宋体" w:cs="宋体"/>
                <w:color w:val="000000"/>
                <w:kern w:val="2"/>
                <w:sz w:val="21"/>
                <w:szCs w:val="21"/>
                <w:highlight w:val="none"/>
                <w:lang w:val="en-US" w:eastAsia="zh-CN" w:bidi="ar-SA"/>
              </w:rPr>
              <w:t>管理人根据理财计划投资情况计算浮动管理费，本理财计划份额（除O份额）到期日（提前终止日）的折合年化收益率在〖业绩比较基准下限（含）至业绩比较基准上限（含）〗的部分，管理人提取〖50%〗作为浮动管理费，在折合年化收益率超过〖业绩比较基准上限〗的部分，管理人提取〖80%〗作为浮动管理费；〖O份额〗到期日（提前终止日）的折合年化收益率在〖业绩比较基准下限（含）至业绩比较基准中枢（含）〗的部分，管理人提取〖50%〗作为浮动管理费，在折合年化收益率超过〖业绩比较基准中枢〗的部分，管理人提取〖60%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Cs w:val="21"/>
                <w:highlight w:val="none"/>
              </w:rPr>
            </w:pPr>
            <w:r>
              <w:rPr>
                <w:rFonts w:hint="eastAsia" w:ascii="宋体" w:hAnsi="宋体" w:cs="宋体"/>
                <w:b/>
                <w:color w:val="000000"/>
                <w:kern w:val="0"/>
                <w:szCs w:val="21"/>
                <w:highlight w:val="none"/>
              </w:rPr>
              <w:t>如遇国家金融政策出现重大调整并影响到本理财计划的正常运行的、市场收益率大幅波动可能或实质影响理财计划收益等情况，管理人有权提前终止本理财计划。具体参见说明书“交易规则”部分。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Cs w:val="21"/>
                <w:highlight w:val="none"/>
              </w:rPr>
            </w:pPr>
            <w:r>
              <w:rPr>
                <w:rFonts w:hint="eastAsia" w:ascii="宋体" w:hAnsi="宋体" w:cs="宋体"/>
                <w:color w:val="000000"/>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Cs w:val="21"/>
                <w:highlight w:val="none"/>
              </w:rPr>
            </w:pPr>
            <w:r>
              <w:rPr>
                <w:rFonts w:hint="eastAsia" w:ascii="宋体" w:hAnsi="宋体" w:cs="宋体"/>
                <w:color w:val="000000"/>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Cs w:val="21"/>
                <w:highlight w:val="none"/>
              </w:rPr>
            </w:pPr>
            <w:r>
              <w:rPr>
                <w:rFonts w:hint="eastAsia" w:ascii="宋体" w:hAnsi="宋体" w:cs="宋体"/>
                <w:color w:val="000000"/>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Cs w:val="21"/>
                <w:highlight w:val="none"/>
              </w:rPr>
            </w:pPr>
            <w:r>
              <w:rPr>
                <w:rFonts w:hint="eastAsia" w:ascii="宋体" w:hAnsi="宋体" w:cs="宋体"/>
                <w:b/>
                <w:color w:val="000000"/>
                <w:szCs w:val="21"/>
                <w:highlight w:val="none"/>
              </w:rPr>
              <w:t>投资者在理财期限内不能提前</w:t>
            </w:r>
            <w:r>
              <w:rPr>
                <w:rFonts w:hint="eastAsia" w:ascii="宋体" w:hAnsi="宋体" w:cs="宋体"/>
                <w:b/>
                <w:color w:val="000000"/>
                <w:szCs w:val="21"/>
                <w:highlight w:val="none"/>
                <w:lang w:eastAsia="zh-CN"/>
              </w:rPr>
              <w:t>赎回</w:t>
            </w:r>
            <w:r>
              <w:rPr>
                <w:rFonts w:hint="eastAsia" w:ascii="宋体" w:hAnsi="宋体" w:cs="宋体"/>
                <w:b/>
                <w:color w:val="000000"/>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Cs w:val="21"/>
                <w:highlight w:val="none"/>
              </w:rPr>
            </w:pPr>
            <w:r>
              <w:rPr>
                <w:rFonts w:hint="eastAsia" w:ascii="宋体" w:hAnsi="宋体" w:cs="宋体"/>
                <w:color w:val="000000"/>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Cs w:val="21"/>
                <w:highlight w:val="none"/>
              </w:rPr>
            </w:pPr>
            <w:r>
              <w:rPr>
                <w:rFonts w:hint="eastAsia" w:ascii="宋体" w:hAnsi="宋体" w:cs="宋体"/>
                <w:color w:val="000000"/>
                <w:kern w:val="0"/>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1"/>
        </w:numPr>
        <w:spacing w:line="360" w:lineRule="auto"/>
        <w:outlineLvl w:val="1"/>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本理财计划主要投资于符合监管要求的各类资产：</w:t>
      </w:r>
    </w:p>
    <w:p>
      <w:pPr>
        <w:keepNext w:val="0"/>
        <w:keepLines w:val="0"/>
        <w:widowControl w:val="0"/>
        <w:suppressLineNumbers w:val="0"/>
        <w:spacing w:before="0" w:beforeAutospacing="0" w:after="0" w:afterAutospacing="0" w:line="360" w:lineRule="auto"/>
        <w:ind w:left="-1" w:right="-1" w:firstLine="480"/>
        <w:jc w:val="left"/>
        <w:rPr>
          <w:rFonts w:hint="eastAsia" w:ascii="宋体" w:hAnsi="宋体" w:eastAsia="宋体" w:cs="宋体"/>
          <w:kern w:val="2"/>
          <w:position w:val="0"/>
          <w:sz w:val="24"/>
          <w:szCs w:val="24"/>
          <w:highlight w:val="none"/>
        </w:rPr>
      </w:pPr>
      <w:r>
        <w:rPr>
          <w:rFonts w:hint="eastAsia" w:ascii="宋体" w:hAnsi="宋体" w:eastAsia="宋体" w:cs="宋体"/>
          <w:kern w:val="2"/>
          <w:position w:val="0"/>
          <w:sz w:val="24"/>
          <w:szCs w:val="24"/>
          <w:highlight w:val="none"/>
          <w:lang w:val="en-US" w:eastAsia="zh-CN" w:bidi="ar"/>
        </w:rPr>
        <w:t>包括但不限于各类债券、存款、货币市场金融工具、债券基金、质押式及买断式回购、非标准化债权类资产，其他符合监管要求的固定收益类资产及资产管理产品。</w:t>
      </w:r>
    </w:p>
    <w:p>
      <w:pPr>
        <w:keepNext w:val="0"/>
        <w:keepLines w:val="0"/>
        <w:widowControl w:val="0"/>
        <w:suppressLineNumbers w:val="0"/>
        <w:spacing w:before="0" w:beforeAutospacing="0" w:after="0" w:afterAutospacing="0"/>
        <w:ind w:left="0" w:leftChars="0" w:right="0" w:firstLine="480" w:firstLineChars="200"/>
        <w:jc w:val="both"/>
        <w:rPr>
          <w:rFonts w:hint="eastAsia" w:ascii="宋体" w:hAnsi="宋体" w:eastAsia="宋体" w:cs="宋体"/>
          <w:highlight w:val="none"/>
        </w:rPr>
      </w:pPr>
      <w:r>
        <w:rPr>
          <w:rFonts w:hint="eastAsia" w:ascii="宋体" w:hAnsi="宋体" w:eastAsia="宋体" w:cs="宋体"/>
          <w:kern w:val="2"/>
          <w:position w:val="0"/>
          <w:sz w:val="24"/>
          <w:szCs w:val="24"/>
          <w:highlight w:val="none"/>
          <w:lang w:val="en-US" w:eastAsia="zh-CN" w:bidi="ar"/>
        </w:rPr>
        <w:t>法律法规或监管机构允许投资的符合本理财产品投资性质的其他金融资产。</w:t>
      </w:r>
    </w:p>
    <w:p>
      <w:pPr>
        <w:numPr>
          <w:ilvl w:val="0"/>
          <w:numId w:val="12"/>
        </w:numPr>
        <w:spacing w:line="360" w:lineRule="auto"/>
        <w:jc w:val="left"/>
        <w:outlineLvl w:val="2"/>
        <w:rPr>
          <w:rFonts w:hint="eastAsia" w:ascii="宋体" w:hAnsi="宋体" w:eastAsia="宋体" w:cs="宋体"/>
          <w:b/>
          <w:sz w:val="24"/>
          <w:highlight w:val="none"/>
        </w:rPr>
      </w:pPr>
      <w:r>
        <w:rPr>
          <w:rFonts w:hint="eastAsia" w:ascii="宋体" w:hAnsi="宋体" w:eastAsia="宋体" w:cs="宋体"/>
          <w:b/>
          <w:sz w:val="24"/>
          <w:highlight w:val="none"/>
        </w:rPr>
        <w:t>投资比例</w:t>
      </w:r>
    </w:p>
    <w:p>
      <w:p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本理财计划各投资资产占</w:t>
      </w:r>
      <w:r>
        <w:rPr>
          <w:rFonts w:hint="eastAsia" w:ascii="宋体" w:hAnsi="宋体" w:eastAsia="宋体" w:cs="宋体"/>
          <w:bCs/>
          <w:sz w:val="24"/>
          <w:highlight w:val="none"/>
          <w:lang w:eastAsia="zh-CN"/>
        </w:rPr>
        <w:t>总</w:t>
      </w:r>
      <w:r>
        <w:rPr>
          <w:rFonts w:hint="eastAsia" w:ascii="宋体" w:hAnsi="宋体" w:eastAsia="宋体" w:cs="宋体"/>
          <w:bCs/>
          <w:sz w:val="24"/>
          <w:highlight w:val="none"/>
        </w:rPr>
        <w:t>资产的配置比例如下：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bCs/>
          <w:sz w:val="24"/>
          <w:szCs w:val="24"/>
          <w:highlight w:val="none"/>
        </w:rPr>
      </w:pPr>
      <w:r>
        <w:rPr>
          <w:rFonts w:hint="eastAsia" w:ascii="宋体" w:hAnsi="宋体" w:eastAsia="宋体" w:cs="宋体"/>
          <w:kern w:val="2"/>
          <w:sz w:val="24"/>
          <w:szCs w:val="24"/>
          <w:lang w:val="en-US" w:eastAsia="zh-CN" w:bidi="ar"/>
        </w:rPr>
        <w:t>本理财产品投资于固定收益类资产的比例不低于80%，投资于非标准化债权类资产的比例不高于50%。</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rPr>
        <w:t>在理财计划存续期间如遇市场变化导致各类投资品投资比例暂时超出以上范围，为保护投资者利益，管理人将在流动性受限资产可出售、可转让或者恢复交易的15个交易日内调整至上述比例范围。</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17"/>
        <w:numPr>
          <w:ilvl w:val="0"/>
          <w:numId w:val="13"/>
        </w:numPr>
        <w:adjustRightInd/>
        <w:spacing w:line="360" w:lineRule="auto"/>
        <w:ind w:firstLine="456" w:firstLineChars="190"/>
        <w:rPr>
          <w:rFonts w:hint="eastAsia" w:ascii="宋体" w:hAnsi="宋体" w:eastAsia="宋体" w:cs="宋体"/>
          <w:bCs/>
          <w:color w:val="auto"/>
          <w:kern w:val="2"/>
          <w:highlight w:val="none"/>
        </w:rPr>
      </w:pPr>
      <w:r>
        <w:rPr>
          <w:rFonts w:hint="eastAsia" w:ascii="宋体" w:hAnsi="宋体" w:eastAsia="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pStyle w:val="17"/>
        <w:numPr>
          <w:ilvl w:val="0"/>
          <w:numId w:val="13"/>
        </w:numPr>
        <w:adjustRightInd/>
        <w:spacing w:line="360" w:lineRule="auto"/>
        <w:ind w:firstLine="458" w:firstLineChars="190"/>
        <w:rPr>
          <w:rFonts w:hint="eastAsia" w:ascii="宋体" w:hAnsi="宋体" w:cs="宋体"/>
          <w:bCs/>
          <w:color w:val="auto"/>
          <w:kern w:val="2"/>
          <w:highlight w:val="none"/>
        </w:rPr>
      </w:pPr>
      <w:r>
        <w:rPr>
          <w:rFonts w:hint="eastAsia" w:ascii="宋体" w:hAnsi="宋体" w:cs="宋体"/>
          <w:b/>
          <w:bCs w:val="0"/>
          <w:color w:val="auto"/>
          <w:kern w:val="2"/>
          <w:highlight w:val="none"/>
          <w:lang w:val="en-US" w:eastAsia="zh-CN"/>
        </w:rPr>
        <w:t>本理财计划可以投资不存在活跃交易市场并且需要采用估值技术确定公允价值的资产，上述资产比例可以达到理财计划净资产的50%以上。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投资策略</w:t>
      </w:r>
    </w:p>
    <w:p>
      <w:pPr>
        <w:pStyle w:val="17"/>
        <w:numPr>
          <w:ilvl w:val="0"/>
          <w:numId w:val="14"/>
        </w:numPr>
        <w:adjustRightInd/>
        <w:spacing w:line="360" w:lineRule="auto"/>
        <w:rPr>
          <w:rFonts w:hint="eastAsia" w:ascii="宋体" w:hAnsi="宋体" w:cs="宋体"/>
          <w:bCs/>
          <w:color w:val="000000"/>
          <w:kern w:val="2"/>
          <w:highlight w:val="none"/>
        </w:rPr>
      </w:pPr>
      <w:r>
        <w:rPr>
          <w:rFonts w:hint="eastAsia" w:ascii="宋体" w:hAnsi="宋体" w:cs="宋体"/>
          <w:bCs/>
          <w:color w:val="000000"/>
          <w:kern w:val="2"/>
          <w:highlight w:val="none"/>
        </w:rPr>
        <w:t>资产配置策略</w:t>
      </w:r>
    </w:p>
    <w:p>
      <w:pPr>
        <w:pStyle w:val="17"/>
        <w:adjustRightInd/>
        <w:spacing w:line="360" w:lineRule="auto"/>
        <w:rPr>
          <w:rFonts w:ascii="宋体" w:cs="宋体"/>
          <w:color w:val="000000"/>
          <w:sz w:val="21"/>
          <w:szCs w:val="21"/>
          <w:highlight w:val="none"/>
        </w:rPr>
      </w:pPr>
      <w:r>
        <w:rPr>
          <w:rFonts w:hint="eastAsia" w:ascii="宋体" w:hAnsi="宋体" w:cs="宋体"/>
          <w:bCs/>
          <w:color w:val="000000"/>
          <w:kern w:val="2"/>
          <w:highlight w:val="none"/>
        </w:rPr>
        <w:t xml:space="preserve">    将通过对宏观经济形势、各项国家政策、及证券市场环境的分析来判断经济周期目前的位置，主动判断市场时机进行资产配置，确定在各类资产上的投资比例。</w:t>
      </w:r>
    </w:p>
    <w:p>
      <w:pPr>
        <w:numPr>
          <w:ilvl w:val="0"/>
          <w:numId w:val="1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债券投资策略</w:t>
      </w:r>
    </w:p>
    <w:p>
      <w:pPr>
        <w:pStyle w:val="17"/>
        <w:adjustRightInd/>
        <w:spacing w:line="360" w:lineRule="auto"/>
        <w:ind w:firstLine="480" w:firstLineChars="200"/>
        <w:rPr>
          <w:rFonts w:hint="eastAsia" w:ascii="宋体" w:hAnsi="宋体" w:cs="宋体"/>
          <w:bCs/>
          <w:color w:val="000000"/>
          <w:highlight w:val="none"/>
        </w:rPr>
      </w:pPr>
      <w:r>
        <w:rPr>
          <w:rFonts w:hint="eastAsia" w:ascii="宋体" w:hAnsi="宋体" w:cs="宋体"/>
          <w:bCs/>
          <w:color w:val="000000"/>
          <w:kern w:val="2"/>
          <w:highlight w:val="none"/>
        </w:rPr>
        <w:t>管理人本着稳健投资的理念，采用安全性和流动性优先、优选投资品种，采取久期策略和信用策略来获取稳定收益。</w:t>
      </w:r>
    </w:p>
    <w:p>
      <w:pPr>
        <w:keepNext w:val="0"/>
        <w:keepLines w:val="0"/>
        <w:widowControl w:val="0"/>
        <w:numPr>
          <w:ilvl w:val="0"/>
          <w:numId w:val="15"/>
        </w:numPr>
        <w:suppressLineNumbers w:val="0"/>
        <w:spacing w:before="0" w:beforeAutospacing="0" w:after="0" w:afterAutospacing="0" w:line="360" w:lineRule="auto"/>
        <w:ind w:left="0" w:right="0"/>
        <w:jc w:val="both"/>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非标准化债权类资产投资策略</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000000"/>
          <w:kern w:val="2"/>
          <w:highlight w:val="none"/>
        </w:rPr>
      </w:pPr>
      <w:r>
        <w:rPr>
          <w:rFonts w:hint="eastAsia" w:ascii="宋体" w:hAnsi="宋体" w:eastAsia="宋体" w:cs="宋体"/>
          <w:color w:val="000000"/>
          <w:kern w:val="2"/>
          <w:sz w:val="24"/>
          <w:szCs w:val="24"/>
          <w:lang w:val="en-US" w:eastAsia="zh-CN" w:bidi="ar"/>
        </w:rPr>
        <w:t>管理人发挥自身能力优势，在合规前提下开展风险可控、期限匹配的非标准化债权类资产投资，力争获取稳定收益。</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color w:val="000000"/>
          <w:sz w:val="24"/>
          <w:highlight w:val="none"/>
          <w:lang w:eastAsia="zh-CN"/>
        </w:rPr>
      </w:pPr>
      <w:r>
        <w:rPr>
          <w:rFonts w:hint="eastAsia" w:ascii="宋体" w:hAnsi="宋体" w:cs="宋体"/>
          <w:bCs/>
          <w:color w:val="000000"/>
          <w:sz w:val="24"/>
          <w:highlight w:val="none"/>
          <w:lang w:eastAsia="zh-CN"/>
        </w:rPr>
        <w:t>投资限制中列示的资产品种不代表管理人的实际投向，本理财计划投资范围以“投资范围”章节表述为准。</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17"/>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17"/>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本理财计划投资的非标准化债权类资产到期日不得晚于理财计划到期日。</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本理财计划的总资产不得超过净资产的200%。</w:t>
      </w:r>
    </w:p>
    <w:p>
      <w:pPr>
        <w:numPr>
          <w:ilvl w:val="0"/>
          <w:numId w:val="16"/>
        </w:numPr>
        <w:spacing w:line="360" w:lineRule="auto"/>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1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lang w:eastAsia="zh-CN"/>
        </w:rPr>
        <w:t>拟</w:t>
      </w:r>
      <w:r>
        <w:rPr>
          <w:rFonts w:hint="eastAsia" w:ascii="宋体" w:hAnsi="宋体" w:cs="宋体"/>
          <w:b/>
          <w:bCs w:val="0"/>
          <w:sz w:val="24"/>
          <w:highlight w:val="none"/>
          <w:lang w:eastAsia="zh-CN"/>
        </w:rPr>
        <w:t>投资市场、资产的流动性风险评估</w:t>
      </w:r>
    </w:p>
    <w:p>
      <w:pPr>
        <w:numPr>
          <w:ilvl w:val="0"/>
          <w:numId w:val="0"/>
        </w:numPr>
        <w:spacing w:line="360" w:lineRule="auto"/>
        <w:ind w:left="420" w:leftChars="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18"/>
        </w:numPr>
        <w:spacing w:line="360" w:lineRule="auto"/>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spacing w:line="360" w:lineRule="auto"/>
        <w:ind w:firstLine="480" w:firstLineChars="200"/>
        <w:jc w:val="left"/>
        <w:rPr>
          <w:rFonts w:hint="eastAsia"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20"/>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托管人</w:t>
      </w:r>
    </w:p>
    <w:tbl>
      <w:tblPr>
        <w:tblStyle w:val="8"/>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Cs w:val="21"/>
                <w:highlight w:val="none"/>
              </w:rPr>
            </w:pPr>
            <w:r>
              <w:rPr>
                <w:rFonts w:hint="default"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eastAsia="宋体" w:cs="宋体"/>
                <w:bCs/>
                <w:szCs w:val="21"/>
                <w:highlight w:val="none"/>
                <w:lang w:val="en-US" w:eastAsia="zh-CN"/>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none"/>
              </w:rPr>
            </w:pPr>
            <w:r>
              <w:rPr>
                <w:rFonts w:hint="eastAsia" w:ascii="宋体" w:hAnsi="宋体" w:cs="宋体"/>
                <w:bCs/>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2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销售机构</w:t>
      </w:r>
    </w:p>
    <w:tbl>
      <w:tblPr>
        <w:tblStyle w:val="8"/>
        <w:tblW w:w="7517" w:type="dxa"/>
        <w:tblInd w:w="39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0"/>
        <w:gridCol w:w="1626"/>
        <w:gridCol w:w="1225"/>
        <w:gridCol w:w="3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930" w:type="dxa"/>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销售机构信息</w:t>
            </w: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kern w:val="2"/>
                <w:sz w:val="21"/>
                <w:szCs w:val="21"/>
                <w:lang w:val="en-US" w:eastAsia="zh-CN" w:bidi="ar"/>
              </w:rPr>
              <w:t>浙江省杭州市上城区解放东路168号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苏州银行股份有限公司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江苏省苏州工业园区钟园路728号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96067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厦门银行股份有限公司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福建省厦门市思明区湖滨北路101号商业银行大厦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400-858-8888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北京市朝阳区光华路10号院1号楼6-30层、32-42层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齐鲁银行股份有限公司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山东省济南市历下区经十路10817号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甘肃省兰州市城关区东岗西路525—1号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4008696666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杭银理财有限责任公司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浙江省杭州市拱墅区庆春路38号金龙财富中心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400-8950-999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绍兴银行股份有限公司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浙江省绍兴市越城区中兴南路1号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4000896528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浙江萧山农村商业银行股份有限公司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浙江省杭州市萧山区城厢街道人民路258号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4008896596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海南省海口市龙华区海秀东路31号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0898-96566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秦皇岛银行股份有限公司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河北省秦皇岛市海港区河北大街西段560号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0335-96336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温州银行股份有限公司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浙江省温州市鹿城区会展路1316号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0577-96699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中邮邮惠万家银行有限责任公司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上海市虹口区东大名路1080号25层、26层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95504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大连农村商业银行股份有限公司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辽宁省大连经济技术开发区五彩城A区1栋-A1号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96689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吉林银行股份有限公司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经济开发区东南湖大路1817号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400-88-96666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福建海峡银行股份有限公司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福建省福州市台江区江滨中大道358号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400-893-9999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兰州银行股份有限公司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甘肃省兰州市酒泉路211号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400-88-96799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color w:val="000000"/>
                <w:kern w:val="0"/>
                <w:sz w:val="21"/>
                <w:szCs w:val="21"/>
                <w:lang w:val="en-US" w:eastAsia="zh-CN" w:bidi="ar"/>
              </w:rPr>
              <w:t>厦门农村商业银行股份有限公司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中国(福建)自由贸易试验区厦门片区东港北路31号(1层、17层、19层、27-28层、30-31层)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40083-96336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1"/>
                <w:szCs w:val="21"/>
              </w:rPr>
            </w:pPr>
            <w:r>
              <w:rPr>
                <w:rFonts w:hint="eastAsia" w:ascii="宋体" w:hAnsi="宋体" w:eastAsia="宋体" w:cs="宋体"/>
                <w:i w:val="0"/>
                <w:iCs w:val="0"/>
                <w:color w:val="000000"/>
                <w:kern w:val="0"/>
                <w:sz w:val="21"/>
                <w:szCs w:val="21"/>
                <w:lang w:val="en-US" w:eastAsia="zh-CN" w:bidi="ar"/>
              </w:rPr>
              <w:t>汉口银行股份有限公司</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住所</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湖北省武汉市江汉区建设大道933号武汉商业银行大厦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930" w:type="dxa"/>
            <w:vMerge w:val="continue"/>
            <w:tcBorders>
              <w:top w:val="single" w:color="auto" w:sz="4" w:space="0"/>
              <w:left w:val="single" w:color="auto"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客服热线</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lang w:val="en-US" w:eastAsia="zh-CN" w:bidi="ar"/>
              </w:rPr>
              <w:t>400-609-6558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35" w:hRule="atLeast"/>
        </w:trPr>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销售机构职责</w:t>
            </w:r>
          </w:p>
        </w:tc>
        <w:tc>
          <w:tcPr>
            <w:tcW w:w="6587" w:type="dxa"/>
            <w:gridSpan w:val="3"/>
            <w:tcBorders>
              <w:top w:val="single" w:color="000000"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主要负责理财计划推广、投资者风险承受能力评估、投资者适当性管理、理财计划份额认购、申购及赎回办理。协助管理人负责与投资者签订理财计划合同、与投资者沟通及进行信息披露、接受投资者咨询和客户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估值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w:t>
      </w:r>
      <w:r>
        <w:rPr>
          <w:rFonts w:hint="eastAsia" w:ascii="宋体" w:hAnsi="宋体" w:cs="宋体"/>
          <w:bCs/>
          <w:color w:val="000000"/>
          <w:sz w:val="24"/>
          <w:highlight w:val="none"/>
        </w:rPr>
        <w:t>日，定期由理财管理人和理财托管人核对估值结果并向投资者披露，具体日期以管理人公告为准。</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17"/>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以收取</w:t>
      </w:r>
      <w:r>
        <w:rPr>
          <w:rFonts w:hint="eastAsia" w:ascii="宋体" w:hAnsi="宋体" w:cs="宋体"/>
          <w:bCs/>
          <w:color w:val="000000"/>
          <w:sz w:val="24"/>
          <w:highlight w:val="none"/>
        </w:rPr>
        <w:t>合同现金流量为目的并持有到期的债券及同业存单类资产，按摊余成本法进行计量。其余债券及同业存单类资产，按市价法估值。市价法不能确定公允价值的，采用估值技术进行估值。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rPr>
          <w:rFonts w:ascii="宋体" w:hAnsi="宋体" w:cs="宋体"/>
          <w:bCs/>
          <w:color w:val="000000"/>
          <w:sz w:val="24"/>
          <w:highlight w:val="none"/>
        </w:rPr>
      </w:pPr>
      <w:r>
        <w:rPr>
          <w:rFonts w:hint="eastAsia" w:ascii="宋体" w:hAnsi="宋体" w:cs="宋体"/>
          <w:bCs/>
          <w:color w:val="000000"/>
          <w:sz w:val="24"/>
          <w:highlight w:val="none"/>
          <w:lang w:val="en-US" w:eastAsia="zh-CN"/>
        </w:rPr>
        <w:t xml:space="preserve">    对于</w:t>
      </w:r>
      <w:r>
        <w:rPr>
          <w:rFonts w:hint="eastAsia" w:ascii="宋体" w:hAnsi="宋体" w:cs="宋体"/>
          <w:bCs/>
          <w:color w:val="000000"/>
          <w:sz w:val="24"/>
          <w:highlight w:val="none"/>
        </w:rPr>
        <w:t>符合监管要求的债权类资产，按照摊余成本法进行计量。其余债权类资产，按市价法估值。市价法不能确定其公允价值的，采用估值技术进行估值。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rPr>
          <w:rFonts w:hint="eastAsia" w:ascii="宋体" w:hAnsi="宋体"/>
          <w:sz w:val="24"/>
          <w:highlight w:val="none"/>
        </w:rPr>
      </w:pPr>
      <w:r>
        <w:rPr>
          <w:rFonts w:hint="eastAsia" w:ascii="宋体" w:hAnsi="宋体" w:cs="宋体"/>
          <w:bCs/>
          <w:color w:val="000000"/>
          <w:sz w:val="24"/>
          <w:highlight w:val="none"/>
          <w:lang w:val="en-US" w:eastAsia="zh-CN"/>
        </w:rPr>
        <w:t xml:space="preserve">      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3）</w:t>
      </w:r>
      <w:r>
        <w:rPr>
          <w:rFonts w:hint="eastAsia" w:ascii="宋体" w:hAnsi="宋体"/>
          <w:sz w:val="24"/>
          <w:highlight w:val="none"/>
        </w:rPr>
        <w:t>首次发行未上市的股票，按发行价格进行估值；</w:t>
      </w:r>
    </w:p>
    <w:p>
      <w:pPr>
        <w:numPr>
          <w:ilvl w:val="0"/>
          <w:numId w:val="0"/>
        </w:numPr>
        <w:spacing w:line="360" w:lineRule="auto"/>
        <w:rPr>
          <w:rFonts w:hint="eastAsia" w:ascii="宋体" w:hAnsi="宋体"/>
          <w:sz w:val="24"/>
          <w:highlight w:val="none"/>
        </w:rPr>
      </w:pPr>
      <w:r>
        <w:rPr>
          <w:rFonts w:hint="eastAsia" w:ascii="宋体" w:hAnsi="宋体"/>
          <w:sz w:val="24"/>
          <w:highlight w:val="none"/>
          <w:lang w:val="en-US" w:eastAsia="zh-CN"/>
        </w:rPr>
        <w:t xml:space="preserve">      4）</w:t>
      </w:r>
      <w:r>
        <w:rPr>
          <w:rFonts w:hint="eastAsia" w:ascii="宋体" w:hAnsi="宋体"/>
          <w:sz w:val="24"/>
          <w:highlight w:val="none"/>
        </w:rPr>
        <w:t>因持有股票而享有的配股权，采用估值技术确定公允价值。</w:t>
      </w:r>
    </w:p>
    <w:p>
      <w:pPr>
        <w:numPr>
          <w:ilvl w:val="0"/>
          <w:numId w:val="24"/>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23"/>
        </w:numPr>
        <w:spacing w:line="360" w:lineRule="auto"/>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17"/>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17"/>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17"/>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2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2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22"/>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费用及税收</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、托管费、固定管理费、认购费、浮动管理费以及理财计划运作和清算中产生的其他费用等。</w:t>
      </w:r>
    </w:p>
    <w:p>
      <w:pPr>
        <w:numPr>
          <w:ilvl w:val="0"/>
          <w:numId w:val="26"/>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000000"/>
          <w:kern w:val="2"/>
          <w:position w:val="-1"/>
          <w:sz w:val="24"/>
          <w:u w:val="none"/>
          <w:vertAlign w:val="baseline"/>
        </w:rPr>
        <w:t>理财计划财产分为每日计提销售服务费的〖A份额〗、〖B份额〗、〖C份额〗、〖D份额〗、〖E份额〗、〖G份额〗、〖H份额〗、〖I份额〗、〖J份额〗、〖K份额〗、〖L份额〗、〖M份额〗、〖O份额〗、〖P份额〗、〖Q份额〗、〖V份额〗、〖X份额〗、〖ZZ份额〗和销售服务费于产品成立日一次性收取的〖N份额〗、〖R份额〗、〖T份额〗、〖W份额〗、〖Y份额〗、〖Z份额〗。A份额的年化销售服务费率为〖0.30%〗, B份额的年化销售服务费率为〖0.20%〗, C份额的年化销售服务费率为〖0.10%〗, D份额的年化销售服务费率为〖0.15%〗, E份额的年化销售服务费率为〖0.40%〗, G份额的年化销售服务费率为〖0.01%〗, H份额的年化销售服务费率为〖0.20%〗, I份额的年化销售服务费率为〖0.30%〗, J份额的年化销售服务费率为〖0.05%〗, K份额的年化销售服务费率为〖0.30%〗, L份额的年化销售服务费率为〖0.10%〗, M份额的年化销售服务费率为〖0.15%〗, N份额的年化销售服务费率为〖0.20%〗, O份额的年化销售服务费率为〖0.20%〗, P份额的年化销售服务费率为〖0.15%〗, Q份额的年化销售服务费率为〖0.15%〗, R份额的年化销售服务费率为〖0.15%〗, T份额的年化销售服务费率为〖0.15%〗, V份额的年化销售服务费率为〖0.10%〗, W份额的年化销售服务费率为〖0.30%〗, X份额的年化销售服务费率为〖0.05%〗, Y份额的年化销售服务费率为〖0.20%〗, Z份额的年化销售服务费率为〖0.10%〗, ZZ份额的年化销售服务费率为〖0.40%〗。两种计算方法如下：</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（1）销售费按日计提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H1＝E1×〖0.30%〗÷365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H1为〖A份额〗每日应计提的销售服务费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E1为〖A份额〗前一日资产净值</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销售服务费原则上按日计提。</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（2）销售费一次性收取</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H2＝E2×〖0.20%〗×P÷365</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H2为〖N份额〗应计提的销售服务费</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E2为〖N份额〗成立日产品份额</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P为产品投资期限天数</w:t>
      </w:r>
      <w:r>
        <w:rPr>
          <w:rFonts w:ascii="宋体" w:hAnsi="宋体" w:eastAsia="宋体" w:cs="宋体"/>
          <w:b w:val="0"/>
          <w:i w:val="0"/>
          <w:caps w:val="0"/>
          <w:strike w:val="0"/>
          <w:dstrike w:val="0"/>
          <w:shadow w:val="0"/>
          <w:emboss w:val="0"/>
          <w:imprint w:val="0"/>
          <w:color w:val="000000"/>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000000"/>
          <w:kern w:val="2"/>
          <w:position w:val="-1"/>
          <w:sz w:val="24"/>
          <w:u w:val="none"/>
          <w:vertAlign w:val="baseline"/>
        </w:rPr>
        <w:t xml:space="preserve">    销售服务费于产品成立日一次性收取，每日摊销。</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0.025</w:t>
      </w:r>
      <w:r>
        <w:rPr>
          <w:rFonts w:hint="eastAsia" w:ascii="宋体" w:hAnsi="宋体" w:cs="宋体"/>
          <w:color w:val="000000"/>
          <w:sz w:val="24"/>
          <w:szCs w:val="24"/>
          <w:highlight w:val="none"/>
          <w:lang w:eastAsia="zh"/>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托管费原则上按日计提。</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bCs/>
          <w:color w:val="000000"/>
          <w:kern w:val="2"/>
          <w:sz w:val="24"/>
          <w:szCs w:val="24"/>
          <w:highlight w:val="none"/>
          <w:lang w:val="en-US" w:eastAsia="zh-CN" w:bidi="ar-SA"/>
        </w:rPr>
        <w:t>A份额的年化固定管理费率为〖0.10%〗, B份额的年化固定管理费率为〖0.10%〗, C份额的年化固定管理费率为〖0.10%〗, D份额的年化固定管理费率为〖0.10%〗, E份额的年化固定管理费率为〖0.15%〗, G份额的年化固定管理费率为〖0.04%〗, H份额的年化固定管理费率为〖0.10%〗, I份额的年化固定管理费率为〖0.10%〗, J份额的年化固定管理费率为〖0.10%〗, K份额的年化固定管理费率为〖0.10%〗, L份额的年化固定管理费率为〖0.10%〗, M份额的年化固定管理费率为〖0.10%〗, N份额的年化固定管理费率为〖0.10%〗, O份额的年化固定管理费率为〖0.10%〗, P份额的年化固定管理费率为〖0.10%〗, Q份额的年化固定管理费率为〖0.10%〗, R份额的年化固定管理费率为〖0.10%〗, T份额的年化固定管理费率为〖0.09%〗, V份额的年化固定管理费率为〖0.10%〗, W份额的年化固定管理费率为〖0.10%〗, X份额的年化固定管理费率为〖0.10%〗, Y份额的年化固定管理费率为〖0.10%〗, Z份额的年化固定管理费率为〖0.10%〗, ZZ份额的年化固定管理费率为〖0.10%〗, 以〖A份额〗</w:t>
      </w:r>
      <w:r>
        <w:rPr>
          <w:rFonts w:hint="eastAsia" w:ascii="宋体" w:hAnsi="宋体" w:cs="宋体"/>
          <w:bCs/>
          <w:color w:val="000000"/>
          <w:sz w:val="24"/>
          <w:highlight w:val="none"/>
        </w:rPr>
        <w:t>为例，计算方法如下：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4"/>
          <w:highlight w:val="none"/>
          <w:lang w:val="en-US" w:eastAsia="zh-CN" w:bidi="ar-SA"/>
        </w:rPr>
        <w:t>0.10</w:t>
      </w:r>
      <w:r>
        <w:rPr>
          <w:rFonts w:hint="eastAsia" w:ascii="宋体" w:hAnsi="宋体" w:cs="宋体"/>
          <w:bCs/>
          <w:color w:val="000000"/>
          <w:kern w:val="2"/>
          <w:sz w:val="24"/>
          <w:szCs w:val="24"/>
          <w:highlight w:val="none"/>
          <w:lang w:val="en-US" w:eastAsia="zh" w:bidi="ar-SA"/>
        </w:rPr>
        <w:t>%</w:t>
      </w:r>
      <w:r>
        <w:rPr>
          <w:rFonts w:hint="eastAsia" w:ascii="宋体" w:hAnsi="宋体" w:cs="宋体"/>
          <w:color w:val="000000"/>
          <w:szCs w:val="21"/>
          <w:highlight w:val="none"/>
        </w:rPr>
        <w:t>〗</w:t>
      </w:r>
      <w:r>
        <w:rPr>
          <w:rFonts w:hint="eastAsia" w:ascii="宋体" w:hAnsi="宋体" w:cs="宋体"/>
          <w:bCs/>
          <w:color w:val="000000"/>
          <w:sz w:val="24"/>
          <w:szCs w:val="24"/>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w:t>
      </w:r>
      <w:r>
        <w:rPr>
          <w:rFonts w:hint="eastAsia" w:ascii="宋体" w:hAnsi="宋体" w:cs="宋体"/>
          <w:bCs/>
          <w:color w:val="000000"/>
          <w:sz w:val="24"/>
          <w:highlight w:val="none"/>
          <w:lang w:eastAsia="zh-CN"/>
        </w:rPr>
        <w:t>固定</w:t>
      </w:r>
      <w:r>
        <w:rPr>
          <w:rFonts w:hint="eastAsia" w:ascii="宋体" w:hAnsi="宋体" w:cs="宋体"/>
          <w:bCs/>
          <w:color w:val="000000"/>
          <w:sz w:val="24"/>
          <w:highlight w:val="none"/>
        </w:rPr>
        <w:t>管理费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eastAsia="宋体" w:cs="宋体"/>
          <w:bCs/>
          <w:color w:val="FF0000"/>
          <w:sz w:val="24"/>
          <w:highlight w:val="none"/>
          <w:lang w:eastAsia="zh-CN"/>
        </w:rPr>
      </w:pPr>
      <w:r>
        <w:rPr>
          <w:rFonts w:hint="eastAsia" w:ascii="宋体" w:hAnsi="宋体" w:cs="宋体"/>
          <w:bCs/>
          <w:color w:val="000000"/>
          <w:sz w:val="24"/>
          <w:highlight w:val="none"/>
        </w:rPr>
        <w:t>固定管理费原则上按日计提</w:t>
      </w:r>
      <w:r>
        <w:rPr>
          <w:rFonts w:hint="eastAsia" w:ascii="宋体" w:hAnsi="宋体" w:cs="宋体"/>
          <w:bCs/>
          <w:color w:val="000000"/>
          <w:sz w:val="24"/>
          <w:highlight w:val="none"/>
          <w:lang w:eastAsia="zh-CN"/>
        </w:rPr>
        <w:t>，管理人有权</w:t>
      </w:r>
      <w:r>
        <w:rPr>
          <w:rFonts w:hint="eastAsia" w:ascii="宋体" w:hAnsi="宋体" w:cs="宋体"/>
          <w:bCs/>
          <w:color w:val="000000"/>
          <w:sz w:val="24"/>
          <w:highlight w:val="none"/>
          <w:lang w:val="en-US" w:eastAsia="zh-CN"/>
        </w:rPr>
        <w:t>根据实际运作情况</w:t>
      </w:r>
      <w:r>
        <w:rPr>
          <w:rFonts w:hint="eastAsia" w:ascii="宋体" w:hAnsi="宋体" w:cs="宋体"/>
          <w:bCs/>
          <w:color w:val="000000"/>
          <w:sz w:val="24"/>
          <w:highlight w:val="none"/>
          <w:lang w:eastAsia="zh-CN"/>
        </w:rPr>
        <w:t>减免固定管理费</w:t>
      </w:r>
      <w:r>
        <w:rPr>
          <w:rFonts w:hint="eastAsia"/>
          <w:color w:val="000000"/>
          <w:lang w:eastAsia="zh"/>
        </w:rPr>
        <w:t>。</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理财管理人根据理财计划投资情况计算浮动管理费，浮动管理费原则上按估值日计提，到期收取。以〖A份额〗为例，具体计算方法如下：</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（1）若本理财计划到期日（提前终止日）的折合年化收益率超过业绩比较基准下限但未达到业绩比较基准上限，则超过业绩比较基准下限的部分管理人收取〖50%〗作为浮动管理费，即：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2）若本理财计划到期日（提前终止日）的折合年化收益率超过业绩比较基准上限，则〖业绩比较基准下限(含)至上限(含)〗的部分管理人收取〖50%〗作为浮动管理费，超过〖业绩比较基准上限〗的部分管理人收取〖80%〗作为浮动管理费，即：</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H=E×NAV0×[(K-R)×〖80%〗+(R-S)×〖50%〗]×N÷365</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其中，K=(NAV1-NAV0+T)÷NAV0×365÷N</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H为理财计划到期（提前终止）时应收取浮动管理费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E为投资者持有份额</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K为收取浮动管理费前投资者持有份额对应持有区间折合年化收益率</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NAV0为理财计划成立日之初的单位净值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NAV1为理财计划到期日未扣除浮动管理费前的单位净值</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R为理财计划业绩比较基准上限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S为理财计划业绩比较基准下限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N为理财计划份额成立日（含）至估值日（含）的区间天数</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eastAsia="宋体" w:cs="宋体"/>
          <w:color w:val="000000"/>
          <w:kern w:val="2"/>
          <w:sz w:val="24"/>
          <w:szCs w:val="24"/>
          <w:lang w:val="en-US" w:eastAsia="zh-CN" w:bidi="ar"/>
        </w:rPr>
        <w:t>T为理财计划运作期间每单位份额的实际分红金额合计（如有）</w:t>
      </w:r>
    </w:p>
    <w:p>
      <w:pPr>
        <w:numPr>
          <w:ilvl w:val="0"/>
          <w:numId w:val="27"/>
        </w:numPr>
        <w:spacing w:line="360" w:lineRule="auto"/>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28"/>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jc w:val="left"/>
        <w:rPr>
          <w:rFonts w:ascii="宋体" w:hAnsi="宋体" w:cs="宋体"/>
          <w:bCs/>
          <w:sz w:val="24"/>
          <w:highlight w:val="none"/>
        </w:rPr>
      </w:pPr>
      <w:r>
        <w:rPr>
          <w:rFonts w:hint="eastAsia" w:ascii="宋体" w:hAnsi="宋体" w:cs="宋体"/>
          <w:bCs/>
          <w:sz w:val="24"/>
          <w:highlight w:val="none"/>
        </w:rPr>
        <w:t xml:space="preserve">    </w:t>
      </w: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29"/>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税收说明</w:t>
      </w:r>
    </w:p>
    <w:p>
      <w:pPr>
        <w:numPr>
          <w:ilvl w:val="0"/>
          <w:numId w:val="30"/>
        </w:numPr>
        <w:spacing w:line="360" w:lineRule="auto"/>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30"/>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30"/>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收益计算</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投资者理财收益＝认购份额×到期日（提前终止日）单位净值+份额持有期间累计分红-认购金额</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认购份额=认购金额</w:t>
      </w:r>
      <w:r>
        <w:rPr>
          <w:rFonts w:hint="eastAsia" w:ascii="宋体" w:hAnsi="宋体" w:cs="宋体"/>
          <w:bCs/>
          <w:color w:val="000000"/>
          <w:sz w:val="24"/>
          <w:szCs w:val="24"/>
          <w:highlight w:val="none"/>
        </w:rPr>
        <w:t>÷</w:t>
      </w:r>
      <w:r>
        <w:rPr>
          <w:rFonts w:hint="eastAsia" w:ascii="宋体" w:hAnsi="宋体" w:cs="宋体"/>
          <w:bCs/>
          <w:color w:val="000000"/>
          <w:sz w:val="24"/>
          <w:highlight w:val="none"/>
        </w:rPr>
        <w:t>1元。</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到期日（提前终止日）单位净值为提取相关费用及税费后的单位理财计划份额净值。</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示例说明</w:t>
      </w:r>
    </w:p>
    <w:p>
      <w:pPr>
        <w:spacing w:line="360" w:lineRule="auto"/>
        <w:ind w:firstLine="480" w:firstLineChars="200"/>
        <w:jc w:val="left"/>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1.0615，此时，(1.0615÷1.0000-1)×365÷362=6.20%&gt;5.00%，即在〖4.00%-5.00%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%作为浮动管理费，超过〖5.00%〗部分的投资收益管理人收取</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100,000×1.0000×{[（1.0615÷1.0000-1）×365÷362-5.00%]×</w:t>
      </w:r>
      <w:r>
        <w:rPr>
          <w:rFonts w:hint="eastAsia" w:ascii="宋体" w:hAnsi="宋体" w:cs="宋体"/>
          <w:color w:val="000000"/>
          <w:kern w:val="2"/>
          <w:sz w:val="24"/>
          <w:szCs w:val="24"/>
          <w:lang w:val="en-US" w:eastAsia="zh" w:bidi="ar"/>
        </w:rPr>
        <w:t>80</w:t>
      </w:r>
      <w:r>
        <w:rPr>
          <w:rFonts w:hint="eastAsia" w:ascii="宋体" w:hAnsi="宋体" w:eastAsia="宋体" w:cs="宋体"/>
          <w:color w:val="000000"/>
          <w:kern w:val="2"/>
          <w:sz w:val="24"/>
          <w:szCs w:val="24"/>
          <w:lang w:val="en-US" w:eastAsia="zh-CN" w:bidi="ar"/>
        </w:rPr>
        <w:t>%+(5.00%-4.00%)×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100,000.00×（1.0615-1.0000）-</w:t>
      </w:r>
      <w:r>
        <w:rPr>
          <w:rFonts w:hint="eastAsia" w:ascii="宋体" w:hAnsi="宋体" w:cs="宋体"/>
          <w:color w:val="000000"/>
          <w:kern w:val="2"/>
          <w:sz w:val="24"/>
          <w:szCs w:val="24"/>
          <w:lang w:val="en-US" w:eastAsia="zh" w:bidi="ar"/>
        </w:rPr>
        <w:t>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448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77</w:t>
      </w:r>
      <w:r>
        <w:rPr>
          <w:rFonts w:hint="eastAsia" w:ascii="宋体" w:hAnsi="宋体" w:eastAsia="宋体" w:cs="宋体"/>
          <w:color w:val="000000"/>
          <w:kern w:val="2"/>
          <w:sz w:val="24"/>
          <w:szCs w:val="24"/>
          <w:lang w:val="en-US" w:eastAsia="zh-CN" w:bidi="ar"/>
        </w:rPr>
        <w:t>= 4,</w:t>
      </w:r>
      <w:r>
        <w:rPr>
          <w:rFonts w:hint="eastAsia" w:ascii="宋体" w:hAnsi="宋体" w:cs="宋体"/>
          <w:color w:val="000000"/>
          <w:kern w:val="2"/>
          <w:sz w:val="24"/>
          <w:szCs w:val="24"/>
          <w:lang w:val="en-US" w:eastAsia="zh" w:bidi="ar"/>
        </w:rPr>
        <w:t>701</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23</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扣除托管费、固定管理费、销售服务费（如有）后，投资收益率超过业绩比较基准下限，但未达到业绩比较基准上限。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1.0415，此时，(1.0415÷1.0000-1)×365÷362=4.18%，即投资收益超过〖4.00%〗但未达到〖5.00%〗，则超过〖4.00%〗部分的投资收益管理人收取</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%作为浮动管理费，浮动管理费为：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100,000.00×1.0000×[(1.0415÷1.0000-1)×365÷362-4.00%]×</w:t>
      </w:r>
      <w:r>
        <w:rPr>
          <w:rFonts w:hint="eastAsia" w:ascii="宋体" w:hAnsi="宋体" w:cs="宋体"/>
          <w:color w:val="000000"/>
          <w:kern w:val="2"/>
          <w:sz w:val="24"/>
          <w:szCs w:val="24"/>
          <w:lang w:val="en-US" w:eastAsia="zh" w:bidi="ar"/>
        </w:rPr>
        <w:t>50</w:t>
      </w:r>
      <w:r>
        <w:rPr>
          <w:rFonts w:hint="eastAsia" w:ascii="宋体" w:hAnsi="宋体" w:eastAsia="宋体" w:cs="宋体"/>
          <w:color w:val="000000"/>
          <w:kern w:val="2"/>
          <w:sz w:val="24"/>
          <w:szCs w:val="24"/>
          <w:lang w:val="en-US" w:eastAsia="zh-CN" w:bidi="ar"/>
        </w:rPr>
        <w:t>%×362÷365=</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扣除浮动管理费后，投资者最终收益为：</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100,000.00×（1.0415-1.0000）-</w:t>
      </w:r>
      <w:r>
        <w:rPr>
          <w:rFonts w:hint="eastAsia" w:ascii="宋体" w:hAnsi="宋体" w:cs="宋体"/>
          <w:color w:val="000000"/>
          <w:kern w:val="2"/>
          <w:sz w:val="24"/>
          <w:szCs w:val="24"/>
          <w:lang w:val="en-US" w:eastAsia="zh" w:bidi="ar"/>
        </w:rPr>
        <w:t>91.44</w:t>
      </w:r>
      <w:r>
        <w:rPr>
          <w:rFonts w:hint="eastAsia" w:ascii="宋体" w:hAnsi="宋体" w:eastAsia="宋体" w:cs="宋体"/>
          <w:color w:val="000000"/>
          <w:kern w:val="2"/>
          <w:sz w:val="24"/>
          <w:szCs w:val="24"/>
          <w:lang w:val="en-US" w:eastAsia="zh-CN" w:bidi="ar"/>
        </w:rPr>
        <w:t xml:space="preserve"> =4,0</w:t>
      </w:r>
      <w:r>
        <w:rPr>
          <w:rFonts w:hint="eastAsia" w:ascii="宋体" w:hAnsi="宋体" w:cs="宋体"/>
          <w:color w:val="000000"/>
          <w:kern w:val="2"/>
          <w:sz w:val="24"/>
          <w:szCs w:val="24"/>
          <w:lang w:val="en-US" w:eastAsia="zh" w:bidi="ar"/>
        </w:rPr>
        <w:t>58</w:t>
      </w:r>
      <w:r>
        <w:rPr>
          <w:rFonts w:hint="eastAsia" w:ascii="宋体" w:hAnsi="宋体" w:eastAsia="宋体" w:cs="宋体"/>
          <w:color w:val="000000"/>
          <w:kern w:val="2"/>
          <w:sz w:val="24"/>
          <w:szCs w:val="24"/>
          <w:lang w:val="en-US" w:eastAsia="zh-CN" w:bidi="ar"/>
        </w:rPr>
        <w:t>.</w:t>
      </w:r>
      <w:r>
        <w:rPr>
          <w:rFonts w:hint="eastAsia" w:ascii="宋体" w:hAnsi="宋体" w:cs="宋体"/>
          <w:color w:val="000000"/>
          <w:kern w:val="2"/>
          <w:sz w:val="24"/>
          <w:szCs w:val="24"/>
          <w:lang w:val="en-US" w:eastAsia="zh" w:bidi="ar"/>
        </w:rPr>
        <w:t>56</w:t>
      </w:r>
      <w:r>
        <w:rPr>
          <w:rFonts w:hint="eastAsia" w:ascii="宋体" w:hAnsi="宋体" w:eastAsia="宋体" w:cs="宋体"/>
          <w:color w:val="000000"/>
          <w:kern w:val="2"/>
          <w:sz w:val="24"/>
          <w:szCs w:val="24"/>
          <w:lang w:val="en-US" w:eastAsia="zh-CN" w:bidi="ar"/>
        </w:rPr>
        <w:t>（元）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示例三</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扣除托管费、固定管理费、销售服务费（如有）后，投资收益率未达到〖业绩比较基准下限〗。</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1.0000元，折算份额为100,000.00份，假设份额成立日（含）至估值日（含）的区间天数为362天,业绩比较基准为4.00%-5.00%。假设理财产品到期时扣除托管费、固定管理费、销售服务费（如有）后，如理财计划未扣除浮动管理费前的净值为1.0362，此时，(1.0362÷1.0000-1)×365÷362=3.65%&lt;4.00%，即投资收益未达到〖4.00%〗，则投资管理人不收取浮动管理费，投资者最终收益为：100,000.00×(1.0365-1.0000）=3,650.00（元）</w:t>
      </w:r>
    </w:p>
    <w:p>
      <w:pPr>
        <w:keepNext w:val="0"/>
        <w:keepLines w:val="0"/>
        <w:widowControl w:val="0"/>
        <w:numPr>
          <w:ilvl w:val="0"/>
          <w:numId w:val="32"/>
        </w:numPr>
        <w:suppressLineNumbers w:val="0"/>
        <w:spacing w:before="0" w:beforeAutospacing="0" w:after="0" w:afterAutospacing="0" w:line="360" w:lineRule="auto"/>
        <w:ind w:left="0" w:right="0" w:firstLine="4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示例四</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为例，假设购买时理财计划净值为1.00元，折算份额为100,000.00份，假设份额成立日（含）至估值日（含）的区间天数为362天,业绩比较基准为4.00%-5.00%。假设理财产品到期时扣除托管费、固定管理费、销售服务费（如有）后，如理财计划未扣除浮动管理费前的净值为0.9975，则投资管理人不收取浮动管理费，投资者最终收益为：100,000.00×（0.9975-1.0000）=-250.00（元）。</w:t>
      </w:r>
    </w:p>
    <w:p>
      <w:pPr>
        <w:numPr>
          <w:ilvl w:val="0"/>
          <w:numId w:val="31"/>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交易规则</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认购</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34"/>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成立</w:t>
      </w:r>
    </w:p>
    <w:p>
      <w:pPr>
        <w:numPr>
          <w:ilvl w:val="0"/>
          <w:numId w:val="35"/>
        </w:numPr>
        <w:spacing w:line="360" w:lineRule="auto"/>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35"/>
        </w:numPr>
        <w:spacing w:line="360" w:lineRule="auto"/>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申购及赎回</w:t>
      </w:r>
    </w:p>
    <w:p>
      <w:pPr>
        <w:spacing w:line="360" w:lineRule="auto"/>
        <w:ind w:firstLine="480" w:firstLineChars="200"/>
        <w:jc w:val="left"/>
        <w:rPr>
          <w:rFonts w:ascii="宋体" w:hAnsi="宋体" w:cs="宋体"/>
          <w:b/>
          <w:sz w:val="24"/>
          <w:highlight w:val="none"/>
        </w:rPr>
      </w:pPr>
      <w:r>
        <w:rPr>
          <w:rFonts w:hint="eastAsia" w:ascii="宋体" w:hAnsi="宋体" w:cs="宋体"/>
          <w:bCs/>
          <w:sz w:val="24"/>
          <w:highlight w:val="none"/>
        </w:rPr>
        <w:t>本理财计划封闭式运作，存续期间不开放申购和赎回。</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到期清算</w:t>
      </w:r>
    </w:p>
    <w:p>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kern w:val="2"/>
          <w:sz w:val="24"/>
          <w:szCs w:val="24"/>
          <w:lang w:val="en-US" w:eastAsia="zh-CN" w:bidi="ar"/>
        </w:rPr>
        <w:t>〖1〗个〖工作日〗</w:t>
      </w:r>
      <w:r>
        <w:rPr>
          <w:rFonts w:hint="eastAsia" w:ascii="宋体" w:hAnsi="宋体" w:cs="宋体"/>
          <w:bCs/>
          <w:sz w:val="24"/>
          <w:highlight w:val="none"/>
        </w:rPr>
        <w:t>、最晚</w:t>
      </w:r>
      <w:r>
        <w:rPr>
          <w:rFonts w:hint="eastAsia" w:ascii="宋体" w:hAnsi="宋体" w:eastAsia="宋体" w:cs="宋体"/>
          <w:kern w:val="2"/>
          <w:sz w:val="24"/>
          <w:szCs w:val="24"/>
          <w:lang w:val="en-US" w:eastAsia="zh-CN" w:bidi="ar"/>
        </w:rPr>
        <w:t>〖3〗个〖工作日〗</w:t>
      </w:r>
      <w:r>
        <w:rPr>
          <w:rFonts w:hint="eastAsia" w:ascii="宋体" w:hAnsi="宋体" w:cs="宋体"/>
          <w:bCs/>
          <w:sz w:val="24"/>
          <w:highlight w:val="none"/>
        </w:rPr>
        <w:t>内（遇节假日顺延）将资金按规定的要求划入投资者授权指定的理财账户。（具体以销售机构规定为准）</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000000"/>
          <w:sz w:val="24"/>
          <w:highlight w:val="none"/>
        </w:rPr>
        <w:t>2〗</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kern w:val="2"/>
          <w:sz w:val="24"/>
          <w:szCs w:val="24"/>
          <w:highlight w:val="none"/>
          <w:lang w:val="en-US" w:eastAsia="zh" w:bidi="ar-SA"/>
        </w:rPr>
        <w:t>3</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工作日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36"/>
        </w:numPr>
        <w:spacing w:line="360" w:lineRule="auto"/>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3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37"/>
        </w:numPr>
        <w:spacing w:line="360" w:lineRule="auto"/>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信息披露</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4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4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41"/>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理财计划净值：管理人应在理财计划成立后，每周披露一次净值。</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41"/>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39"/>
        </w:numPr>
        <w:spacing w:line="360" w:lineRule="auto"/>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42"/>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rPr>
        <w:t>应在发生可能对理财计划投资者或者理财计划收益产生重大事项的事件后2个工作日内发布重大事项公告。</w:t>
      </w:r>
    </w:p>
    <w:p>
      <w:pPr>
        <w:numPr>
          <w:ilvl w:val="0"/>
          <w:numId w:val="4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38"/>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19"/>
        </w:numPr>
        <w:spacing w:line="360" w:lineRule="auto"/>
        <w:jc w:val="left"/>
        <w:outlineLvl w:val="1"/>
        <w:rPr>
          <w:rFonts w:hint="eastAsia" w:ascii="宋体" w:hAnsi="宋体" w:cs="宋体"/>
          <w:b/>
          <w:sz w:val="24"/>
          <w:highlight w:val="none"/>
        </w:rPr>
      </w:pPr>
      <w:r>
        <w:rPr>
          <w:rFonts w:hint="eastAsia" w:ascii="宋体" w:hAnsi="宋体" w:cs="宋体"/>
          <w:b/>
          <w:sz w:val="24"/>
          <w:highlight w:val="none"/>
        </w:rPr>
        <w:t>其他</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43"/>
        </w:numPr>
        <w:tabs>
          <w:tab w:val="left" w:pos="6090"/>
        </w:tabs>
        <w:spacing w:line="360" w:lineRule="auto"/>
        <w:jc w:val="left"/>
        <w:outlineLvl w:val="2"/>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43"/>
        </w:numPr>
        <w:spacing w:line="360" w:lineRule="auto"/>
        <w:jc w:val="left"/>
        <w:outlineLvl w:val="2"/>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p>
      <w:pPr>
        <w:rPr>
          <w:rFonts w:ascii="宋体" w:hAnsi="宋体" w:cs="宋体"/>
          <w:bCs/>
          <w:color w:val="000000"/>
          <w:sz w:val="2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93557F"/>
    <w:multiLevelType w:val="singleLevel"/>
    <w:tmpl w:val="8493557F"/>
    <w:lvl w:ilvl="0" w:tentative="0">
      <w:start w:val="2"/>
      <w:numFmt w:val="decimal"/>
      <w:suff w:val="nothing"/>
      <w:lvlText w:val="%1．"/>
      <w:lvlJc w:val="left"/>
      <w:pPr>
        <w:ind w:left="0" w:firstLine="403"/>
      </w:pPr>
      <w:rPr>
        <w:rFonts w:hint="default" w:ascii="宋体" w:hAnsi="宋体" w:eastAsia="宋体" w:cs="宋体"/>
        <w:b w:val="0"/>
        <w:bCs w:val="0"/>
      </w:rPr>
    </w:lvl>
  </w:abstractNum>
  <w:abstractNum w:abstractNumId="1">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2">
    <w:nsid w:val="8906C252"/>
    <w:multiLevelType w:val="singleLevel"/>
    <w:tmpl w:val="8906C252"/>
    <w:lvl w:ilvl="0" w:tentative="0">
      <w:start w:val="1"/>
      <w:numFmt w:val="decimal"/>
      <w:suff w:val="nothing"/>
      <w:lvlText w:val="（%1）"/>
      <w:lvlJc w:val="left"/>
      <w:rPr>
        <w:rFonts w:hint="default"/>
        <w:b w:val="0"/>
        <w:bCs w:val="0"/>
      </w:rPr>
    </w:lvl>
  </w:abstractNum>
  <w:abstractNum w:abstractNumId="3">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4">
    <w:nsid w:val="8CBA9D88"/>
    <w:multiLevelType w:val="singleLevel"/>
    <w:tmpl w:val="8CBA9D88"/>
    <w:lvl w:ilvl="0" w:tentative="0">
      <w:start w:val="1"/>
      <w:numFmt w:val="decimal"/>
      <w:suff w:val="nothing"/>
      <w:lvlText w:val="%1．"/>
      <w:lvlJc w:val="left"/>
      <w:pPr>
        <w:ind w:left="0" w:firstLine="400"/>
      </w:pPr>
      <w:rPr>
        <w:rFonts w:hint="default" w:ascii="宋体" w:hAnsi="宋体" w:eastAsia="宋体" w:cs="宋体"/>
      </w:rPr>
    </w:lvl>
  </w:abstractNum>
  <w:abstractNum w:abstractNumId="5">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6">
    <w:nsid w:val="8D2AB5FD"/>
    <w:multiLevelType w:val="singleLevel"/>
    <w:tmpl w:val="8D2AB5FD"/>
    <w:lvl w:ilvl="0" w:tentative="0">
      <w:start w:val="1"/>
      <w:numFmt w:val="chineseCounting"/>
      <w:suff w:val="nothing"/>
      <w:lvlText w:val="（%1）"/>
      <w:lvlJc w:val="left"/>
      <w:pPr>
        <w:ind w:left="0" w:firstLine="420"/>
      </w:pPr>
      <w:rPr>
        <w:rFonts w:hint="eastAsia"/>
      </w:rPr>
    </w:lvl>
  </w:abstractNum>
  <w:abstractNum w:abstractNumId="7">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8">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9">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0">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1">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2">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3">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4">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5">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16">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17">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18">
    <w:nsid w:val="D8D75090"/>
    <w:multiLevelType w:val="singleLevel"/>
    <w:tmpl w:val="D8D75090"/>
    <w:lvl w:ilvl="0" w:tentative="0">
      <w:start w:val="1"/>
      <w:numFmt w:val="decimal"/>
      <w:suff w:val="nothing"/>
      <w:lvlText w:val="（%1）"/>
      <w:lvlJc w:val="left"/>
      <w:rPr>
        <w:rFonts w:hint="default"/>
        <w:b w:val="0"/>
        <w:bCs w:val="0"/>
      </w:rPr>
    </w:lvl>
  </w:abstractNum>
  <w:abstractNum w:abstractNumId="19">
    <w:nsid w:val="DD2251DF"/>
    <w:multiLevelType w:val="singleLevel"/>
    <w:tmpl w:val="DD2251DF"/>
    <w:lvl w:ilvl="0" w:tentative="0">
      <w:start w:val="1"/>
      <w:numFmt w:val="decimal"/>
      <w:suff w:val="nothing"/>
      <w:lvlText w:val="（%1）"/>
      <w:lvlJc w:val="left"/>
      <w:rPr>
        <w:rFonts w:hint="default"/>
        <w:b w:val="0"/>
        <w:bCs w:val="0"/>
      </w:rPr>
    </w:lvl>
  </w:abstractNum>
  <w:abstractNum w:abstractNumId="20">
    <w:nsid w:val="E20DF07A"/>
    <w:multiLevelType w:val="singleLevel"/>
    <w:tmpl w:val="E20DF07A"/>
    <w:lvl w:ilvl="0" w:tentative="0">
      <w:start w:val="1"/>
      <w:numFmt w:val="chineseCounting"/>
      <w:suff w:val="nothing"/>
      <w:lvlText w:val="（%1）"/>
      <w:lvlJc w:val="left"/>
      <w:pPr>
        <w:ind w:left="0" w:firstLine="420"/>
      </w:pPr>
      <w:rPr>
        <w:rFonts w:hint="eastAsia"/>
      </w:rPr>
    </w:lvl>
  </w:abstractNum>
  <w:abstractNum w:abstractNumId="21">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22">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23">
    <w:nsid w:val="F574F5B6"/>
    <w:multiLevelType w:val="singleLevel"/>
    <w:tmpl w:val="F574F5B6"/>
    <w:lvl w:ilvl="0" w:tentative="0">
      <w:start w:val="1"/>
      <w:numFmt w:val="decimal"/>
      <w:suff w:val="nothing"/>
      <w:lvlText w:val="（%1）"/>
      <w:lvlJc w:val="left"/>
    </w:lvl>
  </w:abstractNum>
  <w:abstractNum w:abstractNumId="24">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25">
    <w:nsid w:val="FE7FCF71"/>
    <w:multiLevelType w:val="multilevel"/>
    <w:tmpl w:val="FE7FCF71"/>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6">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27">
    <w:nsid w:val="084A6179"/>
    <w:multiLevelType w:val="singleLevel"/>
    <w:tmpl w:val="084A6179"/>
    <w:lvl w:ilvl="0" w:tentative="0">
      <w:start w:val="1"/>
      <w:numFmt w:val="decimal"/>
      <w:suff w:val="nothing"/>
      <w:lvlText w:val="（%1）"/>
      <w:lvlJc w:val="left"/>
      <w:rPr>
        <w:rFonts w:hint="default"/>
        <w:highlight w:val="none"/>
      </w:rPr>
    </w:lvl>
  </w:abstractNum>
  <w:abstractNum w:abstractNumId="28">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29">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30">
    <w:nsid w:val="167B0BB4"/>
    <w:multiLevelType w:val="singleLevel"/>
    <w:tmpl w:val="167B0BB4"/>
    <w:lvl w:ilvl="0" w:tentative="0">
      <w:start w:val="1"/>
      <w:numFmt w:val="decimal"/>
      <w:suff w:val="nothing"/>
      <w:lvlText w:val="（%1）"/>
      <w:lvlJc w:val="left"/>
    </w:lvl>
  </w:abstractNum>
  <w:abstractNum w:abstractNumId="31">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32">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33">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34">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35">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36">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37">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38">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39">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4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41">
    <w:nsid w:val="68F6C37C"/>
    <w:multiLevelType w:val="singleLevel"/>
    <w:tmpl w:val="68F6C37C"/>
    <w:lvl w:ilvl="0" w:tentative="0">
      <w:start w:val="1"/>
      <w:numFmt w:val="decimal"/>
      <w:lvlText w:val="%1."/>
      <w:lvlJc w:val="left"/>
      <w:pPr>
        <w:tabs>
          <w:tab w:val="left" w:pos="312"/>
        </w:tabs>
      </w:pPr>
      <w:rPr>
        <w:rFonts w:hint="default"/>
        <w:highlight w:val="none"/>
      </w:rPr>
    </w:lvl>
  </w:abstractNum>
  <w:abstractNum w:abstractNumId="42">
    <w:nsid w:val="6BA7AFBC"/>
    <w:multiLevelType w:val="singleLevel"/>
    <w:tmpl w:val="6BA7AFBC"/>
    <w:lvl w:ilvl="0" w:tentative="0">
      <w:start w:val="1"/>
      <w:numFmt w:val="chineseCounting"/>
      <w:suff w:val="nothing"/>
      <w:lvlText w:val="（%1）"/>
      <w:lvlJc w:val="left"/>
      <w:pPr>
        <w:ind w:left="0" w:firstLine="420"/>
      </w:pPr>
      <w:rPr>
        <w:rFonts w:hint="eastAsia"/>
      </w:rPr>
    </w:lvl>
  </w:abstractNum>
  <w:num w:numId="1">
    <w:abstractNumId w:val="39"/>
  </w:num>
  <w:num w:numId="2">
    <w:abstractNumId w:val="36"/>
  </w:num>
  <w:num w:numId="3">
    <w:abstractNumId w:val="24"/>
  </w:num>
  <w:num w:numId="4">
    <w:abstractNumId w:val="22"/>
  </w:num>
  <w:num w:numId="5">
    <w:abstractNumId w:val="28"/>
  </w:num>
  <w:num w:numId="6">
    <w:abstractNumId w:val="21"/>
  </w:num>
  <w:num w:numId="7">
    <w:abstractNumId w:val="16"/>
  </w:num>
  <w:num w:numId="8">
    <w:abstractNumId w:val="10"/>
  </w:num>
  <w:num w:numId="9">
    <w:abstractNumId w:val="13"/>
  </w:num>
  <w:num w:numId="10">
    <w:abstractNumId w:val="7"/>
  </w:num>
  <w:num w:numId="11">
    <w:abstractNumId w:val="8"/>
  </w:num>
  <w:num w:numId="12">
    <w:abstractNumId w:val="6"/>
  </w:num>
  <w:num w:numId="13">
    <w:abstractNumId w:val="41"/>
  </w:num>
  <w:num w:numId="14">
    <w:abstractNumId w:val="4"/>
  </w:num>
  <w:num w:numId="15">
    <w:abstractNumId w:val="0"/>
  </w:num>
  <w:num w:numId="16">
    <w:abstractNumId w:val="35"/>
  </w:num>
  <w:num w:numId="17">
    <w:abstractNumId w:val="23"/>
  </w:num>
  <w:num w:numId="18">
    <w:abstractNumId w:val="15"/>
  </w:num>
  <w:num w:numId="19">
    <w:abstractNumId w:val="32"/>
  </w:num>
  <w:num w:numId="20">
    <w:abstractNumId w:val="17"/>
  </w:num>
  <w:num w:numId="21">
    <w:abstractNumId w:val="5"/>
  </w:num>
  <w:num w:numId="22">
    <w:abstractNumId w:val="38"/>
  </w:num>
  <w:num w:numId="23">
    <w:abstractNumId w:val="3"/>
  </w:num>
  <w:num w:numId="24">
    <w:abstractNumId w:val="27"/>
  </w:num>
  <w:num w:numId="25">
    <w:abstractNumId w:val="31"/>
  </w:num>
  <w:num w:numId="26">
    <w:abstractNumId w:val="42"/>
  </w:num>
  <w:num w:numId="27">
    <w:abstractNumId w:val="26"/>
  </w:num>
  <w:num w:numId="28">
    <w:abstractNumId w:val="19"/>
  </w:num>
  <w:num w:numId="29">
    <w:abstractNumId w:val="34"/>
  </w:num>
  <w:num w:numId="30">
    <w:abstractNumId w:val="1"/>
  </w:num>
  <w:num w:numId="31">
    <w:abstractNumId w:val="20"/>
  </w:num>
  <w:num w:numId="32">
    <w:abstractNumId w:val="25"/>
  </w:num>
  <w:num w:numId="33">
    <w:abstractNumId w:val="37"/>
  </w:num>
  <w:num w:numId="34">
    <w:abstractNumId w:val="29"/>
  </w:num>
  <w:num w:numId="35">
    <w:abstractNumId w:val="14"/>
  </w:num>
  <w:num w:numId="36">
    <w:abstractNumId w:val="40"/>
  </w:num>
  <w:num w:numId="37">
    <w:abstractNumId w:val="11"/>
  </w:num>
  <w:num w:numId="38">
    <w:abstractNumId w:val="9"/>
  </w:num>
  <w:num w:numId="39">
    <w:abstractNumId w:val="12"/>
  </w:num>
  <w:num w:numId="40">
    <w:abstractNumId w:val="30"/>
  </w:num>
  <w:num w:numId="41">
    <w:abstractNumId w:val="18"/>
  </w:num>
  <w:num w:numId="42">
    <w:abstractNumId w:val="2"/>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6718C7"/>
    <w:rsid w:val="29E223F6"/>
    <w:rsid w:val="2A7A79DE"/>
    <w:rsid w:val="2B5C1F0C"/>
    <w:rsid w:val="2BD054E2"/>
    <w:rsid w:val="2EAD6691"/>
    <w:rsid w:val="2F0D25D9"/>
    <w:rsid w:val="3086176D"/>
    <w:rsid w:val="31124CF4"/>
    <w:rsid w:val="31A3269E"/>
    <w:rsid w:val="31EC7F28"/>
    <w:rsid w:val="322D08A3"/>
    <w:rsid w:val="32626F15"/>
    <w:rsid w:val="329E36D6"/>
    <w:rsid w:val="34105616"/>
    <w:rsid w:val="3486580A"/>
    <w:rsid w:val="34A35A92"/>
    <w:rsid w:val="34A453A9"/>
    <w:rsid w:val="34EC3C25"/>
    <w:rsid w:val="351A5D92"/>
    <w:rsid w:val="35AA025C"/>
    <w:rsid w:val="35CA7D73"/>
    <w:rsid w:val="36FD5D01"/>
    <w:rsid w:val="3719546B"/>
    <w:rsid w:val="377307FA"/>
    <w:rsid w:val="37AC3D75"/>
    <w:rsid w:val="394B6E53"/>
    <w:rsid w:val="3B1C12F3"/>
    <w:rsid w:val="3BD53B5C"/>
    <w:rsid w:val="3CC57F13"/>
    <w:rsid w:val="3D4C282D"/>
    <w:rsid w:val="3D970F4E"/>
    <w:rsid w:val="3DE106C6"/>
    <w:rsid w:val="3E540971"/>
    <w:rsid w:val="3E786275"/>
    <w:rsid w:val="3E931F0D"/>
    <w:rsid w:val="3F7E2660"/>
    <w:rsid w:val="3FA31FDD"/>
    <w:rsid w:val="3FBF6D0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7EE1B8"/>
    <w:rsid w:val="4DFF95C2"/>
    <w:rsid w:val="4E08799D"/>
    <w:rsid w:val="4E2B414A"/>
    <w:rsid w:val="4F5679CC"/>
    <w:rsid w:val="501840BA"/>
    <w:rsid w:val="52B042C0"/>
    <w:rsid w:val="53827B5D"/>
    <w:rsid w:val="53E86B53"/>
    <w:rsid w:val="54D66C67"/>
    <w:rsid w:val="54ED47F2"/>
    <w:rsid w:val="568633C7"/>
    <w:rsid w:val="57061882"/>
    <w:rsid w:val="57280BF2"/>
    <w:rsid w:val="572B60A8"/>
    <w:rsid w:val="57CFCB0F"/>
    <w:rsid w:val="57FE8B5E"/>
    <w:rsid w:val="582C3B01"/>
    <w:rsid w:val="582D059F"/>
    <w:rsid w:val="582D396D"/>
    <w:rsid w:val="59083CAE"/>
    <w:rsid w:val="592570E8"/>
    <w:rsid w:val="59435FE6"/>
    <w:rsid w:val="59480030"/>
    <w:rsid w:val="59A3360E"/>
    <w:rsid w:val="5ADE2855"/>
    <w:rsid w:val="5ADF8627"/>
    <w:rsid w:val="5B056CAE"/>
    <w:rsid w:val="5C664A4B"/>
    <w:rsid w:val="5CE67D31"/>
    <w:rsid w:val="5E5F4050"/>
    <w:rsid w:val="5F04726A"/>
    <w:rsid w:val="5F6D37D2"/>
    <w:rsid w:val="5F9C081D"/>
    <w:rsid w:val="5FED5180"/>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9577EB"/>
    <w:rsid w:val="6CBA3A99"/>
    <w:rsid w:val="6D3A1203"/>
    <w:rsid w:val="6DFE35A5"/>
    <w:rsid w:val="6E9C369D"/>
    <w:rsid w:val="6EF41B11"/>
    <w:rsid w:val="6FF79273"/>
    <w:rsid w:val="702573F3"/>
    <w:rsid w:val="70B57531"/>
    <w:rsid w:val="70FA499F"/>
    <w:rsid w:val="730C182D"/>
    <w:rsid w:val="73FC9A3F"/>
    <w:rsid w:val="751974A1"/>
    <w:rsid w:val="758B30E4"/>
    <w:rsid w:val="75F42331"/>
    <w:rsid w:val="761F7C3C"/>
    <w:rsid w:val="76683D2A"/>
    <w:rsid w:val="76C62D9E"/>
    <w:rsid w:val="78244617"/>
    <w:rsid w:val="7A923507"/>
    <w:rsid w:val="7AAFF850"/>
    <w:rsid w:val="7ACB640D"/>
    <w:rsid w:val="7BFF1A29"/>
    <w:rsid w:val="7C044D89"/>
    <w:rsid w:val="7C63442B"/>
    <w:rsid w:val="7D3AA22F"/>
    <w:rsid w:val="7D9F2F3F"/>
    <w:rsid w:val="7DE35ECA"/>
    <w:rsid w:val="7E1A0C5A"/>
    <w:rsid w:val="7E3212D3"/>
    <w:rsid w:val="7E7F7BE9"/>
    <w:rsid w:val="7F2D3189"/>
    <w:rsid w:val="7F5F887D"/>
    <w:rsid w:val="7F9FC635"/>
    <w:rsid w:val="7FCC7D05"/>
    <w:rsid w:val="7FEF42B8"/>
    <w:rsid w:val="7FEFE414"/>
    <w:rsid w:val="9FD01BC3"/>
    <w:rsid w:val="9FDF7357"/>
    <w:rsid w:val="B3FE25BF"/>
    <w:rsid w:val="BE6E0F8F"/>
    <w:rsid w:val="C679D4D5"/>
    <w:rsid w:val="C7EFAC2C"/>
    <w:rsid w:val="CFBD1285"/>
    <w:rsid w:val="D3FFF2E3"/>
    <w:rsid w:val="D4B948F0"/>
    <w:rsid w:val="D7BE90C3"/>
    <w:rsid w:val="DFFBF81E"/>
    <w:rsid w:val="E2F2C526"/>
    <w:rsid w:val="E7F7B356"/>
    <w:rsid w:val="F3F331A4"/>
    <w:rsid w:val="F3FF81F7"/>
    <w:rsid w:val="F6D74091"/>
    <w:rsid w:val="F7FE62B6"/>
    <w:rsid w:val="FA543BA3"/>
    <w:rsid w:val="FD7F9463"/>
    <w:rsid w:val="FEAED78B"/>
    <w:rsid w:val="FF5D960F"/>
    <w:rsid w:val="FFFFE025"/>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semiHidden/>
    <w:qFormat/>
    <w:uiPriority w:val="0"/>
  </w:style>
  <w:style w:type="table" w:default="1" w:styleId="8">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annotation text"/>
    <w:basedOn w:val="1"/>
    <w:link w:val="18"/>
    <w:uiPriority w:val="0"/>
    <w:pPr>
      <w:jc w:val="left"/>
    </w:pPr>
  </w:style>
  <w:style w:type="paragraph" w:styleId="3">
    <w:name w:val="Balloon Text"/>
    <w:basedOn w:val="1"/>
    <w:link w:val="2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styleId="7">
    <w:name w:val="annotation subject"/>
    <w:basedOn w:val="2"/>
    <w:next w:val="2"/>
    <w:link w:val="19"/>
    <w:uiPriority w:val="0"/>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Hyperlink"/>
    <w:qFormat/>
    <w:uiPriority w:val="0"/>
    <w:rPr>
      <w:color w:val="0000FF"/>
      <w:u w:val="single"/>
    </w:rPr>
  </w:style>
  <w:style w:type="character" w:styleId="12">
    <w:name w:val="annotation reference"/>
    <w:uiPriority w:val="0"/>
    <w:rPr>
      <w:sz w:val="21"/>
      <w:szCs w:val="21"/>
    </w:rPr>
  </w:style>
  <w:style w:type="character" w:customStyle="1" w:styleId="13">
    <w:name w:val="批注文字 字符"/>
    <w:link w:val="2"/>
    <w:uiPriority w:val="0"/>
    <w:rPr>
      <w:rFonts w:ascii="Calibri" w:hAnsi="Calibri" w:cs="黑体"/>
      <w:kern w:val="2"/>
      <w:sz w:val="21"/>
      <w:szCs w:val="24"/>
    </w:rPr>
  </w:style>
  <w:style w:type="character" w:customStyle="1" w:styleId="14">
    <w:name w:val="批注框文本 字符"/>
    <w:link w:val="3"/>
    <w:uiPriority w:val="0"/>
    <w:rPr>
      <w:rFonts w:ascii="Calibri" w:hAnsi="Calibri" w:cs="黑体"/>
      <w:kern w:val="2"/>
      <w:sz w:val="18"/>
      <w:szCs w:val="18"/>
    </w:rPr>
  </w:style>
  <w:style w:type="character" w:customStyle="1" w:styleId="15">
    <w:name w:val="批注主题 字符"/>
    <w:link w:val="7"/>
    <w:qFormat/>
    <w:uiPriority w:val="0"/>
    <w:rPr>
      <w:rFonts w:ascii="Calibri" w:hAnsi="Calibri" w:cs="黑体"/>
      <w:b/>
      <w:bCs/>
      <w:kern w:val="2"/>
      <w:sz w:val="21"/>
      <w:szCs w:val="24"/>
    </w:rPr>
  </w:style>
  <w:style w:type="paragraph" w:customStyle="1" w:styleId="16">
    <w:name w:val="List Paragraph"/>
    <w:basedOn w:val="1"/>
    <w:unhideWhenUsed/>
    <w:qFormat/>
    <w:uiPriority w:val="99"/>
    <w:pPr>
      <w:ind w:firstLine="420" w:firstLineChars="200"/>
    </w:p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8">
    <w:name w:val="批注文字 Char"/>
    <w:link w:val="2"/>
    <w:uiPriority w:val="0"/>
    <w:rPr>
      <w:rFonts w:ascii="Calibri" w:hAnsi="Calibri" w:cs="黑体"/>
      <w:kern w:val="2"/>
      <w:sz w:val="21"/>
      <w:szCs w:val="24"/>
    </w:rPr>
  </w:style>
  <w:style w:type="character" w:customStyle="1" w:styleId="19">
    <w:name w:val="批注主题 Char"/>
    <w:link w:val="7"/>
    <w:uiPriority w:val="0"/>
    <w:rPr>
      <w:rFonts w:ascii="Calibri" w:hAnsi="Calibri" w:cs="黑体"/>
      <w:b/>
      <w:bCs/>
      <w:kern w:val="2"/>
      <w:sz w:val="21"/>
      <w:szCs w:val="24"/>
    </w:rPr>
  </w:style>
  <w:style w:type="character" w:customStyle="1" w:styleId="20">
    <w:name w:val="批注框文本 Char"/>
    <w:link w:val="3"/>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33877</Words>
  <Characters>34745</Characters>
  <Lines>1</Lines>
  <Paragraphs>1</Paragraphs>
  <TotalTime>0</TotalTime>
  <ScaleCrop>false</ScaleCrop>
  <LinksUpToDate>false</LinksUpToDate>
  <CharactersWithSpaces>35110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2014-11-04T12:08:00Z</dcterms:created>
  <dc:creator>Administrator</dc:creator>
  <cp:lastModifiedBy>hccb</cp:lastModifiedBy>
  <dcterms:modified xsi:type="dcterms:W3CDTF">2026-01-28T07:32:48Z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85596E11D840F614BAB27969F132B104_43</vt:lpwstr>
  </property>
</Properties>
</file>