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8c69b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8c69b0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45a83f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45a83f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2babb6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ZZ700322500643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Z7003225000407(投资者可依据该编码在中国理财网www.chinawealth.com.cn查询理财产品相关信息）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A份额：Y80114</w:t>
            </w:r>
          </w:p>
          <w:p>
            <w:pPr>
              <w:pStyle w:val="null10"/>
              <w:spacing w:lineRule="exact" w:line="200"/>
            </w:pPr>
            <w:r>
              <w:rPr>
                <w:rFonts w:ascii="方正黑体_GBK" w:hAnsi="方正黑体_GBK" w:cs="宋体" w:eastAsia="方正黑体_GBK"/>
                <w:sz w:val="18"/>
                <w:szCs w:val="18"/>
              </w:rPr>
              <w:t>B份额：Y81114</w:t>
            </w:r>
          </w:p>
          <w:p>
            <w:pPr>
              <w:pStyle w:val="null10"/>
              <w:spacing w:lineRule="exact" w:line="200"/>
            </w:pPr>
            <w:r>
              <w:rPr>
                <w:rFonts w:ascii="方正黑体_GBK" w:hAnsi="方正黑体_GBK" w:cs="宋体" w:eastAsia="方正黑体_GBK"/>
                <w:sz w:val="18"/>
                <w:szCs w:val="18"/>
              </w:rPr>
              <w:t>C份额：Y82114</w:t>
            </w:r>
          </w:p>
          <w:p>
            <w:pPr>
              <w:pStyle w:val="null10"/>
              <w:spacing w:lineRule="exact" w:line="200"/>
            </w:pPr>
            <w:r>
              <w:rPr>
                <w:rFonts w:ascii="方正黑体_GBK" w:hAnsi="方正黑体_GBK" w:cs="宋体" w:eastAsia="方正黑体_GBK"/>
                <w:sz w:val="18"/>
                <w:szCs w:val="18"/>
              </w:rPr>
              <w:t>D份额：Y83114</w:t>
            </w:r>
          </w:p>
          <w:p>
            <w:pPr>
              <w:pStyle w:val="null10"/>
              <w:spacing w:lineRule="exact" w:line="200"/>
            </w:pPr>
            <w:r>
              <w:rPr>
                <w:rFonts w:ascii="方正黑体_GBK" w:hAnsi="方正黑体_GBK" w:cs="宋体" w:eastAsia="方正黑体_GBK"/>
                <w:sz w:val="18"/>
                <w:szCs w:val="18"/>
              </w:rPr>
              <w:t>E份额：Y84114</w:t>
            </w:r>
          </w:p>
          <w:p>
            <w:pPr>
              <w:pStyle w:val="null10"/>
              <w:spacing w:lineRule="exact" w:line="200"/>
            </w:pPr>
            <w:r>
              <w:rPr>
                <w:rFonts w:ascii="方正黑体_GBK" w:hAnsi="方正黑体_GBK" w:cs="宋体" w:eastAsia="方正黑体_GBK"/>
                <w:sz w:val="18"/>
                <w:szCs w:val="18"/>
              </w:rPr>
              <w:t>H份额：Y87114</w:t>
            </w:r>
          </w:p>
          <w:p>
            <w:pPr>
              <w:pStyle w:val="null10"/>
              <w:spacing w:lineRule="exact" w:line="200"/>
            </w:pPr>
            <w:r>
              <w:rPr>
                <w:rFonts w:ascii="方正黑体_GBK" w:hAnsi="方正黑体_GBK" w:cs="宋体" w:eastAsia="方正黑体_GBK"/>
                <w:sz w:val="18"/>
                <w:szCs w:val="18"/>
              </w:rPr>
              <w:t>J份额：Y89114</w:t>
            </w:r>
          </w:p>
          <w:p>
            <w:pPr>
              <w:pStyle w:val="null10"/>
              <w:spacing w:lineRule="exact" w:line="200"/>
            </w:pPr>
            <w:r>
              <w:rPr>
                <w:rFonts w:ascii="方正黑体_GBK" w:hAnsi="方正黑体_GBK" w:cs="宋体" w:eastAsia="方正黑体_GBK"/>
                <w:sz w:val="18"/>
                <w:szCs w:val="18"/>
              </w:rPr>
              <w:t>K份额：YA80114</w:t>
            </w:r>
          </w:p>
          <w:p>
            <w:pPr>
              <w:pStyle w:val="null10"/>
              <w:spacing w:lineRule="exact" w:line="200"/>
            </w:pPr>
            <w:r>
              <w:rPr>
                <w:rFonts w:ascii="方正黑体_GBK" w:hAnsi="方正黑体_GBK" w:cs="宋体" w:eastAsia="方正黑体_GBK"/>
                <w:sz w:val="18"/>
                <w:szCs w:val="18"/>
              </w:rPr>
              <w:t>L份额：YB80114</w:t>
            </w:r>
          </w:p>
          <w:p>
            <w:pPr>
              <w:pStyle w:val="null10"/>
              <w:spacing w:lineRule="exact" w:line="200"/>
            </w:pPr>
            <w:r>
              <w:rPr>
                <w:rFonts w:ascii="方正黑体_GBK" w:hAnsi="方正黑体_GBK" w:cs="宋体" w:eastAsia="方正黑体_GBK"/>
                <w:sz w:val="18"/>
                <w:szCs w:val="18"/>
              </w:rPr>
              <w:t>P份额：YF80114</w:t>
            </w:r>
          </w:p>
          <w:p>
            <w:pPr>
              <w:pStyle w:val="null10"/>
              <w:spacing w:lineRule="exact" w:line="200"/>
            </w:pPr>
            <w:r>
              <w:rPr>
                <w:rFonts w:ascii="方正黑体_GBK" w:hAnsi="方正黑体_GBK" w:cs="宋体" w:eastAsia="方正黑体_GBK"/>
                <w:sz w:val="18"/>
                <w:szCs w:val="18"/>
              </w:rPr>
              <w:t>Q份额：YG80114</w:t>
            </w:r>
          </w:p>
          <w:p>
            <w:pPr>
              <w:pStyle w:val="null10"/>
              <w:spacing w:lineRule="exact" w:line="200"/>
            </w:pPr>
            <w:r>
              <w:rPr>
                <w:rFonts w:ascii="方正黑体_GBK" w:hAnsi="方正黑体_GBK" w:cs="宋体" w:eastAsia="方正黑体_GBK"/>
                <w:sz w:val="18"/>
                <w:szCs w:val="18"/>
              </w:rPr>
              <w:t>R份额：YH80114</w:t>
            </w:r>
          </w:p>
          <w:p>
            <w:pPr>
              <w:pStyle w:val="null10"/>
              <w:spacing w:lineRule="exact" w:line="200"/>
            </w:pPr>
            <w:r>
              <w:rPr>
                <w:rFonts w:ascii="方正黑体_GBK" w:hAnsi="方正黑体_GBK" w:cs="宋体" w:eastAsia="方正黑体_GBK"/>
                <w:sz w:val="18"/>
                <w:szCs w:val="18"/>
              </w:rPr>
              <w:t>Q1份额：YI80114</w:t>
            </w:r>
          </w:p>
          <w:p>
            <w:pPr>
              <w:pStyle w:val="null10"/>
              <w:spacing w:lineRule="exact" w:line="200"/>
            </w:pPr>
            <w:r>
              <w:rPr>
                <w:rFonts w:ascii="方正黑体_GBK" w:hAnsi="方正黑体_GBK" w:cs="宋体" w:eastAsia="方正黑体_GBK"/>
                <w:sz w:val="18"/>
                <w:szCs w:val="18"/>
              </w:rPr>
              <w:t>R1份额：YJ80114</w:t>
            </w:r>
          </w:p>
          <w:p>
            <w:pPr>
              <w:pStyle w:val="null10"/>
              <w:spacing w:lineRule="exact" w:line="200"/>
            </w:pPr>
            <w:r>
              <w:rPr>
                <w:rFonts w:ascii="方正黑体_GBK" w:hAnsi="方正黑体_GBK" w:cs="宋体" w:eastAsia="方正黑体_GBK"/>
                <w:sz w:val="18"/>
                <w:szCs w:val="18"/>
              </w:rPr>
              <w:t>Q2份额：YK80114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A份额：除B、C、D、E、H、J、K、L、P、Q、R、Q1、R1、Q2份额以外的所有客户（详见“销售机构”条款）。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教师节特供)、台州银行股份有限公司(特邀客群)、天津农村商业银行股份有限公司(专项客群)、云南红塔银行股份有限公司、桂林银行股份有限公司(特供客户)、宁波通商银行股份有限公司(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P份额：湖北银行股份有限公司金融资产50万（含）-100万元以上客群，1万元起购。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szCs w:val="18"/>
              </w:rPr>
              <w:t>Q1份额：湖北银行股份有限金融资产100万元（含）以上客群，1万元起购。</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szCs w:val="18"/>
              </w:rPr>
              <w:t>Q2份额：兰州银行股份有限公司（20万元起售客户）。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P份额/Q1份额：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p>
            <w:pPr>
              <w:pStyle w:val="null10"/>
              <w:spacing w:lineRule="exact" w:line="200"/>
            </w:pPr>
            <w:r>
              <w:rPr>
                <w:rFonts w:ascii="方正黑体_GBK" w:hAnsi="方正黑体_GBK" w:cs="宋体" w:eastAsia="方正黑体_GBK"/>
                <w:sz w:val="18"/>
                <w:szCs w:val="18"/>
              </w:rPr>
              <w:t>Q份额：</w:t>
            </w:r>
          </w:p>
          <w:p>
            <w:pPr>
              <w:pStyle w:val="null10"/>
              <w:spacing w:lineRule="exact" w:line="200"/>
            </w:pPr>
            <w:r>
              <w:rPr>
                <w:rFonts w:ascii="方正黑体_GBK" w:hAnsi="方正黑体_GBK" w:cs="宋体" w:eastAsia="方正黑体_GBK"/>
                <w:sz w:val="18"/>
                <w:szCs w:val="18"/>
              </w:rPr>
              <w:t>个人投资者投资起点金额50万元人民币，以1元的整数倍递增；</w:t>
            </w:r>
          </w:p>
          <w:p>
            <w:pPr>
              <w:pStyle w:val="null10"/>
              <w:spacing w:lineRule="exact" w:line="200"/>
            </w:pPr>
            <w:r>
              <w:rPr>
                <w:rFonts w:ascii="方正黑体_GBK" w:hAnsi="方正黑体_GBK" w:cs="宋体" w:eastAsia="方正黑体_GBK"/>
                <w:sz w:val="18"/>
                <w:szCs w:val="18"/>
              </w:rPr>
              <w:t>机构投资者投资起点金额50万元人民币，以1元的整数倍递增；</w:t>
            </w:r>
          </w:p>
          <w:p>
            <w:pPr>
              <w:pStyle w:val="null10"/>
              <w:spacing w:lineRule="exact" w:line="200"/>
            </w:pPr>
            <w:r>
              <w:rPr>
                <w:rFonts w:ascii="方正黑体_GBK" w:hAnsi="方正黑体_GBK" w:cs="宋体" w:eastAsia="方正黑体_GBK"/>
                <w:sz w:val="18"/>
                <w:szCs w:val="18"/>
              </w:rPr>
              <w:t>R份额：</w:t>
            </w:r>
          </w:p>
          <w:p>
            <w:pPr>
              <w:pStyle w:val="null10"/>
              <w:spacing w:lineRule="exact" w:line="200"/>
            </w:pPr>
            <w:r>
              <w:rPr>
                <w:rFonts w:ascii="方正黑体_GBK" w:hAnsi="方正黑体_GBK" w:cs="宋体" w:eastAsia="方正黑体_GBK"/>
                <w:sz w:val="18"/>
                <w:szCs w:val="18"/>
              </w:rPr>
              <w:t>个人投资者投资起点金额100万元人民币，以1元的整数倍递增；</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Q2份额：</w:t>
            </w:r>
          </w:p>
          <w:p>
            <w:pPr>
              <w:pStyle w:val="null10"/>
              <w:spacing w:lineRule="exact" w:line="200"/>
            </w:pPr>
            <w:r>
              <w:rPr>
                <w:rFonts w:ascii="方正黑体_GBK" w:hAnsi="方正黑体_GBK" w:cs="宋体" w:eastAsia="方正黑体_GBK"/>
                <w:sz w:val="18"/>
                <w:szCs w:val="18"/>
              </w:rPr>
              <w:t>个人投资者投资起点金额20万元人民币，以1元的整数倍递增；</w:t>
            </w:r>
          </w:p>
          <w:p>
            <w:pPr>
              <w:pStyle w:val="null10"/>
              <w:spacing w:lineRule="exact" w:line="200"/>
            </w:pPr>
            <w:r>
              <w:rPr>
                <w:rFonts w:ascii="方正黑体_GBK" w:hAnsi="方正黑体_GBK" w:cs="宋体" w:eastAsia="方正黑体_GBK"/>
                <w:sz w:val="18"/>
                <w:szCs w:val="18"/>
              </w:rPr>
              <w:t>机构投资者投资起点金额20万元人民币，以1元的整数倍递增；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A份额/B份额/C份额/D份额/E份额/H份额/J份额/K份额/L份额/P份额/Q份额/R份额/Q1份额/R1份额/Q2份额：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2025年12月17日 09:00—2025年12月23日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2026年04月02日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D份额：业绩比较基准为1.75%(年化)。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H份额：业绩比较基准为1.6%(年化)。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P份额：业绩比较基准为1.55%(年化)。</w:t>
            </w:r>
          </w:p>
          <w:p>
            <w:pPr>
              <w:pStyle w:val="null10"/>
              <w:spacing w:lineRule="exact" w:line="200"/>
            </w:pPr>
            <w:r>
              <w:rPr>
                <w:rFonts w:ascii="方正黑体_GBK" w:hAnsi="方正黑体_GBK" w:cs="宋体" w:eastAsia="方正黑体_GBK"/>
                <w:sz w:val="18"/>
                <w:szCs w:val="18"/>
              </w:rPr>
              <w:t>Q份额：业绩比较基准为1.55%(年化)。</w:t>
            </w:r>
          </w:p>
          <w:p>
            <w:pPr>
              <w:pStyle w:val="null10"/>
              <w:spacing w:lineRule="exact" w:line="200"/>
            </w:pPr>
            <w:r>
              <w:rPr>
                <w:rFonts w:ascii="方正黑体_GBK" w:hAnsi="方正黑体_GBK" w:cs="宋体" w:eastAsia="方正黑体_GBK"/>
                <w:sz w:val="18"/>
                <w:szCs w:val="18"/>
              </w:rPr>
              <w:t>R份额：业绩比较基准为1.6%(年化)。</w:t>
            </w:r>
          </w:p>
          <w:p>
            <w:pPr>
              <w:pStyle w:val="null10"/>
              <w:spacing w:lineRule="exact" w:line="200"/>
            </w:pPr>
            <w:r>
              <w:rPr>
                <w:rFonts w:ascii="方正黑体_GBK" w:hAnsi="方正黑体_GBK" w:cs="宋体" w:eastAsia="方正黑体_GBK"/>
                <w:sz w:val="18"/>
                <w:szCs w:val="18"/>
              </w:rPr>
              <w:t>Q1份额：业绩比较基准为1.6%(年化)。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Q2份额：业绩比较基准为1.65%(年化)。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Q1份额：销售费年化0.15%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Q2份额：固定管理费年化0.1%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长安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45a83f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f1ab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f1ab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f1ab6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f1ab67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f1ab6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f1ab6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f1ab6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f1ab67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南银理财珠联璧合鑫逸稳三个月114期封闭式公募人民币理财产品</w:t>
      </w:r>
      <w:r>
        <w:rPr>
          <w:rFonts w:ascii="方正黑体_GBK" w:eastAsia="方正黑体_GBK" w:hint="eastAsia" w:hAnsi="方正黑体_GBK"/>
          <w:vanish w:val="0"/>
          <w:color w:val="3D3D3D"/>
          <w:kern w:val="0"/>
          <w:sz w:val="15"/>
          <w:szCs w:val="15"/>
        </w:rPr>
        <w:t>。</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f1ab67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f1ab6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f1ab6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f1ab67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5010a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5010a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5010a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5010a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5010a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5010a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f1ab67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f1ab67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f1ab67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5010a8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45a83f3"/>
        <w:keepNext w:val="0"/>
        <w:keepLines w:val="0"/>
        <w:pageBreakBefore w:val="0"/>
        <w:widowControl/>
        <w:suppressLineNumbers w:val="0"/>
        <w:suppressAutoHyphens w:val="0"/>
        <w:spacing w:line="200" w:lineRule="exact"/>
        <w:ind w:firstLineChars="200" w:firstLine="300"/>
        <w:rPr>
          <w:rStyle w:val="75010a8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45a83f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45a83f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45a83f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45a83f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45a83f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45a83f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45a83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45a83f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8c69b06">
    <w:name w:val="Normalc8c69b0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cdf04c3">
    <w:name w:val="heading 17cdf04c3"/>
    <w:basedOn w:val="c8c69b0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327e49c">
    <w:name w:val="heading 29327e49c"/>
    <w:basedOn w:val="c8c69b0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a8d9f8a">
    <w:name w:val="heading 3da8d9f8a"/>
    <w:basedOn w:val="c8c69b0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2dce2c4">
    <w:name w:val="Default Paragraph Fontf2dce2c4"/>
  </w:style>
  <w:style xmlns:r="http://schemas.openxmlformats.org/officeDocument/2006/relationships" w:type="paragraph" w:styleId="54eae73a">
    <w:name w:val="toc 154eae73a"/>
    <w:basedOn w:val="c8c69b06"/>
    <w:autoRedefine/>
    <w:next w:val="0"/>
  </w:style>
  <w:style xmlns:r="http://schemas.openxmlformats.org/officeDocument/2006/relationships" w:type="paragraph" w:styleId="aeb1e8e9">
    <w:name w:val="toc 2aeb1e8e9"/>
    <w:basedOn w:val="c8c69b06"/>
    <w:autoRedefine/>
    <w:next w:val="0"/>
    <w:pPr>
      <w:ind w:left="420"/>
    </w:pPr>
  </w:style>
  <w:style xmlns:r="http://schemas.openxmlformats.org/officeDocument/2006/relationships" w:type="paragraph" w:styleId="8e6df323">
    <w:name w:val="toc 38e6df323"/>
    <w:basedOn w:val="c8c69b06"/>
    <w:autoRedefine/>
    <w:next w:val="0"/>
    <w:pPr>
      <w:ind w:left="840"/>
    </w:pPr>
  </w:style>
  <w:style xmlns:r="http://schemas.openxmlformats.org/officeDocument/2006/relationships" w:type="paragraph" w:styleId="ee169de1">
    <w:name w:val="toc 4ee169de1"/>
    <w:basedOn w:val="c8c69b06"/>
    <w:autoRedefine/>
    <w:next w:val="0"/>
    <w:pPr>
      <w:ind w:left="1260"/>
    </w:pPr>
  </w:style>
  <w:style xmlns:r="http://schemas.openxmlformats.org/officeDocument/2006/relationships" w:type="paragraph" w:styleId="8afa8446">
    <w:name w:val="toc 58afa8446"/>
    <w:basedOn w:val="c8c69b06"/>
    <w:autoRedefine/>
    <w:next w:val="0"/>
    <w:pPr>
      <w:ind w:left="1680"/>
    </w:pPr>
  </w:style>
  <w:style xmlns:r="http://schemas.openxmlformats.org/officeDocument/2006/relationships" w:type="paragraph" w:styleId="a7c9f27a">
    <w:name w:val="headera7c9f27a"/>
    <w:basedOn w:val="c8c69b0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27934dd">
    <w:name w:val="footer827934dd"/>
    <w:basedOn w:val="c8c69b06"/>
    <w:pPr>
      <w:tabs>
        <w:tab w:val="center" w:pos="4153"/>
        <w:tab w:val="right" w:pos="8307"/>
      </w:tabs>
      <w:adjustRightInd/>
      <w:snapToGrid w:val="0"/>
      <w:contextualSpacing w:val="0"/>
      <w:jc w:val="left"/>
    </w:pPr>
    <w:rPr>
      <w:sz w:val="18"/>
    </w:rPr>
  </w:style>
  <w:style xmlns:r="http://schemas.openxmlformats.org/officeDocument/2006/relationships" w:type="character" w:styleId="35924d46">
    <w:name w:val="Strong35924d4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45a83f3">
    <w:name w:val="Normalf45a83f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f7bbe07">
    <w:name w:val="heading 11f7bbe07"/>
    <w:basedOn w:val="f45a83f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febbae0">
    <w:name w:val="heading 29febbae0"/>
    <w:basedOn w:val="f45a83f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f18a462">
    <w:name w:val="heading 36f18a462"/>
    <w:basedOn w:val="f45a83f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4e7a546">
    <w:name w:val="Default Paragraph Font04e7a546"/>
  </w:style>
  <w:style xmlns:r="http://schemas.openxmlformats.org/officeDocument/2006/relationships" w:type="paragraph" w:styleId="9260ad45">
    <w:name w:val="Normal Indent9260ad45"/>
    <w:basedOn w:val="f45a83f3"/>
    <w:pPr>
      <w:ind w:firstLineChars="200" w:firstLine="200"/>
    </w:pPr>
  </w:style>
  <w:style xmlns:r="http://schemas.openxmlformats.org/officeDocument/2006/relationships" w:type="paragraph" w:styleId="0f586c2d">
    <w:name w:val="toc 50f586c2d"/>
    <w:basedOn w:val="f45a83f3"/>
    <w:next w:val="0"/>
    <w:pPr>
      <w:ind w:left="1680"/>
    </w:pPr>
  </w:style>
  <w:style xmlns:r="http://schemas.openxmlformats.org/officeDocument/2006/relationships" w:type="paragraph" w:styleId="f7bfb76e">
    <w:name w:val="toc 3f7bfb76e"/>
    <w:basedOn w:val="f45a83f3"/>
    <w:next w:val="0"/>
    <w:pPr>
      <w:ind w:left="840"/>
    </w:pPr>
  </w:style>
  <w:style xmlns:r="http://schemas.openxmlformats.org/officeDocument/2006/relationships" w:type="paragraph" w:styleId="472b4999">
    <w:name w:val="footer472b4999"/>
    <w:basedOn w:val="f45a83f3"/>
    <w:pPr>
      <w:tabs>
        <w:tab w:val="center" w:pos="4153"/>
        <w:tab w:val="right" w:pos="8307"/>
      </w:tabs>
      <w:adjustRightInd/>
      <w:snapToGrid w:val="0"/>
      <w:contextualSpacing w:val="0"/>
      <w:jc w:val="left"/>
    </w:pPr>
    <w:rPr>
      <w:sz w:val="18"/>
    </w:rPr>
  </w:style>
  <w:style xmlns:r="http://schemas.openxmlformats.org/officeDocument/2006/relationships" w:type="paragraph" w:styleId="8d9c87cc">
    <w:name w:val="header8d9c87cc"/>
    <w:basedOn w:val="f45a83f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1c45319">
    <w:name w:val="toc 191c45319"/>
    <w:basedOn w:val="f45a83f3"/>
    <w:next w:val="0"/>
  </w:style>
  <w:style xmlns:r="http://schemas.openxmlformats.org/officeDocument/2006/relationships" w:type="paragraph" w:styleId="ebcfc358">
    <w:name w:val="toc 4ebcfc358"/>
    <w:basedOn w:val="f45a83f3"/>
    <w:next w:val="0"/>
    <w:pPr>
      <w:ind w:left="1260"/>
    </w:pPr>
  </w:style>
  <w:style xmlns:r="http://schemas.openxmlformats.org/officeDocument/2006/relationships" w:type="paragraph" w:styleId="0d113be0">
    <w:name w:val="toc 20d113be0"/>
    <w:basedOn w:val="f45a83f3"/>
    <w:next w:val="0"/>
    <w:pPr>
      <w:ind w:left="420"/>
    </w:pPr>
  </w:style>
  <w:style xmlns:r="http://schemas.openxmlformats.org/officeDocument/2006/relationships" w:type="paragraph" w:styleId="f2babb6b">
    <w:name w:val="Normal (Web)f2babb6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f1ab67e">
    <w:name w:val="Normal3f1ab67e3f1ab67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2940d44">
    <w:name w:val="heading 122940d4422940d44"/>
    <w:basedOn w:val="3f1ab67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bb7a9d">
    <w:name w:val="heading 2debb7a9ddebb7a9d"/>
    <w:basedOn w:val="3f1ab67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020cdb9">
    <w:name w:val="heading 39020cdb99020cdb9"/>
    <w:basedOn w:val="3f1ab67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1b449f3">
    <w:name w:val="Default Paragraph Fontf1b449f3f1b449f3"/>
  </w:style>
  <w:style xmlns:r="http://schemas.openxmlformats.org/officeDocument/2006/relationships" w:type="paragraph" w:customStyle="1" w:styleId="2146b6b0">
    <w:name w:val="引文目录12146b6b02146b6b0"/>
    <w:basedOn w:val="3f1ab67e"/>
    <w:next w:val="0"/>
    <w:pPr>
      <w:ind w:leftChars="200" w:left="200"/>
    </w:pPr>
  </w:style>
  <w:style xmlns:r="http://schemas.openxmlformats.org/officeDocument/2006/relationships" w:type="paragraph" w:styleId="f1a478de">
    <w:name w:val="toc 5f1a478def1a478de"/>
    <w:basedOn w:val="3f1ab67e"/>
    <w:next w:val="0"/>
    <w:pPr>
      <w:ind w:left="1680"/>
    </w:pPr>
  </w:style>
  <w:style xmlns:r="http://schemas.openxmlformats.org/officeDocument/2006/relationships" w:type="paragraph" w:styleId="0e94a50c">
    <w:name w:val="toc 30e94a50c0e94a50c"/>
    <w:basedOn w:val="3f1ab67e"/>
    <w:next w:val="0"/>
    <w:pPr>
      <w:ind w:left="840"/>
    </w:pPr>
  </w:style>
  <w:style xmlns:r="http://schemas.openxmlformats.org/officeDocument/2006/relationships" w:type="paragraph" w:styleId="1521853c">
    <w:name w:val="footer1521853c1521853c"/>
    <w:basedOn w:val="3f1ab67e"/>
    <w:pPr>
      <w:tabs>
        <w:tab w:val="center" w:pos="4153"/>
        <w:tab w:val="right" w:pos="8307"/>
      </w:tabs>
      <w:adjustRightInd/>
      <w:snapToGrid w:val="0"/>
      <w:contextualSpacing w:val="0"/>
      <w:jc w:val="left"/>
    </w:pPr>
    <w:rPr>
      <w:sz w:val="18"/>
    </w:rPr>
  </w:style>
  <w:style xmlns:r="http://schemas.openxmlformats.org/officeDocument/2006/relationships" w:type="paragraph" w:styleId="edec495d">
    <w:name w:val="headeredec495dedec495d"/>
    <w:basedOn w:val="3f1ab67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39115e0">
    <w:name w:val="toc 1439115e0439115e0"/>
    <w:basedOn w:val="3f1ab67e"/>
    <w:next w:val="0"/>
  </w:style>
  <w:style xmlns:r="http://schemas.openxmlformats.org/officeDocument/2006/relationships" w:type="paragraph" w:styleId="ed8da1a1">
    <w:name w:val="toc 4ed8da1a1ed8da1a1"/>
    <w:basedOn w:val="3f1ab67e"/>
    <w:next w:val="0"/>
    <w:pPr>
      <w:ind w:left="1260"/>
    </w:pPr>
  </w:style>
  <w:style xmlns:r="http://schemas.openxmlformats.org/officeDocument/2006/relationships" w:type="paragraph" w:styleId="a1690f26">
    <w:name w:val="toc 2a1690f26a1690f26"/>
    <w:basedOn w:val="3f1ab67e"/>
    <w:next w:val="0"/>
    <w:pPr>
      <w:ind w:left="420"/>
    </w:pPr>
  </w:style>
  <w:style xmlns:r="http://schemas.openxmlformats.org/officeDocument/2006/relationships" w:type="paragraph" w:customStyle="1" w:styleId="75010a89">
    <w:name w:val="列出段落175010a8975010a8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