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定期开放式、固定收益类、公募、净值型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bookmarkStart w:id="0" w:name="_GoBack"/>
      <w:bookmarkEnd w:id="0"/>
    </w:p>
    <w:p>
      <w:pPr>
        <w:pStyle w:val="32a26e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32a26e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类型：定期开放式、固定收益类、公募、净值型。</w:t>
      </w:r>
    </w:p>
    <w:p>
      <w:pPr>
        <w:pStyle w:val="32a26e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10年</w:t>
      </w:r>
      <w:r>
        <w:rPr>
          <w:rFonts w:ascii="方正黑体_GBK" w:eastAsia="方正黑体_GBK" w:cs="Times New Roman" w:hint="eastAsia" w:hAnsi="方正黑体_GBK"/>
          <w:b/>
          <w:bCs w:val="0"/>
          <w:vanish w:val="0"/>
          <w:color w:val="3D3D3D"/>
          <w:kern w:val="0"/>
          <w:sz w:val="13"/>
          <w:szCs w:val="13"/>
        </w:rPr>
        <w:t>（若本理财产品被提前终止或延期终止，以实际到期日计算持有天数）</w:t>
      </w:r>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32a26e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bookmarkStart w:id="0" w:name="_GoBack"/>
      <w:bookmarkEnd w:id="0"/>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32a26e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32a26e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32a26e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32a26e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32a26e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32a26e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32a26e8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w:t>
      </w:r>
      <w:bookmarkStart w:id="0" w:name="_GoBack"/>
      <w:bookmarkEnd w:id="0"/>
      <w:r>
        <w:rPr>
          <w:rFonts w:ascii="方正黑体_GBK" w:eastAsia="方正黑体_GBK" w:hint="eastAsia" w:hAnsi="方正黑体_GBK"/>
          <w:vanish w:val="0"/>
          <w:color w:val="3D3D3D"/>
          <w:kern w:val="0"/>
          <w:sz w:val="15"/>
          <w:szCs w:val="15"/>
        </w:rPr>
        <w:t>.以下划线部分，请投资者抄录确认：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33f7cf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33f7cf9"/>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c9c4e2cf"/>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南银理财鼎瑞安稳一年定开2025第31期公募人民币理财产品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定期开放式、固定收益类、公募、净值型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ZZ700322500468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Z7003225000363(投资者可依据该编码在中国理财网www.chinawealth.com.cn查询理财产品相关信息）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A份额：Z30041</w:t>
            </w:r>
          </w:p>
          <w:p>
            <w:pPr>
              <w:pStyle w:val="null10"/>
              <w:spacing w:lineRule="exact" w:line="200"/>
            </w:pPr>
            <w:r>
              <w:rPr>
                <w:rFonts w:ascii="方正黑体_GBK" w:hAnsi="方正黑体_GBK" w:cs="宋体" w:eastAsia="方正黑体_GBK"/>
                <w:sz w:val="18"/>
                <w:szCs w:val="18"/>
              </w:rPr>
              <w:t>B份额：ZB30041</w:t>
            </w:r>
          </w:p>
          <w:p>
            <w:pPr>
              <w:pStyle w:val="null10"/>
              <w:spacing w:lineRule="exact" w:line="200"/>
            </w:pPr>
            <w:r>
              <w:rPr>
                <w:rFonts w:ascii="方正黑体_GBK" w:hAnsi="方正黑体_GBK" w:cs="宋体" w:eastAsia="方正黑体_GBK"/>
                <w:sz w:val="18"/>
                <w:szCs w:val="18"/>
              </w:rPr>
              <w:t>C份额：ZC30041</w:t>
            </w:r>
          </w:p>
          <w:p>
            <w:pPr>
              <w:pStyle w:val="null10"/>
              <w:spacing w:lineRule="exact" w:line="200"/>
            </w:pPr>
            <w:r>
              <w:rPr>
                <w:rFonts w:ascii="方正黑体_GBK" w:hAnsi="方正黑体_GBK" w:cs="宋体" w:eastAsia="方正黑体_GBK"/>
                <w:sz w:val="18"/>
                <w:szCs w:val="18"/>
              </w:rPr>
              <w:t>D份额：ZD30041</w:t>
            </w:r>
          </w:p>
          <w:p>
            <w:pPr>
              <w:pStyle w:val="null10"/>
              <w:spacing w:lineRule="exact" w:line="200"/>
            </w:pPr>
            <w:r>
              <w:rPr>
                <w:rFonts w:ascii="方正黑体_GBK" w:hAnsi="方正黑体_GBK" w:cs="宋体" w:eastAsia="方正黑体_GBK"/>
                <w:sz w:val="18"/>
                <w:szCs w:val="18"/>
              </w:rPr>
              <w:t>E份额：ZE30041</w:t>
            </w:r>
          </w:p>
          <w:p>
            <w:pPr>
              <w:pStyle w:val="null10"/>
              <w:spacing w:lineRule="exact" w:line="200"/>
            </w:pPr>
            <w:r>
              <w:rPr>
                <w:rFonts w:ascii="方正黑体_GBK" w:hAnsi="方正黑体_GBK" w:cs="宋体" w:eastAsia="方正黑体_GBK"/>
                <w:sz w:val="18"/>
                <w:szCs w:val="18"/>
              </w:rPr>
              <w:t>F份额：ZF30041</w:t>
            </w:r>
          </w:p>
          <w:p>
            <w:pPr>
              <w:pStyle w:val="null10"/>
              <w:spacing w:lineRule="exact" w:line="200"/>
            </w:pPr>
            <w:r>
              <w:rPr>
                <w:rFonts w:ascii="方正黑体_GBK" w:hAnsi="方正黑体_GBK" w:cs="宋体" w:eastAsia="方正黑体_GBK"/>
                <w:sz w:val="18"/>
                <w:szCs w:val="18"/>
              </w:rPr>
              <w:t>G份额：ZG30041</w:t>
            </w:r>
          </w:p>
          <w:p>
            <w:pPr>
              <w:pStyle w:val="null10"/>
              <w:spacing w:lineRule="exact" w:line="200"/>
            </w:pPr>
            <w:r>
              <w:rPr>
                <w:rFonts w:ascii="方正黑体_GBK" w:hAnsi="方正黑体_GBK" w:cs="宋体" w:eastAsia="方正黑体_GBK"/>
                <w:sz w:val="18"/>
                <w:szCs w:val="18"/>
              </w:rPr>
              <w:t>M份额：ZM30041</w:t>
            </w:r>
          </w:p>
          <w:p>
            <w:pPr>
              <w:pStyle w:val="null10"/>
              <w:spacing w:lineRule="exact" w:line="200"/>
            </w:pPr>
            <w:r>
              <w:rPr>
                <w:rFonts w:ascii="方正黑体_GBK" w:hAnsi="方正黑体_GBK" w:cs="宋体" w:eastAsia="方正黑体_GBK"/>
                <w:sz w:val="18"/>
                <w:szCs w:val="18"/>
              </w:rPr>
              <w:t>Q份额：ZQ30041</w:t>
            </w:r>
          </w:p>
          <w:p>
            <w:pPr>
              <w:pStyle w:val="null10"/>
              <w:spacing w:lineRule="exact" w:line="200"/>
            </w:pPr>
            <w:r>
              <w:rPr>
                <w:rFonts w:ascii="方正黑体_GBK" w:hAnsi="方正黑体_GBK" w:cs="宋体" w:eastAsia="方正黑体_GBK"/>
                <w:sz w:val="18"/>
                <w:szCs w:val="18"/>
              </w:rPr>
              <w:t>R份额：ZR30041</w:t>
            </w:r>
          </w:p>
          <w:p>
            <w:pPr>
              <w:pStyle w:val="null10"/>
              <w:spacing w:lineRule="exact" w:line="200"/>
            </w:pPr>
            <w:r>
              <w:rPr>
                <w:rFonts w:ascii="方正黑体_GBK" w:hAnsi="方正黑体_GBK" w:cs="宋体" w:eastAsia="方正黑体_GBK"/>
                <w:sz w:val="18"/>
                <w:szCs w:val="18"/>
              </w:rPr>
              <w:t>S份额：ZS30041</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sz w:val="18"/>
                <w:szCs w:val="18"/>
              </w:rPr>
              <w:t>10年</w:t>
            </w:r>
            <w:r>
              <w:rPr>
                <w:rFonts w:ascii="方正黑体_GBK" w:cs="宋体" w:hint="eastAsia" w:hAnsi="方正黑体_GBK" w:eastAsia="方正黑体_GBK"/>
                <w:kern w:val="0"/>
                <w:lang w:val="en-US" w:eastAsia="zh-CN"/>
                <w:sz w:val="18"/>
                <w:szCs w:val="18"/>
              </w:rPr>
              <w:t>（管理人有权提前终止或延期终止）</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本理财产品规模上限为500亿元。理财产品管理人有权对上述规模上限根据实际业务需求进行调整。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A份额：南京银行股份有限公司、九江银行股份有限公司、北京中关村银行股份有限公司、南银理财有限责任公司客户。</w:t>
            </w:r>
          </w:p>
          <w:p>
            <w:pPr>
              <w:pStyle w:val="null10"/>
              <w:spacing w:lineRule="exact" w:line="200"/>
            </w:pPr>
            <w:r>
              <w:rPr>
                <w:rFonts w:ascii="方正黑体_GBK" w:hAnsi="方正黑体_GBK" w:cs="宋体" w:eastAsia="方正黑体_GBK"/>
                <w:sz w:val="18"/>
                <w:szCs w:val="18"/>
              </w:rPr>
              <w:t>B份额：江苏常熟农村商业银行股份有限公司、江苏苏州农村商业银行股份有限公司、潍坊银行股份有限公司、泰安银行股份有限公司、齐鲁银行股份有限公司、贵阳银行股份有限公司、天津农村商业银行股份有限公司（大众客群）、云南红塔银行股份有限公司（代发客户）、廊坊银行股份有限公司、乌鲁木齐银行股份有限公司、桂林银行股份有限公司(常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普通客户）、江苏洪泽农村商业银行股份有限公司、江苏镇江农村商业银行股份有限公司、徐州农村商业银行股份有限公司、江苏丰县农村商业银行股份有限公司、江苏沛县农村商业银行股份有限公司、江苏仪征农村商业银行股份有限公司、江苏沭阳农村商业银行股份有限公司客户、江苏睢宁农村商业银行股份有限公司客户。</w:t>
            </w:r>
          </w:p>
          <w:p>
            <w:pPr>
              <w:pStyle w:val="null10"/>
              <w:spacing w:lineRule="exact" w:line="200"/>
            </w:pPr>
            <w:r>
              <w:rPr>
                <w:rFonts w:ascii="方正黑体_GBK" w:hAnsi="方正黑体_GBK" w:cs="宋体" w:eastAsia="方正黑体_GBK"/>
                <w:sz w:val="18"/>
                <w:szCs w:val="18"/>
              </w:rPr>
              <w:t>C份额：江苏常熟农村商业银行股份有限公司（特定客群）、河北银行股份有限公司（常规客户）、天津农村商业银行股份有限公司（社保专属）、桂林银行股份有限公司、云南红塔银行股份有限公司（财富客户）、江苏扬州农村商业银行股份有限公司。</w:t>
            </w:r>
          </w:p>
          <w:p>
            <w:pPr>
              <w:pStyle w:val="null10"/>
              <w:spacing w:lineRule="exact" w:line="200"/>
            </w:pPr>
            <w:r>
              <w:rPr>
                <w:rFonts w:ascii="方正黑体_GBK" w:hAnsi="方正黑体_GBK" w:cs="宋体" w:eastAsia="方正黑体_GBK"/>
                <w:sz w:val="18"/>
                <w:szCs w:val="18"/>
              </w:rPr>
              <w:t>D份额：河北银行股份有限公司（分行特供）、秦皇岛银行股份有限公司、天津农村商业银行股份有限公司（专属客户）、云南红塔银行股份有限公司（新客户）、桂林银行股份有限公司（高净值客户）、甘肃银行股份有限公司（常规客群）、重庆富民银行股份有限公司、江苏宜兴农村商业银行股份有限公司、江苏镇江农村商业银行股份有限公司（20 万元起购）、江苏紫金农村商业银行股份有限公司、江苏沛县农村商业银行股份有限公司、江苏海安农村商业银行股份有限公司客户。</w:t>
            </w:r>
          </w:p>
          <w:p>
            <w:pPr>
              <w:pStyle w:val="null10"/>
              <w:spacing w:lineRule="exact" w:line="200"/>
            </w:pPr>
            <w:r>
              <w:rPr>
                <w:rFonts w:ascii="方正黑体_GBK" w:hAnsi="方正黑体_GBK" w:cs="宋体" w:eastAsia="方正黑体_GBK"/>
                <w:sz w:val="18"/>
                <w:szCs w:val="18"/>
              </w:rPr>
              <w:t>E份额：天津农村商业银行股份有限公司（特邀客户）、甘肃银行股份有限公司（教师节特供）、桂林银行股份有限公司、江苏镇江农村商业银行股份有限公司（100 万元起购）、江苏射阳农村商业银行股份有限公司、江苏句容农村商业银行股份有限公司、江苏沛县农村商业银行股份有限公司（高端客户专属）、江苏海门农村商业银行股份有限公司客户。</w:t>
            </w:r>
          </w:p>
          <w:p>
            <w:pPr>
              <w:pStyle w:val="null10"/>
              <w:spacing w:lineRule="exact" w:line="200"/>
            </w:pPr>
            <w:r>
              <w:rPr>
                <w:rFonts w:ascii="方正黑体_GBK" w:hAnsi="方正黑体_GBK" w:cs="宋体" w:eastAsia="方正黑体_GBK"/>
                <w:sz w:val="18"/>
                <w:szCs w:val="18"/>
              </w:rPr>
              <w:t>F份额：南京银行私行客户、钻石客户、新晋私行客户、新晋钻石户及南京银行认定的其他符合标准的客户。</w:t>
            </w:r>
          </w:p>
          <w:p>
            <w:pPr>
              <w:pStyle w:val="null10"/>
              <w:spacing w:lineRule="exact" w:line="200"/>
            </w:pPr>
            <w:r>
              <w:rPr>
                <w:rFonts w:ascii="方正黑体_GBK" w:hAnsi="方正黑体_GBK" w:cs="宋体" w:eastAsia="方正黑体_GBK"/>
                <w:sz w:val="18"/>
                <w:szCs w:val="18"/>
              </w:rPr>
              <w:t>G份额：成都银行股份有限公司客户。</w:t>
            </w:r>
          </w:p>
          <w:p>
            <w:pPr>
              <w:pStyle w:val="null10"/>
              <w:spacing w:lineRule="exact" w:line="200"/>
            </w:pPr>
            <w:r>
              <w:rPr>
                <w:rFonts w:ascii="方正黑体_GBK" w:hAnsi="方正黑体_GBK" w:cs="宋体" w:eastAsia="方正黑体_GBK"/>
                <w:sz w:val="18"/>
                <w:szCs w:val="18"/>
              </w:rPr>
              <w:t>M份额：苏州银行股份有限公司、浙江民泰商业银行股份有限公司、嘉兴银行股份有限公司、福建海峡银行股份有限公司、宁波通商银行股份有限公司客户。</w:t>
            </w:r>
          </w:p>
          <w:p>
            <w:pPr>
              <w:pStyle w:val="null10"/>
              <w:spacing w:lineRule="exact" w:line="200"/>
            </w:pPr>
            <w:r>
              <w:rPr>
                <w:rFonts w:ascii="方正黑体_GBK" w:hAnsi="方正黑体_GBK" w:cs="宋体" w:eastAsia="方正黑体_GBK"/>
                <w:sz w:val="18"/>
                <w:szCs w:val="18"/>
              </w:rPr>
              <w:t>Q份额：台州银行股份有限公司所有客户。</w:t>
            </w:r>
          </w:p>
          <w:p>
            <w:pPr>
              <w:pStyle w:val="null10"/>
              <w:spacing w:lineRule="exact" w:line="200"/>
            </w:pPr>
            <w:r>
              <w:rPr>
                <w:rFonts w:ascii="方正黑体_GBK" w:hAnsi="方正黑体_GBK" w:cs="宋体" w:eastAsia="方正黑体_GBK"/>
                <w:sz w:val="18"/>
                <w:szCs w:val="18"/>
              </w:rPr>
              <w:t>R份额：台州银行股份有限公司白名单客户。</w:t>
            </w:r>
          </w:p>
          <w:p>
            <w:pPr>
              <w:pStyle w:val="null10"/>
              <w:spacing w:lineRule="exact" w:line="200"/>
            </w:pPr>
            <w:r>
              <w:rPr>
                <w:rFonts w:ascii="方正黑体_GBK" w:hAnsi="方正黑体_GBK" w:cs="宋体" w:eastAsia="方正黑体_GBK"/>
                <w:sz w:val="18"/>
                <w:szCs w:val="18"/>
              </w:rPr>
              <w:t>S份额：成都农村商业银行股份有限公司。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A份额/B份额/C份额/D份额/E份额/F份额/G份额/M份额/Q份额/R份额/S份额：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2025年12月11日 09:00—2025年12月17日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本理财产品每期封闭期为一年，当期封闭期起止时间以信息披露为准</w:t>
            </w:r>
            <w:r>
              <w:rPr>
                <w:rFonts w:ascii="方正黑体_GBK" w:hAnsi="方正黑体_GBK" w:cs="宋体" w:eastAsia="方正黑体_GBK"/>
                <w:sz w:val="18"/>
                <w:color w:val="000000"/>
                <w:szCs w:val="18"/>
              </w:rPr>
              <w:t>。</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2025年12月18日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2025年12月18日—实际到期日（若本理财产品未被提前终止或延期终止，则实际到期日即为名义到期日，存续期限10年；若本理财产品被提前终止或延期终止，则实际到期日为提前终止日或延期终止日。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cs="宋体" w:eastAsia="方正黑体_GBK"/>
                <w:sz w:val="18"/>
                <w:b/>
                <w:szCs w:val="18"/>
              </w:rPr>
              <w:t>理财产品管理人有权根据市场变化情况调整产品存续期，届时管理人将调整相关日期并进行信息披露。）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2035年12月28日</w:t>
            </w:r>
            <w:r>
              <w:rPr>
                <w:rFonts w:ascii="方正黑体_GBK" w:eastAsia="方正黑体_GBK" w:cs="Times New Roman" w:hint="eastAsia" w:hAnsi="方正黑体_GBK"/>
                <w:b/>
                <w:bCs/>
                <w:caps w:val="0"/>
                <w:smallCaps w:val="0"/>
                <w:snapToGrid/>
                <w:vanish w:val="0"/>
                <w:color w:val="auto"/>
                <w:kern w:val="0"/>
                <w:sz w:val="18"/>
                <w:szCs w:val="18"/>
                <w:vertAlign w:val="baseline"/>
              </w:rPr>
              <w:t>（如遇国家法定节假日，管理人可结合国家法定节假日安排进行调整，并进行</w:t>
            </w:r>
            <w:r>
              <w:rPr>
                <w:rFonts w:ascii="方正黑体_GBK" w:eastAsia="方正黑体_GBK" w:hint="eastAsia" w:hAnsi="方正黑体_GBK"/>
                <w:b/>
                <w:bCs/>
                <w:caps w:val="0"/>
                <w:smallCaps w:val="0"/>
                <w:snapToGrid/>
                <w:vanish w:val="0"/>
                <w:color w:val="auto"/>
                <w:kern w:val="0"/>
                <w:sz w:val="18"/>
                <w:szCs w:val="18"/>
                <w:vertAlign w:val="baseline"/>
              </w:rPr>
              <w:t>信息披露</w:t>
            </w:r>
            <w:r>
              <w:rPr>
                <w:rFonts w:ascii="方正黑体_GBK" w:eastAsia="方正黑体_GBK" w:cs="Times New Roman" w:hint="eastAsia" w:hAnsi="方正黑体_GBK"/>
                <w:b/>
                <w:bCs/>
                <w:caps w:val="0"/>
                <w:smallCaps w:val="0"/>
                <w:snapToGrid/>
                <w:vanish w:val="0"/>
                <w:color w:val="auto"/>
                <w:kern w:val="0"/>
                <w:sz w:val="18"/>
                <w:szCs w:val="18"/>
                <w:vertAlign w:val="baseline"/>
              </w:rPr>
              <w:t>）</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bookmarkStart w:id="0" w:name="_GoBack"/>
            <w:bookmarkEnd w:id="0"/>
            <w:r>
              <w:rPr>
                <w:rFonts w:ascii="方正黑体_GBK" w:eastAsia="方正黑体_GBK" w:cs="Times New Roman" w:hint="eastAsia" w:hAnsi="方正黑体_GBK"/>
                <w:caps w:val="0"/>
                <w:smallCaps w:val="0"/>
                <w:snapToGrid/>
                <w:vanish w:val="0"/>
                <w:color w:val="auto"/>
                <w:kern w:val="0"/>
                <w:sz w:val="18"/>
                <w:szCs w:val="18"/>
                <w:vertAlign w:val="baseline"/>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本理财产品存续期内按年开放申购，如遇节假日调整，申购开放日和申购确认日以公告为准。</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本理财产品存续期内按年开放赎回，如遇节假日调整，赎回开放日和赎回确认日以公告为准，投资者可提交赎回申请，系统不自动赎回。产品终止时，产品将对所有份额进行强制赎回。</w:t>
            </w:r>
          </w:p>
        </w:tc>
      </w:tr>
      <w:tr>
        <w:trPr>
          <w:trHeight w:val="26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hd w:fill="FFFFFF" w:val="clear"/>
                <w:szCs w:val="18"/>
              </w:rPr>
              <w:t>A份额/F份额/Q份额/R份额：募集期为2025年12月11日9：00至2025年12月17日17：00；下一个开放期为2026年12月24日9：00至2026年12月29日17：00，投资者可以提交或撤销申购/赎回申请。</w:t>
            </w:r>
          </w:p>
          <w:p>
            <w:pPr>
              <w:pStyle w:val="null10"/>
              <w:spacing w:lineRule="exact" w:line="200"/>
              <w:jc w:val="left"/>
            </w:pPr>
            <w:r>
              <w:rPr>
                <w:rFonts w:ascii="方正黑体_GBK" w:hAnsi="方正黑体_GBK" w:cs="宋体" w:eastAsia="方正黑体_GBK"/>
                <w:sz w:val="18"/>
                <w:color w:val="000000"/>
                <w:shd w:fill="FFFFFF" w:val="clear"/>
                <w:szCs w:val="18"/>
              </w:rPr>
              <w:t>B份额/C份额/D份额/E份额/G份额/M份额/S份额：募集期为2025年12月11日9：00至2025年12月17日17：00；确认成功的份额均将于下一个开放期（2026年12月24日9：00至2026年12月29日17：00）由系统自动发起赎回申请。</w:t>
            </w:r>
          </w:p>
          <w:p>
            <w:pPr>
              <w:pStyle w:val="null10"/>
              <w:spacing w:lineRule="exact" w:line="200"/>
              <w:jc w:val="left"/>
            </w:pPr>
            <w:r>
              <w:rPr>
                <w:rFonts w:ascii="方正黑体_GBK" w:hAnsi="方正黑体_GBK" w:cs="宋体" w:eastAsia="方正黑体_GBK"/>
                <w:sz w:val="18"/>
                <w:color w:val="000000"/>
                <w:shd w:fill="FFFFFF" w:val="clear"/>
                <w:szCs w:val="18"/>
              </w:rPr>
              <w:t>产品开放期如有调整以管理人公告为准。</w:t>
            </w:r>
          </w:p>
          <w:p>
            <w:pPr>
              <w:pStyle w:val="null10"/>
              <w:spacing w:lineRule="exact" w:line="200"/>
              <w:jc w:val="left"/>
            </w:pPr>
            <w:r>
              <w:rPr>
                <w:rFonts w:ascii="方正黑体_GBK" w:hAnsi="方正黑体_GBK" w:cs="宋体" w:eastAsia="方正黑体_GBK"/>
                <w:sz w:val="18"/>
                <w:color w:val="000000"/>
                <w:shd w:fill="FFFFFF" w:val="clear"/>
                <w:szCs w:val="18"/>
              </w:rPr>
              <w:t>在销售机构支持的前提下，认购/申购/赎回开放期末日17:00前可以撤销申请。</w:t>
            </w:r>
          </w:p>
          <w:p>
            <w:pPr>
              <w:pStyle w:val="null10"/>
              <w:spacing w:lineRule="exact" w:line="200"/>
              <w:jc w:val="left"/>
            </w:pPr>
            <w:r>
              <w:rPr>
                <w:rFonts w:ascii="方正黑体_GBK" w:hAnsi="方正黑体_GBK" w:cs="宋体" w:eastAsia="方正黑体_GBK"/>
                <w:sz w:val="18"/>
                <w:color w:val="000000"/>
                <w:shd w:fill="FFFFFF" w:val="clear"/>
                <w:szCs w:val="18"/>
              </w:rPr>
              <w:t>代销机构可根据其销售需要在管理人设定的申购/赎回时间范围内对申购/赎回时间进行重新设定，投资者通过代销机构购买本理财产品的，以该代销机构最终披露的时间为准。</w:t>
            </w:r>
          </w:p>
        </w:tc>
      </w:tr>
      <w:tr>
        <w:trPr>
          <w:trHeight w:val="28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申购</w:t>
            </w:r>
            <w:r>
              <w:rPr>
                <w:rFonts w:ascii="方正黑体_GBK" w:eastAsia="方正黑体_GBK" w:hint="eastAsia" w:hAnsi="方正黑体_GBK"/>
                <w:caps w:val="0"/>
                <w:smallCaps w:val="0"/>
                <w:snapToGrid/>
                <w:vanish w:val="0"/>
                <w:color w:val="auto"/>
                <w:kern w:val="0"/>
                <w:sz w:val="18"/>
                <w:szCs w:val="18"/>
                <w:vertAlign w:val="baseline"/>
              </w:rPr>
              <w:t>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申购份额=确认申购金额/S。S为申购确认日理财产品单位净值（已扣除相关费用）。申购份额以去尾法保留两位小数。</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赎回金额=确认赎回份额×R。 R为赎回确认日理财产品单位净值（已扣除相关费用，赎回金额以去尾法保留两位小数）</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到期兑付金额=到期时持有份额×P。 P为期末理财产品单位净值。（已扣除相关费用，到期兑付金额以去尾法保留两位小数）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当理财产品单位净值不低于1时，管理人可以根据实际情况进行收益分配，分配方式为现金分红，具体分配方案以信息披露为准（分配后理财产品净值不低于1）。</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pPr>
              <w:pStyle w:val="null10"/>
              <w:spacing w:lineRule="exact" w:line="200"/>
              <w:jc w:val="left"/>
            </w:pPr>
            <w:r>
              <w:rPr>
                <w:rFonts w:ascii="方正黑体_GBK" w:hAnsi="方正黑体_GBK" w:cs="宋体" w:eastAsia="方正黑体_GBK"/>
                <w:sz w:val="18"/>
                <w:szCs w:val="18"/>
              </w:rPr>
              <w:t>分红权益登记日指管理人确认投资者所持份额是否享受本次分红的日期。</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最近一次开放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12.信托贷款：资产类型为信托公司设立的资金信托计划，底层资产为抖音及信托公司双重审核、信托公司自主风控后发放的“放心借”贷款资产，资产到期日不超过理财产品最近一次开放日。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16.信托贷款：资产类型为信托公司设立的资金信托计划，底层资产为度小满及信托公司双重审核、信托公司自主风控后发放的“满易贷”个人消费贷款债权，资产到期日不超过理财产品最近一次开放日。</w:t>
            </w:r>
          </w:p>
          <w:p>
            <w:pPr>
              <w:pStyle w:val="null10"/>
              <w:spacing w:lineRule="exact" w:line="200"/>
            </w:pPr>
            <w:r>
              <w:rPr>
                <w:rFonts w:ascii="方正黑体_GBK" w:hAnsi="方正黑体_GBK" w:cs="宋体" w:eastAsia="方正黑体_GBK"/>
                <w:sz w:val="18"/>
                <w:b/>
                <w:szCs w:val="18"/>
              </w:rPr>
              <w:t>以上资产剩余期限均不超过产品期限。</w:t>
            </w:r>
            <w:r>
              <w:rPr>
                <w:rFonts w:ascii="方正黑体_GBK" w:hAnsi="方正黑体_GBK" w:eastAsia="方正黑体_GBK"/>
              </w:rPr>
              <w:br/>
            </w:r>
            <w:r>
              <w:rPr>
                <w:rFonts w:ascii="方正黑体_GBK" w:hAnsi="方正黑体_GBK" w:cs="宋体" w:eastAsia="方正黑体_GBK"/>
                <w:sz w:val="18"/>
                <w:b/>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A份额：业绩比较基准为年化2.35%-2.6% 。</w:t>
            </w:r>
          </w:p>
          <w:p>
            <w:pPr>
              <w:pStyle w:val="null10"/>
              <w:spacing w:lineRule="exact" w:line="200"/>
            </w:pPr>
            <w:r>
              <w:rPr>
                <w:rFonts w:ascii="方正黑体_GBK" w:hAnsi="方正黑体_GBK" w:cs="宋体" w:eastAsia="方正黑体_GBK"/>
                <w:sz w:val="18"/>
                <w:szCs w:val="18"/>
              </w:rPr>
              <w:t>B份额：业绩比较基准为年化2.35%-2.6% 。</w:t>
            </w:r>
          </w:p>
          <w:p>
            <w:pPr>
              <w:pStyle w:val="null10"/>
              <w:spacing w:lineRule="exact" w:line="200"/>
            </w:pPr>
            <w:r>
              <w:rPr>
                <w:rFonts w:ascii="方正黑体_GBK" w:hAnsi="方正黑体_GBK" w:cs="宋体" w:eastAsia="方正黑体_GBK"/>
                <w:sz w:val="18"/>
                <w:szCs w:val="18"/>
              </w:rPr>
              <w:t>C份额：业绩比较基准为年化2.4%-2.65% 。</w:t>
            </w:r>
          </w:p>
          <w:p>
            <w:pPr>
              <w:pStyle w:val="null10"/>
              <w:spacing w:lineRule="exact" w:line="200"/>
            </w:pPr>
            <w:r>
              <w:rPr>
                <w:rFonts w:ascii="方正黑体_GBK" w:hAnsi="方正黑体_GBK" w:cs="宋体" w:eastAsia="方正黑体_GBK"/>
                <w:sz w:val="18"/>
                <w:szCs w:val="18"/>
              </w:rPr>
              <w:t>D份额：业绩比较基准为年化2.45%-2.7% 。</w:t>
            </w:r>
          </w:p>
          <w:p>
            <w:pPr>
              <w:pStyle w:val="null10"/>
              <w:spacing w:lineRule="exact" w:line="200"/>
            </w:pPr>
            <w:r>
              <w:rPr>
                <w:rFonts w:ascii="方正黑体_GBK" w:hAnsi="方正黑体_GBK" w:cs="宋体" w:eastAsia="方正黑体_GBK"/>
                <w:sz w:val="18"/>
                <w:szCs w:val="18"/>
              </w:rPr>
              <w:t>E份额：业绩比较基准为年化2.55%-2.8% 。</w:t>
            </w:r>
          </w:p>
          <w:p>
            <w:pPr>
              <w:pStyle w:val="null10"/>
              <w:spacing w:lineRule="exact" w:line="200"/>
            </w:pPr>
            <w:r>
              <w:rPr>
                <w:rFonts w:ascii="方正黑体_GBK" w:hAnsi="方正黑体_GBK" w:cs="宋体" w:eastAsia="方正黑体_GBK"/>
                <w:sz w:val="18"/>
                <w:szCs w:val="18"/>
              </w:rPr>
              <w:t>F份额：业绩比较基准为年化2.45%-2.7% 。</w:t>
            </w:r>
          </w:p>
          <w:p>
            <w:pPr>
              <w:pStyle w:val="null10"/>
              <w:spacing w:lineRule="exact" w:line="200"/>
            </w:pPr>
            <w:r>
              <w:rPr>
                <w:rFonts w:ascii="方正黑体_GBK" w:hAnsi="方正黑体_GBK" w:cs="宋体" w:eastAsia="方正黑体_GBK"/>
                <w:sz w:val="18"/>
                <w:szCs w:val="18"/>
              </w:rPr>
              <w:t>G份额：业绩比较基准为年化2.5%-2.75% 。</w:t>
            </w:r>
          </w:p>
          <w:p>
            <w:pPr>
              <w:pStyle w:val="null10"/>
              <w:spacing w:lineRule="exact" w:line="200"/>
            </w:pPr>
            <w:r>
              <w:rPr>
                <w:rFonts w:ascii="方正黑体_GBK" w:hAnsi="方正黑体_GBK" w:cs="宋体" w:eastAsia="方正黑体_GBK"/>
                <w:sz w:val="18"/>
                <w:szCs w:val="18"/>
              </w:rPr>
              <w:t>M份额：业绩比较基准为年化2.35%-2.6% 。</w:t>
            </w:r>
          </w:p>
          <w:p>
            <w:pPr>
              <w:pStyle w:val="null10"/>
              <w:spacing w:lineRule="exact" w:line="200"/>
            </w:pPr>
            <w:r>
              <w:rPr>
                <w:rFonts w:ascii="方正黑体_GBK" w:hAnsi="方正黑体_GBK" w:cs="宋体" w:eastAsia="方正黑体_GBK"/>
                <w:sz w:val="18"/>
                <w:szCs w:val="18"/>
              </w:rPr>
              <w:t>Q份额：业绩比较基准为年化2.35%-2.6% 。</w:t>
            </w:r>
          </w:p>
          <w:p>
            <w:pPr>
              <w:pStyle w:val="null10"/>
              <w:spacing w:lineRule="exact" w:line="200"/>
            </w:pPr>
            <w:r>
              <w:rPr>
                <w:rFonts w:ascii="方正黑体_GBK" w:hAnsi="方正黑体_GBK" w:cs="宋体" w:eastAsia="方正黑体_GBK"/>
                <w:sz w:val="18"/>
                <w:szCs w:val="18"/>
              </w:rPr>
              <w:t>R份额：业绩比较基准为年化2.55%-2.8% 。</w:t>
            </w:r>
          </w:p>
          <w:p>
            <w:pPr>
              <w:pStyle w:val="null10"/>
              <w:spacing w:lineRule="exact" w:line="200"/>
            </w:pPr>
            <w:r>
              <w:rPr>
                <w:rFonts w:ascii="方正黑体_GBK" w:hAnsi="方正黑体_GBK" w:cs="宋体" w:eastAsia="方正黑体_GBK"/>
                <w:sz w:val="18"/>
                <w:szCs w:val="18"/>
              </w:rPr>
              <w:t>S份额：业绩比较基准为年化2.5%-2.75% 。</w:t>
            </w:r>
          </w:p>
          <w:p>
            <w:pPr>
              <w:pStyle w:val="null10"/>
              <w:spacing w:lineRule="exact" w:line="200"/>
              <w:jc w:val="left"/>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pPr>
              <w:pStyle w:val="null10"/>
              <w:spacing w:lineRule="exact" w:line="200"/>
              <w:jc w:val="left"/>
            </w:pPr>
            <w:r>
              <w:rPr>
                <w:rFonts w:ascii="方正黑体_GBK" w:hAnsi="方正黑体_GBK" w:cs="宋体" w:eastAsia="方正黑体_GBK"/>
                <w:sz w:val="18"/>
                <w:szCs w:val="18"/>
              </w:rPr>
              <w:t>注：管理人可根据市场情况对业绩比较基准进行适当调整，如有调整，将至少于调整前3个工作日公布调整方案。</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B份额：销售费年化0.2%</w:t>
            </w:r>
          </w:p>
          <w:p>
            <w:pPr>
              <w:pStyle w:val="null10"/>
              <w:spacing w:lineRule="exact" w:line="200"/>
            </w:pPr>
            <w:r>
              <w:rPr>
                <w:rFonts w:ascii="方正黑体_GBK" w:hAnsi="方正黑体_GBK" w:cs="宋体" w:eastAsia="方正黑体_GBK"/>
                <w:sz w:val="18"/>
                <w:b/>
                <w:szCs w:val="18"/>
              </w:rPr>
              <w:t>C份额：销售费年化0.15%</w:t>
            </w:r>
          </w:p>
          <w:p>
            <w:pPr>
              <w:pStyle w:val="null10"/>
              <w:spacing w:lineRule="exact" w:line="200"/>
            </w:pPr>
            <w:r>
              <w:rPr>
                <w:rFonts w:ascii="方正黑体_GBK" w:hAnsi="方正黑体_GBK" w:cs="宋体" w:eastAsia="方正黑体_GBK"/>
                <w:sz w:val="18"/>
                <w:b/>
                <w:szCs w:val="18"/>
              </w:rPr>
              <w:t>D份额：销售费年化0.15%</w:t>
            </w:r>
          </w:p>
          <w:p>
            <w:pPr>
              <w:pStyle w:val="null10"/>
              <w:spacing w:lineRule="exact" w:line="200"/>
            </w:pPr>
            <w:r>
              <w:rPr>
                <w:rFonts w:ascii="方正黑体_GBK" w:hAnsi="方正黑体_GBK" w:cs="宋体" w:eastAsia="方正黑体_GBK"/>
                <w:sz w:val="18"/>
                <w:b/>
                <w:szCs w:val="18"/>
              </w:rPr>
              <w:t>E份额：销售费年化0.05%</w:t>
            </w:r>
          </w:p>
          <w:p>
            <w:pPr>
              <w:pStyle w:val="null10"/>
              <w:spacing w:lineRule="exact" w:line="200"/>
            </w:pPr>
            <w:r>
              <w:rPr>
                <w:rFonts w:ascii="方正黑体_GBK" w:hAnsi="方正黑体_GBK" w:cs="宋体" w:eastAsia="方正黑体_GBK"/>
                <w:sz w:val="18"/>
                <w:b/>
                <w:szCs w:val="18"/>
              </w:rPr>
              <w:t>F份额：销售费年化0.15%</w:t>
            </w:r>
          </w:p>
          <w:p>
            <w:pPr>
              <w:pStyle w:val="null10"/>
              <w:spacing w:lineRule="exact" w:line="200"/>
            </w:pPr>
            <w:r>
              <w:rPr>
                <w:rFonts w:ascii="方正黑体_GBK" w:hAnsi="方正黑体_GBK" w:cs="宋体" w:eastAsia="方正黑体_GBK"/>
                <w:sz w:val="18"/>
                <w:b/>
                <w:szCs w:val="18"/>
              </w:rPr>
              <w:t>G份额：销售费年化0.1%</w:t>
            </w:r>
          </w:p>
          <w:p>
            <w:pPr>
              <w:pStyle w:val="null10"/>
              <w:spacing w:lineRule="exact" w:line="200"/>
            </w:pPr>
            <w:r>
              <w:rPr>
                <w:rFonts w:ascii="方正黑体_GBK" w:hAnsi="方正黑体_GBK" w:cs="宋体" w:eastAsia="方正黑体_GBK"/>
                <w:sz w:val="18"/>
                <w:b/>
                <w:szCs w:val="18"/>
              </w:rPr>
              <w:t>M份额：销售费年化0.2%</w:t>
            </w:r>
          </w:p>
          <w:p>
            <w:pPr>
              <w:pStyle w:val="null10"/>
              <w:spacing w:lineRule="exact" w:line="200"/>
            </w:pPr>
            <w:r>
              <w:rPr>
                <w:rFonts w:ascii="方正黑体_GBK" w:hAnsi="方正黑体_GBK" w:cs="宋体" w:eastAsia="方正黑体_GBK"/>
                <w:sz w:val="18"/>
                <w:b/>
                <w:szCs w:val="18"/>
              </w:rPr>
              <w:t>Q份额：销售费年化0.2%</w:t>
            </w:r>
          </w:p>
          <w:p>
            <w:pPr>
              <w:pStyle w:val="null10"/>
              <w:spacing w:lineRule="exact" w:line="200"/>
            </w:pPr>
            <w:r>
              <w:rPr>
                <w:rFonts w:ascii="方正黑体_GBK" w:hAnsi="方正黑体_GBK" w:cs="宋体" w:eastAsia="方正黑体_GBK"/>
                <w:sz w:val="18"/>
                <w:b/>
                <w:szCs w:val="18"/>
              </w:rPr>
              <w:t>R份额：销售费年化0.05%</w:t>
            </w:r>
          </w:p>
          <w:p>
            <w:pPr>
              <w:pStyle w:val="null10"/>
              <w:spacing w:lineRule="exact" w:line="200"/>
            </w:pPr>
            <w:r>
              <w:rPr>
                <w:rFonts w:ascii="方正黑体_GBK" w:hAnsi="方正黑体_GBK" w:cs="宋体" w:eastAsia="方正黑体_GBK"/>
                <w:sz w:val="18"/>
                <w:b/>
                <w:szCs w:val="18"/>
              </w:rPr>
              <w:t>S份额：销售费年化0.1%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D份额：固定管理费年化0.15%</w:t>
            </w:r>
          </w:p>
          <w:p>
            <w:pPr>
              <w:pStyle w:val="null10"/>
              <w:spacing w:lineRule="exact" w:line="200"/>
            </w:pPr>
            <w:r>
              <w:rPr>
                <w:rFonts w:ascii="方正黑体_GBK" w:hAnsi="方正黑体_GBK" w:cs="宋体" w:eastAsia="方正黑体_GBK"/>
                <w:sz w:val="18"/>
                <w:b/>
                <w:szCs w:val="18"/>
              </w:rPr>
              <w:t>E份额：固定管理费年化0.15%</w:t>
            </w:r>
          </w:p>
          <w:p>
            <w:pPr>
              <w:pStyle w:val="null10"/>
              <w:spacing w:lineRule="exact" w:line="200"/>
            </w:pPr>
            <w:r>
              <w:rPr>
                <w:rFonts w:ascii="方正黑体_GBK" w:hAnsi="方正黑体_GBK" w:cs="宋体" w:eastAsia="方正黑体_GBK"/>
                <w:sz w:val="18"/>
                <w:b/>
                <w:szCs w:val="18"/>
              </w:rPr>
              <w:t>F份额：固定管理费年化0.15%</w:t>
            </w:r>
          </w:p>
          <w:p>
            <w:pPr>
              <w:pStyle w:val="null10"/>
              <w:spacing w:lineRule="exact" w:line="200"/>
            </w:pPr>
            <w:r>
              <w:rPr>
                <w:rFonts w:ascii="方正黑体_GBK" w:hAnsi="方正黑体_GBK" w:cs="宋体" w:eastAsia="方正黑体_GBK"/>
                <w:sz w:val="18"/>
                <w:b/>
                <w:szCs w:val="18"/>
              </w:rPr>
              <w:t>G份额：固定管理费年化0.15%</w:t>
            </w:r>
          </w:p>
          <w:p>
            <w:pPr>
              <w:pStyle w:val="null10"/>
              <w:spacing w:lineRule="exact" w:line="200"/>
            </w:pPr>
            <w:r>
              <w:rPr>
                <w:rFonts w:ascii="方正黑体_GBK" w:hAnsi="方正黑体_GBK" w:cs="宋体" w:eastAsia="方正黑体_GBK"/>
                <w:sz w:val="18"/>
                <w:b/>
                <w:szCs w:val="18"/>
              </w:rPr>
              <w:t>M份额：固定管理费年化0.2%</w:t>
            </w:r>
          </w:p>
          <w:p>
            <w:pPr>
              <w:pStyle w:val="null10"/>
              <w:spacing w:lineRule="exact" w:line="200"/>
            </w:pPr>
            <w:r>
              <w:rPr>
                <w:rFonts w:ascii="方正黑体_GBK" w:hAnsi="方正黑体_GBK" w:cs="宋体" w:eastAsia="方正黑体_GBK"/>
                <w:sz w:val="18"/>
                <w:b/>
                <w:szCs w:val="18"/>
              </w:rPr>
              <w:t>Q份额：固定管理费年化0.2%</w:t>
            </w:r>
          </w:p>
          <w:p>
            <w:pPr>
              <w:pStyle w:val="null10"/>
              <w:spacing w:lineRule="exact" w:line="200"/>
            </w:pPr>
            <w:r>
              <w:rPr>
                <w:rFonts w:ascii="方正黑体_GBK" w:hAnsi="方正黑体_GBK" w:cs="宋体" w:eastAsia="方正黑体_GBK"/>
                <w:sz w:val="18"/>
                <w:b/>
                <w:szCs w:val="18"/>
              </w:rPr>
              <w:t>R份额：固定管理费年化0.15%</w:t>
            </w:r>
          </w:p>
          <w:p>
            <w:pPr>
              <w:pStyle w:val="null10"/>
              <w:spacing w:lineRule="exact" w:line="200"/>
            </w:pPr>
            <w:r>
              <w:rPr>
                <w:rFonts w:ascii="方正黑体_GBK" w:hAnsi="方正黑体_GBK" w:cs="宋体" w:eastAsia="方正黑体_GBK"/>
                <w:sz w:val="18"/>
                <w:b/>
                <w:szCs w:val="18"/>
              </w:rPr>
              <w:t>S份额：固定管理费年化0.15%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申购/赎回确认日和产品实际到期时，当期产品投资的实际资产组合收益（扣除销售费、固定管理费、托管费等相关费用）超过2.525%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申购/赎回确认日和产品实际到期时，当期产品投资的实际资产组合收益（扣除销售费、固定管理费、托管费等相关费用）超过2.475%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S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具体参见本理财产品风险揭示书。</w:t>
            </w:r>
          </w:p>
          <w:p>
            <w:pPr>
              <w:pStyle w:val="null10"/>
              <w:spacing w:lineRule="exact" w:line="200"/>
              <w:jc w:val="left"/>
            </w:pPr>
            <w:r>
              <w:rPr>
                <w:rFonts w:ascii="方正黑体_GBK" w:hAnsi="方正黑体_GBK" w:cs="宋体" w:eastAsia="方正黑体_GBK"/>
                <w:sz w:val="18"/>
                <w:color w:val="000000"/>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pPr>
              <w:pStyle w:val="null10"/>
              <w:spacing w:lineRule="exact" w:line="200"/>
              <w:jc w:val="left"/>
            </w:pPr>
            <w:r>
              <w:rPr>
                <w:rFonts w:ascii="方正黑体_GBK" w:hAnsi="方正黑体_GBK" w:cs="宋体" w:eastAsia="方正黑体_GBK"/>
                <w:sz w:val="18"/>
                <w:color w:val="000000"/>
                <w:szCs w:val="18"/>
              </w:rPr>
              <w:t>一是建仓或进行组合调整时，若投资资产包括债券或基金，可能由于特定债券或基金的流动性相对不足而无法按预期的价格买进（申购）或卖出（赎回）；</w:t>
            </w:r>
          </w:p>
          <w:p>
            <w:pPr>
              <w:pStyle w:val="null10"/>
              <w:spacing w:lineRule="exact" w:line="200"/>
              <w:jc w:val="left"/>
            </w:pPr>
            <w:r>
              <w:rPr>
                <w:rFonts w:ascii="方正黑体_GBK" w:hAnsi="方正黑体_GBK" w:cs="宋体" w:eastAsia="方正黑体_GBK"/>
                <w:sz w:val="18"/>
                <w:color w:val="000000"/>
                <w:szCs w:val="18"/>
              </w:rPr>
              <w:t>二是为应对投资者的赎回，被迫以不适当的价格卖出债券或赎回基金；</w:t>
            </w:r>
          </w:p>
          <w:p>
            <w:pPr>
              <w:pStyle w:val="null10"/>
              <w:spacing w:lineRule="exact" w:line="200"/>
              <w:jc w:val="left"/>
            </w:pPr>
            <w:r>
              <w:rPr>
                <w:rFonts w:ascii="方正黑体_GBK" w:hAnsi="方正黑体_GBK" w:cs="宋体" w:eastAsia="方正黑体_GBK"/>
                <w:sz w:val="18"/>
                <w:color w:val="000000"/>
                <w:szCs w:val="18"/>
              </w:rPr>
              <w:t>三是若投资资产包括非标准化债权类资产，可能由于资产缺少流动性而难以变现。</w:t>
            </w:r>
          </w:p>
          <w:p>
            <w:pPr>
              <w:pStyle w:val="null10"/>
              <w:spacing w:lineRule="exact" w:line="200"/>
              <w:jc w:val="left"/>
            </w:pPr>
            <w:r>
              <w:rPr>
                <w:rFonts w:ascii="方正黑体_GBK" w:hAnsi="方正黑体_GBK" w:cs="宋体" w:eastAsia="方正黑体_GBK"/>
                <w:sz w:val="18"/>
                <w:color w:val="000000"/>
                <w:szCs w:val="18"/>
              </w:rPr>
              <w:t>以上情形均可能使产品净值受到不利影响。</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嘉兴银行股份有限公司、江苏常熟农村商业银行股份有限公司、江苏苏州农村商业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天津农村商业银行股份有限公司、江苏紫金农村商业银行股份有限公司、苏州银行股份有限公司、桂林银行股份有限公司、重庆富民银行股份有限公司、宁波通商银行股份有限公司、石嘴山银行股份有限公司、江苏丹阳农村商业银行股份有限公司、江苏宜兴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扬州农村商业银行股份有限公司、江苏大丰农村商业银行股份有限公司、江苏洪泽农村商业银行股份有限公司、江苏镇江农村商业银行股份有限公司、徐州农村商业银行股份有限公司、江苏苏商银行股份有限公司、江苏丰县农村商业银行股份有限公司、江苏射阳农村商业银行股份有限公司、江苏句容农村商业银行股份有限公司、北京中关村银行股份有限公司、廊坊银行股份有限公司、乌鲁木齐银行股份有限公司、河北银行股份有限公司、江苏沛县农村商业银行股份有限公司、潍坊银行股份有限公司、台州银行股份有限公司、浙江民泰商业银行股份有限公司、江苏仪征农村商业银行股份有限公司、成都银行股份有限公司、江苏沭阳农村商业银行股份有限公司、江苏海安农村商业银行股份有限公司、江苏海门农村商业银行股份有限公司、成都农村商业银行股份有限公司、江苏睢宁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pPr>
              <w:pStyle w:val="null10"/>
              <w:spacing w:lineRule="exact" w:line="200"/>
              <w:jc w:val="left"/>
            </w:pPr>
            <w:r>
              <w:rPr>
                <w:rFonts w:ascii="方正黑体_GBK" w:hAnsi="方正黑体_GBK" w:cs="宋体" w:eastAsia="方正黑体_GBK"/>
                <w:sz w:val="18"/>
                <w:color w:val="000000"/>
                <w:szCs w:val="18"/>
              </w:rPr>
              <w:t>1.接受全额赎回：当管理人认为有能力兑付投资者的全部赎回申请时，将在赎回确认日按正常赎回程序执行；</w:t>
            </w:r>
          </w:p>
          <w:p>
            <w:pPr>
              <w:pStyle w:val="null10"/>
              <w:spacing w:lineRule="exact" w:line="200"/>
              <w:jc w:val="left"/>
            </w:pPr>
            <w:r>
              <w:rPr>
                <w:rFonts w:ascii="方正黑体_GBK" w:hAnsi="方正黑体_GBK" w:cs="宋体" w:eastAsia="方正黑体_GBK"/>
                <w:sz w:val="18"/>
                <w:color w:val="000000"/>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pPr>
              <w:pStyle w:val="null10"/>
              <w:spacing w:lineRule="exact" w:line="200"/>
              <w:jc w:val="left"/>
            </w:pPr>
            <w:r>
              <w:rPr>
                <w:rFonts w:ascii="方正黑体_GBK" w:hAnsi="方正黑体_GBK" w:cs="宋体" w:eastAsia="方正黑体_GBK"/>
                <w:sz w:val="18"/>
                <w:color w:val="000000"/>
                <w:szCs w:val="18"/>
              </w:rPr>
              <w:t>（1）对于接受赎回申请的部分，管理人将按单个投资者的赎回申请份额占当日所有投资者的净赎回申请总份额的比例，确认该投资者当日办理的赎回申请份额。</w:t>
            </w:r>
          </w:p>
          <w:p>
            <w:pPr>
              <w:pStyle w:val="null10"/>
              <w:spacing w:lineRule="exact" w:line="200"/>
              <w:jc w:val="left"/>
            </w:pPr>
            <w:r>
              <w:rPr>
                <w:rFonts w:ascii="方正黑体_GBK" w:hAnsi="方正黑体_GBK" w:cs="宋体" w:eastAsia="方正黑体_GBK"/>
                <w:sz w:val="18"/>
                <w:color w:val="000000"/>
                <w:szCs w:val="18"/>
              </w:rPr>
              <w:t>（2）对于暂停接受的部分，管理人将拒绝该部分赎回申请，投资者可在下一个产品开放日再次发起赎回申请。</w:t>
            </w:r>
          </w:p>
          <w:p>
            <w:pPr>
              <w:pStyle w:val="null10"/>
              <w:spacing w:lineRule="exact" w:line="200"/>
              <w:jc w:val="left"/>
            </w:pPr>
            <w:r>
              <w:rPr>
                <w:rFonts w:ascii="方正黑体_GBK" w:hAnsi="方正黑体_GBK" w:cs="宋体" w:eastAsia="方正黑体_GBK"/>
                <w:sz w:val="18"/>
                <w:color w:val="000000"/>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发生下列情形时，管理人可暂停接受投资者认申购申请：</w:t>
            </w:r>
          </w:p>
          <w:p>
            <w:pPr>
              <w:pStyle w:val="null10"/>
              <w:spacing w:lineRule="exact" w:line="200"/>
            </w:pPr>
            <w:r>
              <w:rPr>
                <w:rFonts w:ascii="方正黑体_GBK" w:hAnsi="方正黑体_GBK" w:cs="宋体" w:eastAsia="方正黑体_GBK"/>
                <w:sz w:val="18"/>
                <w:szCs w:val="18"/>
              </w:rPr>
              <w:t>1.因不可抗力导致理财产品无法正常运作；</w:t>
            </w:r>
          </w:p>
          <w:p>
            <w:pPr>
              <w:pStyle w:val="null10"/>
              <w:spacing w:lineRule="exact" w:line="200"/>
            </w:pPr>
            <w:r>
              <w:rPr>
                <w:rFonts w:ascii="方正黑体_GBK" w:hAnsi="方正黑体_GBK" w:cs="宋体" w:eastAsia="方正黑体_GBK"/>
                <w:sz w:val="18"/>
                <w:szCs w:val="18"/>
              </w:rPr>
              <w:t>2.因监管政策、市场发生重大变化，导致理财产品无法正常运作；</w:t>
            </w:r>
          </w:p>
          <w:p>
            <w:pPr>
              <w:pStyle w:val="null10"/>
              <w:spacing w:lineRule="exact" w:line="200"/>
            </w:pPr>
            <w:r>
              <w:rPr>
                <w:rFonts w:ascii="方正黑体_GBK" w:hAnsi="方正黑体_GBK" w:cs="宋体" w:eastAsia="方正黑体_GBK"/>
                <w:sz w:val="18"/>
                <w:szCs w:val="18"/>
              </w:rPr>
              <w:t>3.管理人认为需要暂停认申购的其他情形。</w:t>
            </w:r>
          </w:p>
          <w:p>
            <w:pPr>
              <w:pStyle w:val="null10"/>
              <w:spacing w:lineRule="exact" w:line="200"/>
            </w:pPr>
            <w:r>
              <w:rPr>
                <w:rFonts w:ascii="方正黑体_GBK" w:hAnsi="方正黑体_GBK" w:cs="宋体" w:eastAsia="方正黑体_GBK"/>
                <w:sz w:val="18"/>
                <w:b/>
                <w:szCs w:val="18"/>
              </w:rPr>
              <w:t>若管理人暂停接受认申购申请，将在3个交易日内告知该理财产品的投资者，并说明运用相关措施的原因、拟采取的应对安排等。在暂停接受认申购申请期间，投资者需重新进行资金安排。</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当本理财产品的当期赎回量超过上期理财产品规模的20%时，管理人有权暂停接受投资者的赎回申请，已经接受的赎回申请管理人有权延缓支付赎回款项，延缓期限不超过20个工作日。</w:t>
            </w:r>
          </w:p>
          <w:p>
            <w:pPr>
              <w:pStyle w:val="null10"/>
              <w:spacing w:lineRule="exact" w:line="200"/>
            </w:pPr>
            <w:r>
              <w:rPr>
                <w:rFonts w:ascii="方正黑体_GBK" w:hAnsi="方正黑体_GBK" w:cs="宋体" w:eastAsia="方正黑体_GBK"/>
                <w:sz w:val="18"/>
                <w:b/>
                <w:szCs w:val="18"/>
              </w:rPr>
              <w:t>如发生以上暂停的情况，管理人将在3个交易日内告知投资者，并说明运用相关措施的原因、拟采取的应对安排等，投资者需重新进行资金安排。</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1.本理财产品开放日内非操作时间不能进行申购/赎回申请，封闭期内不开放申购/赎回申请。</w:t>
            </w:r>
          </w:p>
          <w:p>
            <w:pPr>
              <w:pStyle w:val="null10"/>
              <w:spacing w:lineRule="exact" w:line="200"/>
              <w:jc w:val="left"/>
            </w:pPr>
            <w:r>
              <w:rPr>
                <w:rFonts w:ascii="方正黑体_GBK" w:hAnsi="方正黑体_GBK" w:cs="宋体" w:eastAsia="方正黑体_GBK"/>
                <w:sz w:val="18"/>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b/>
                <w:szCs w:val="18"/>
              </w:rPr>
              <w:t>3.本理财产品投资的资产管理产品的业绩报酬、赎回费等的提取（如有）可能造成本理财产品净值的下降。</w:t>
            </w:r>
          </w:p>
          <w:p>
            <w:pPr>
              <w:pStyle w:val="null10"/>
              <w:spacing w:lineRule="exact" w:line="200"/>
            </w:pPr>
            <w:r>
              <w:rPr>
                <w:rFonts w:ascii="方正黑体_GBK" w:hAnsi="方正黑体_GBK" w:cs="宋体" w:eastAsia="方正黑体_GBK"/>
                <w:sz w:val="18"/>
                <w:b/>
                <w:szCs w:val="18"/>
              </w:rPr>
              <w:t>4.本理财产品可能投资不存在活跃交易市场且需要采用估值技术确定公允价值的资产，且计划投资前述资产的比例达到本理财产品净资产50%以上（“以上”含本数）。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33f7cf9"/>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bf8a6a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bf8a6a0d"/>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bf8a6a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bf8a6a0d"/>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bf8a6a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bf8a6a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bf8a6a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bf8a6a0d"/>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南银理财鼎瑞安稳一年定开2025第31期公募人民币理财产品</w:t>
      </w:r>
      <w:r>
        <w:rPr>
          <w:rFonts w:ascii="方正黑体_GBK" w:eastAsia="方正黑体_GBK" w:hint="eastAsia" w:hAnsi="方正黑体_GBK"/>
          <w:vanish w:val="0"/>
          <w:color w:val="3D3D3D"/>
          <w:kern w:val="0"/>
          <w:sz w:val="15"/>
          <w:szCs w:val="15"/>
        </w:rPr>
        <w:t>。</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bf8a6a0d"/>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bf8a6a0d"/>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bf8a6a0d"/>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bf8a6a0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ffdf36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ffdf36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ffdf36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ffdf36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ffdf36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ffdf36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bf8a6a0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bf8a6a0d"/>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bf8a6a0d"/>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假设：投资者认购本理财产品10万元，成立日当日产品净值为1.0000元，折算份额100,000份。</w:t>
      </w:r>
    </w:p>
    <w:p>
      <w:pPr>
        <w:pStyle w:val="null10"/>
        <w:spacing w:lineRule="exact" w:line="200"/>
        <w:ind w:firstLine="280"/>
        <w:jc w:val="left"/>
      </w:pPr>
      <w:r>
        <w:rPr>
          <w:rFonts w:ascii="方正黑体_GBK" w:hAnsi="方正黑体_GBK" w:cs="宋体" w:eastAsia="方正黑体_GBK"/>
          <w:sz w:val="15"/>
          <w:szCs w:val="20"/>
        </w:rPr>
        <w:t>情景示例一：产品赎回确认时，扣除所有税费后（如有业绩报酬，已扣除）的赎回确认每份额净值为1.0300，则客户在资金到帐日收到到期款项为103,000元。</w:t>
      </w:r>
    </w:p>
    <w:p>
      <w:pPr>
        <w:pStyle w:val="null10"/>
        <w:spacing w:lineRule="exact" w:line="200"/>
        <w:ind w:firstLine="280"/>
        <w:jc w:val="left"/>
      </w:pPr>
      <w:r>
        <w:rPr>
          <w:rFonts w:ascii="方正黑体_GBK" w:hAnsi="方正黑体_GBK" w:cs="宋体" w:eastAsia="方正黑体_GBK"/>
          <w:sz w:val="15"/>
          <w:szCs w:val="20"/>
        </w:rPr>
        <w:t>情景示例二：产品赎回确认时，扣除所有税费后（如有业绩报酬，已扣除）的赎回确认每份额净值为0.9700，则客户在资金到帐日收到到期款项为97,000元。</w:t>
      </w:r>
    </w:p>
    <w:p>
      <w:pPr>
        <w:pStyle w:val="null10"/>
        <w:spacing w:lineRule="exact" w:line="200"/>
      </w:pPr>
      <w:r>
        <w:rPr>
          <w:rFonts w:ascii="方正黑体_GBK" w:hAnsi="方正黑体_GBK" w:cs="宋体" w:eastAsia="方正黑体_GBK"/>
          <w:sz w:val="15"/>
          <w:szCs w:val="20"/>
        </w:rPr>
        <w:t xml:space="preserve"> 以上数据为假设情形中的模拟数据，不代表实际收益，投资须谨慎。</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ffdf362"/>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33f7cf9"/>
        <w:keepNext w:val="0"/>
        <w:keepLines w:val="0"/>
        <w:pageBreakBefore w:val="0"/>
        <w:widowControl/>
        <w:suppressLineNumbers w:val="0"/>
        <w:suppressAutoHyphens w:val="0"/>
        <w:spacing w:line="200" w:lineRule="exact"/>
        <w:ind w:firstLineChars="200" w:firstLine="300"/>
        <w:rPr>
          <w:rStyle w:val="3ffdf362"/>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20"/>
      </w:pPr>
      <w:r>
        <w:rPr>
          <w:rFonts w:ascii="方正黑体_GBK" w:hAnsi="方正黑体_GBK" w:cs="宋体" w:eastAsia="方正黑体_GBK"/>
          <w:sz w:val="15"/>
          <w:szCs w:val="20"/>
        </w:rPr>
        <w:t>估值方法中列示的资产品种不代表管理人的实际投向，本理财产品拟投资范围以“投资范围”章节描述为准。</w:t>
      </w:r>
    </w:p>
    <w:p>
      <w:pPr>
        <w:pStyle w:val="null10"/>
        <w:spacing w:lineRule="exact" w:line="200"/>
        <w:ind w:firstLine="420"/>
      </w:pPr>
      <w:r>
        <w:rPr>
          <w:rFonts w:ascii="方正黑体_GBK" w:hAnsi="方正黑体_GBK" w:cs="宋体" w:eastAsia="方正黑体_GBK"/>
          <w:sz w:val="15"/>
          <w:szCs w:val="20"/>
        </w:rPr>
        <w:t>1.银行存款、回购等货币市场工具</w:t>
      </w:r>
    </w:p>
    <w:p>
      <w:pPr>
        <w:pStyle w:val="null10"/>
        <w:spacing w:lineRule="exact" w:line="200"/>
        <w:ind w:firstLine="420"/>
      </w:pPr>
      <w:r>
        <w:rPr>
          <w:rFonts w:ascii="方正黑体_GBK" w:hAnsi="方正黑体_GBK" w:cs="宋体" w:eastAsia="方正黑体_GBK"/>
          <w:sz w:val="15"/>
          <w:szCs w:val="20"/>
        </w:rPr>
        <w:t>以本金列示，逐日计提利息。</w:t>
      </w:r>
    </w:p>
    <w:p>
      <w:pPr>
        <w:pStyle w:val="null10"/>
        <w:spacing w:lineRule="exact" w:line="200"/>
        <w:ind w:firstLine="420"/>
      </w:pPr>
      <w:r>
        <w:rPr>
          <w:rFonts w:ascii="方正黑体_GBK" w:hAnsi="方正黑体_GBK" w:cs="宋体" w:eastAsia="方正黑体_GBK"/>
          <w:sz w:val="15"/>
          <w:szCs w:val="20"/>
        </w:rPr>
        <w:t>2.债券类资产</w:t>
      </w:r>
    </w:p>
    <w:p>
      <w:pPr>
        <w:pStyle w:val="null10"/>
        <w:spacing w:lineRule="exact" w:line="200"/>
        <w:ind w:firstLine="420"/>
      </w:pPr>
      <w:r>
        <w:rPr>
          <w:rFonts w:ascii="方正黑体_GBK" w:hAnsi="方正黑体_GBK" w:cs="宋体" w:eastAsia="方正黑体_GBK"/>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3.非标准化债权类资产</w:t>
      </w:r>
    </w:p>
    <w:p>
      <w:pPr>
        <w:pStyle w:val="null10"/>
        <w:spacing w:lineRule="exact" w:line="200"/>
        <w:ind w:firstLine="420"/>
      </w:pPr>
      <w:r>
        <w:rPr>
          <w:rFonts w:ascii="方正黑体_GBK" w:hAnsi="方正黑体_GBK" w:cs="宋体" w:eastAsia="方正黑体_GBK"/>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20"/>
      </w:pPr>
      <w:r>
        <w:rPr>
          <w:rFonts w:ascii="方正黑体_GBK" w:hAnsi="方正黑体_GBK" w:cs="宋体" w:eastAsia="方正黑体_GBK"/>
          <w:sz w:val="15"/>
          <w:szCs w:val="20"/>
        </w:rPr>
        <w:t>4.证券投资基金、资管计划、信托计划等资产</w:t>
      </w:r>
    </w:p>
    <w:p>
      <w:pPr>
        <w:pStyle w:val="null10"/>
        <w:spacing w:lineRule="exact" w:line="200"/>
        <w:ind w:firstLine="420"/>
      </w:pPr>
      <w:r>
        <w:rPr>
          <w:rFonts w:ascii="方正黑体_GBK" w:hAnsi="方正黑体_GBK" w:cs="宋体" w:eastAsia="方正黑体_GBK"/>
          <w:sz w:val="15"/>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20"/>
      </w:pPr>
      <w:r>
        <w:rPr>
          <w:rFonts w:ascii="方正黑体_GBK" w:hAnsi="方正黑体_GBK" w:cs="宋体" w:eastAsia="方正黑体_GBK"/>
          <w:sz w:val="15"/>
          <w:szCs w:val="20"/>
        </w:rPr>
        <w:t>5.股权类及其他资产</w:t>
      </w:r>
    </w:p>
    <w:p>
      <w:pPr>
        <w:pStyle w:val="null10"/>
        <w:spacing w:lineRule="exact" w:line="200"/>
        <w:ind w:firstLine="420"/>
      </w:pPr>
      <w:r>
        <w:rPr>
          <w:rFonts w:ascii="方正黑体_GBK" w:hAnsi="方正黑体_GBK" w:cs="宋体" w:eastAsia="方正黑体_GBK"/>
          <w:sz w:val="15"/>
          <w:szCs w:val="20"/>
        </w:rPr>
        <w:t>按照公允价值估值，优先采用市值法估值。</w:t>
      </w:r>
    </w:p>
    <w:p>
      <w:pPr>
        <w:pStyle w:val="null10"/>
        <w:spacing w:lineRule="exact" w:line="200"/>
        <w:ind w:firstLine="420"/>
      </w:pPr>
      <w:r>
        <w:rPr>
          <w:rFonts w:ascii="方正黑体_GBK" w:hAnsi="方正黑体_GBK" w:cs="宋体" w:eastAsia="方正黑体_GBK"/>
          <w:sz w:val="15"/>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33f7cf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33f7cf9"/>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33f7cf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按月</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33f7cf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33f7cf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33f7cf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33f7cf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33f7cf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33f7cf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33f7cf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33f7cf9"/>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33f7cf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33f7cf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bookmarkStart w:id="0" w:name="_GoBack"/>
      <w:bookmarkEnd w:id="0"/>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33f7cf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bookmarkStart w:id="0" w:name="_GoBack"/>
      <w:bookmarkEnd w:id="0"/>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33f7cf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33f7cf9"/>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定期开放式、固定收益类、公募、净值型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bookmarkStart w:id="0" w:name="_GoBack"/>
      <w:bookmarkEnd w:id="0"/>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Lucida Sans"/>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32a26e80">
    <w:name w:val="Normal32a26e8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0b72dd2">
    <w:name w:val="heading 140b72dd2"/>
    <w:basedOn w:val="32a26e8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4796c73">
    <w:name w:val="heading 244796c73"/>
    <w:basedOn w:val="32a26e8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c77ddd82">
    <w:name w:val="heading 3c77ddd82"/>
    <w:basedOn w:val="32a26e8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0666722">
    <w:name w:val="Default Paragraph Font30666722"/>
  </w:style>
  <w:style xmlns:r="http://schemas.openxmlformats.org/officeDocument/2006/relationships" w:type="paragraph" w:styleId="1a6edb58">
    <w:name w:val="toc 11a6edb58"/>
    <w:basedOn w:val="32a26e80"/>
    <w:autoRedefine/>
    <w:next w:val="0"/>
  </w:style>
  <w:style xmlns:r="http://schemas.openxmlformats.org/officeDocument/2006/relationships" w:type="paragraph" w:styleId="31cdefcf">
    <w:name w:val="toc 231cdefcf"/>
    <w:basedOn w:val="32a26e80"/>
    <w:autoRedefine/>
    <w:next w:val="0"/>
    <w:pPr>
      <w:ind w:left="420"/>
    </w:pPr>
  </w:style>
  <w:style xmlns:r="http://schemas.openxmlformats.org/officeDocument/2006/relationships" w:type="paragraph" w:styleId="8ba19016">
    <w:name w:val="toc 38ba19016"/>
    <w:basedOn w:val="32a26e80"/>
    <w:autoRedefine/>
    <w:next w:val="0"/>
    <w:pPr>
      <w:ind w:left="840"/>
    </w:pPr>
  </w:style>
  <w:style xmlns:r="http://schemas.openxmlformats.org/officeDocument/2006/relationships" w:type="paragraph" w:styleId="683b1cf1">
    <w:name w:val="toc 4683b1cf1"/>
    <w:basedOn w:val="32a26e80"/>
    <w:autoRedefine/>
    <w:next w:val="0"/>
    <w:pPr>
      <w:ind w:left="1260"/>
    </w:pPr>
  </w:style>
  <w:style xmlns:r="http://schemas.openxmlformats.org/officeDocument/2006/relationships" w:type="paragraph" w:styleId="a7d29436">
    <w:name w:val="toc 5a7d29436"/>
    <w:basedOn w:val="32a26e80"/>
    <w:autoRedefine/>
    <w:next w:val="0"/>
    <w:pPr>
      <w:ind w:left="1680"/>
    </w:pPr>
  </w:style>
  <w:style xmlns:r="http://schemas.openxmlformats.org/officeDocument/2006/relationships" w:type="paragraph" w:styleId="449871ea">
    <w:name w:val="header449871ea"/>
    <w:basedOn w:val="32a26e8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4361489">
    <w:name w:val="footere4361489"/>
    <w:basedOn w:val="32a26e80"/>
    <w:pPr>
      <w:tabs>
        <w:tab w:val="center" w:pos="4153"/>
        <w:tab w:val="right" w:pos="8307"/>
      </w:tabs>
      <w:adjustRightInd/>
      <w:snapToGrid w:val="0"/>
      <w:contextualSpacing w:val="0"/>
      <w:jc w:val="left"/>
    </w:pPr>
    <w:rPr>
      <w:sz w:val="18"/>
    </w:rPr>
  </w:style>
  <w:style xmlns:r="http://schemas.openxmlformats.org/officeDocument/2006/relationships" w:type="character" w:styleId="76374535">
    <w:name w:val="Strong76374535"/>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33f7cf9">
    <w:name w:val="Normalc33f7cf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fc948c10">
    <w:name w:val="heading 1fc948c10"/>
    <w:basedOn w:val="c33f7cf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853fcf71">
    <w:name w:val="heading 2853fcf71"/>
    <w:basedOn w:val="c33f7cf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667fdf5">
    <w:name w:val="heading 38667fdf5"/>
    <w:basedOn w:val="c33f7cf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19fe491">
    <w:name w:val="Default Paragraph Fontf19fe491"/>
  </w:style>
  <w:style xmlns:r="http://schemas.openxmlformats.org/officeDocument/2006/relationships" w:type="paragraph" w:styleId="211c2e2d">
    <w:name w:val="Normal Indent211c2e2d"/>
    <w:basedOn w:val="c33f7cf9"/>
    <w:pPr>
      <w:ind w:firstLineChars="200" w:firstLine="200"/>
    </w:pPr>
  </w:style>
  <w:style xmlns:r="http://schemas.openxmlformats.org/officeDocument/2006/relationships" w:type="paragraph" w:styleId="773c29ee">
    <w:name w:val="toc 5773c29ee"/>
    <w:basedOn w:val="c33f7cf9"/>
    <w:next w:val="0"/>
    <w:pPr>
      <w:ind w:left="1680"/>
    </w:pPr>
  </w:style>
  <w:style xmlns:r="http://schemas.openxmlformats.org/officeDocument/2006/relationships" w:type="paragraph" w:styleId="e6f5ba4f">
    <w:name w:val="toc 3e6f5ba4f"/>
    <w:basedOn w:val="c33f7cf9"/>
    <w:next w:val="0"/>
    <w:pPr>
      <w:ind w:left="840"/>
    </w:pPr>
  </w:style>
  <w:style xmlns:r="http://schemas.openxmlformats.org/officeDocument/2006/relationships" w:type="paragraph" w:styleId="424ec180">
    <w:name w:val="footer424ec180"/>
    <w:basedOn w:val="c33f7cf9"/>
    <w:pPr>
      <w:tabs>
        <w:tab w:val="center" w:pos="4153"/>
        <w:tab w:val="right" w:pos="8307"/>
      </w:tabs>
      <w:adjustRightInd/>
      <w:snapToGrid w:val="0"/>
      <w:contextualSpacing w:val="0"/>
      <w:jc w:val="left"/>
    </w:pPr>
    <w:rPr>
      <w:sz w:val="18"/>
    </w:rPr>
  </w:style>
  <w:style xmlns:r="http://schemas.openxmlformats.org/officeDocument/2006/relationships" w:type="paragraph" w:styleId="4039bffa">
    <w:name w:val="header4039bffa"/>
    <w:basedOn w:val="c33f7cf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1de1b41">
    <w:name w:val="toc 1c1de1b41"/>
    <w:basedOn w:val="c33f7cf9"/>
    <w:next w:val="0"/>
  </w:style>
  <w:style xmlns:r="http://schemas.openxmlformats.org/officeDocument/2006/relationships" w:type="paragraph" w:styleId="8de7db7f">
    <w:name w:val="toc 48de7db7f"/>
    <w:basedOn w:val="c33f7cf9"/>
    <w:next w:val="0"/>
    <w:pPr>
      <w:ind w:left="1260"/>
    </w:pPr>
  </w:style>
  <w:style xmlns:r="http://schemas.openxmlformats.org/officeDocument/2006/relationships" w:type="paragraph" w:styleId="b5258e1f">
    <w:name w:val="toc 2b5258e1f"/>
    <w:basedOn w:val="c33f7cf9"/>
    <w:next w:val="0"/>
    <w:pPr>
      <w:ind w:left="420"/>
    </w:pPr>
  </w:style>
  <w:style xmlns:r="http://schemas.openxmlformats.org/officeDocument/2006/relationships" w:type="paragraph" w:styleId="c9c4e2cf">
    <w:name w:val="Normal (Web)c9c4e2cf"/>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f8a6a0d">
    <w:name w:val="Normalbf8a6a0dbf8a6a0d"/>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e9f09a3">
    <w:name w:val="heading 1ae9f09a3ae9f09a3"/>
    <w:basedOn w:val="bf8a6a0d"/>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df1f3ac">
    <w:name w:val="heading 2bdf1f3acbdf1f3ac"/>
    <w:basedOn w:val="bf8a6a0d"/>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82c21f1">
    <w:name w:val="heading 3e82c21f1e82c21f1"/>
    <w:basedOn w:val="bf8a6a0d"/>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a43d3c8">
    <w:name w:val="Default Paragraph Fontaa43d3c8aa43d3c8"/>
  </w:style>
  <w:style xmlns:r="http://schemas.openxmlformats.org/officeDocument/2006/relationships" w:type="paragraph" w:customStyle="1" w:styleId="8cb3161a">
    <w:name w:val="引文目录18cb3161a8cb3161a"/>
    <w:basedOn w:val="bf8a6a0d"/>
    <w:next w:val="0"/>
    <w:pPr>
      <w:ind w:leftChars="200" w:left="200"/>
    </w:pPr>
  </w:style>
  <w:style xmlns:r="http://schemas.openxmlformats.org/officeDocument/2006/relationships" w:type="paragraph" w:styleId="7a5cb311">
    <w:name w:val="toc 57a5cb3117a5cb311"/>
    <w:basedOn w:val="bf8a6a0d"/>
    <w:next w:val="0"/>
    <w:pPr>
      <w:ind w:left="1680"/>
    </w:pPr>
  </w:style>
  <w:style xmlns:r="http://schemas.openxmlformats.org/officeDocument/2006/relationships" w:type="paragraph" w:styleId="212360e4">
    <w:name w:val="toc 3212360e4212360e4"/>
    <w:basedOn w:val="bf8a6a0d"/>
    <w:next w:val="0"/>
    <w:pPr>
      <w:ind w:left="840"/>
    </w:pPr>
  </w:style>
  <w:style xmlns:r="http://schemas.openxmlformats.org/officeDocument/2006/relationships" w:type="paragraph" w:styleId="56488e4f">
    <w:name w:val="footer56488e4f56488e4f"/>
    <w:basedOn w:val="bf8a6a0d"/>
    <w:pPr>
      <w:tabs>
        <w:tab w:val="center" w:pos="4153"/>
        <w:tab w:val="right" w:pos="8307"/>
      </w:tabs>
      <w:adjustRightInd/>
      <w:snapToGrid w:val="0"/>
      <w:contextualSpacing w:val="0"/>
      <w:jc w:val="left"/>
    </w:pPr>
    <w:rPr>
      <w:sz w:val="18"/>
    </w:rPr>
  </w:style>
  <w:style xmlns:r="http://schemas.openxmlformats.org/officeDocument/2006/relationships" w:type="paragraph" w:styleId="1f5cf771">
    <w:name w:val="header1f5cf7711f5cf771"/>
    <w:basedOn w:val="bf8a6a0d"/>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02cc0c25">
    <w:name w:val="toc 102cc0c2502cc0c25"/>
    <w:basedOn w:val="bf8a6a0d"/>
    <w:next w:val="0"/>
  </w:style>
  <w:style xmlns:r="http://schemas.openxmlformats.org/officeDocument/2006/relationships" w:type="paragraph" w:styleId="309ebca2">
    <w:name w:val="toc 4309ebca2309ebca2"/>
    <w:basedOn w:val="bf8a6a0d"/>
    <w:next w:val="0"/>
    <w:pPr>
      <w:ind w:left="1260"/>
    </w:pPr>
  </w:style>
  <w:style xmlns:r="http://schemas.openxmlformats.org/officeDocument/2006/relationships" w:type="paragraph" w:styleId="9e9dc974">
    <w:name w:val="toc 29e9dc9749e9dc974"/>
    <w:basedOn w:val="bf8a6a0d"/>
    <w:next w:val="0"/>
    <w:pPr>
      <w:ind w:left="420"/>
    </w:pPr>
  </w:style>
  <w:style xmlns:r="http://schemas.openxmlformats.org/officeDocument/2006/relationships" w:type="paragraph" w:customStyle="1" w:styleId="3ffdf362">
    <w:name w:val="列出段落13ffdf3623ffdf362"/>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81</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用户admin</cp:lastModifiedBy>
  <dcterms:modified xsi:type="dcterms:W3CDTF">2022-10-14T07:08:29Z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