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BF0891" w14:textId="77777777" w:rsidR="00D84C45" w:rsidRDefault="009C0719">
      <w:pPr>
        <w:spacing w:line="0" w:lineRule="atLeast"/>
        <w:jc w:val="center"/>
        <w:rPr>
          <w:b/>
          <w:bCs/>
          <w:kern w:val="0"/>
          <w:sz w:val="24"/>
          <w:szCs w:val="24"/>
        </w:rPr>
      </w:pPr>
      <w:r>
        <w:rPr>
          <w:rFonts w:hint="eastAsia"/>
          <w:b/>
          <w:bCs/>
          <w:kern w:val="0"/>
          <w:sz w:val="24"/>
          <w:szCs w:val="24"/>
        </w:rPr>
        <w:t>理财产品风险揭示书</w:t>
      </w:r>
    </w:p>
    <w:p w14:paraId="3AB8576D" w14:textId="77777777" w:rsidR="00D84C45" w:rsidRDefault="009C0719">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4CFEC5A4" w14:textId="77777777" w:rsidR="00D84C45" w:rsidRDefault="009C0719">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封闭式、固定收益类、公募、净值型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64F104A2" w14:textId="77777777" w:rsidR="00D84C45" w:rsidRDefault="009C0719">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0D4BB5D0" w14:textId="77777777" w:rsidR="00D84C45" w:rsidRDefault="009C0719">
      <w:pPr>
        <w:widowControl/>
        <w:spacing w:line="200" w:lineRule="exact"/>
        <w:ind w:firstLineChars="200" w:firstLine="261"/>
        <w:rPr>
          <w:color w:val="3D3D3D"/>
          <w:kern w:val="0"/>
          <w:sz w:val="13"/>
          <w:szCs w:val="13"/>
        </w:rPr>
      </w:pPr>
      <w:r>
        <w:rPr>
          <w:rFonts w:hint="eastAsia"/>
          <w:b/>
          <w:color w:val="3D3D3D"/>
          <w:kern w:val="0"/>
          <w:sz w:val="13"/>
          <w:szCs w:val="13"/>
        </w:rPr>
        <w:t>本风险揭示书列示的风险指理财产品项下可能涉及的风险，包括但不限于：</w:t>
      </w:r>
    </w:p>
    <w:p w14:paraId="2C8AA2D0" w14:textId="77777777" w:rsidR="00D84C45" w:rsidRDefault="009C0719">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5D94CC85"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3076E4AE"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5C2FC34C"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2F641D84"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2ECD21CD"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0E968EF1"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40F66262"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4729113C"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0D86F727"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0DC44A2B"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3E5E1389"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3A204649" w14:textId="77777777" w:rsidR="00D84C45" w:rsidRDefault="009C0719">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03353E5B" w14:textId="77777777" w:rsidR="00D84C45" w:rsidRDefault="009C0719">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2CA5E8C0" w14:textId="77777777" w:rsidR="00D84C45" w:rsidRDefault="009C0719">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73DED05C"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45EC5C9F"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（十三）税收风险：南银理财暂不负责代扣代缴投资者购买本理财产品所得收益应缴纳的各项税款。若相关税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14:paraId="17AA1BB4"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73F576FE"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2AE2EDBA"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w:t>
      </w:r>
      <w:r>
        <w:rPr>
          <w:rFonts w:hint="eastAsia"/>
          <w:color w:val="3D3D3D"/>
          <w:kern w:val="0"/>
          <w:sz w:val="13"/>
          <w:szCs w:val="13"/>
        </w:rPr>
        <w:lastRenderedPageBreak/>
        <w:t>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5EC6D15C" w14:textId="77777777" w:rsidR="00D84C45" w:rsidRDefault="009C0719">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0C5A99A1" w14:textId="77777777" w:rsidR="00D84C45" w:rsidRDefault="009C0719">
      <w:pPr>
        <w:widowControl/>
        <w:spacing w:line="200" w:lineRule="exact"/>
        <w:ind w:firstLine="260"/>
        <w:rPr>
          <w:sz w:val="20"/>
          <w:szCs w:val="20"/>
        </w:rPr>
      </w:pPr>
      <w:r>
        <w:rPr>
          <w:rFonts w:hint="eastAsia"/>
          <w:color w:val="3D3D3D"/>
          <w:kern w:val="0"/>
          <w:sz w:val="13"/>
          <w:szCs w:val="13"/>
        </w:rPr>
        <w:t>（十八）关联交易风险：在合法合规且履行应履行的内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0AC47BD9" w14:textId="77777777" w:rsidR="00D84C45" w:rsidRDefault="009C0719">
      <w:pPr>
        <w:pStyle w:val="Normalb5f06c09"/>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2ECFFCD0" w14:textId="77777777" w:rsidR="00D84C45" w:rsidRDefault="009C0719">
      <w:pPr>
        <w:spacing w:line="200" w:lineRule="exact"/>
      </w:pPr>
      <w:r>
        <w:rPr>
          <w:rFonts w:cs="宋体"/>
          <w:b/>
          <w:sz w:val="13"/>
          <w:szCs w:val="20"/>
        </w:rPr>
        <w:t xml:space="preserve">    1.</w:t>
      </w:r>
      <w:r>
        <w:rPr>
          <w:rFonts w:cs="宋体"/>
          <w:b/>
          <w:sz w:val="13"/>
          <w:szCs w:val="20"/>
        </w:rPr>
        <w:t>债券类资产投资风险</w:t>
      </w:r>
    </w:p>
    <w:p w14:paraId="7C228E40" w14:textId="77777777" w:rsidR="00D84C45" w:rsidRDefault="009C0719">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54B83385" w14:textId="77777777" w:rsidR="00D84C45" w:rsidRDefault="009C0719">
      <w:pPr>
        <w:spacing w:line="200" w:lineRule="exact"/>
      </w:pPr>
      <w:r>
        <w:rPr>
          <w:rFonts w:cs="宋体"/>
          <w:b/>
          <w:sz w:val="13"/>
          <w:szCs w:val="20"/>
        </w:rPr>
        <w:t xml:space="preserve">    2.</w:t>
      </w:r>
      <w:r>
        <w:rPr>
          <w:rFonts w:cs="宋体"/>
          <w:b/>
          <w:sz w:val="13"/>
          <w:szCs w:val="20"/>
        </w:rPr>
        <w:t>非标准化债权类资产投资风险</w:t>
      </w:r>
    </w:p>
    <w:p w14:paraId="399D6256" w14:textId="77777777" w:rsidR="00D84C45" w:rsidRDefault="009C0719">
      <w:pPr>
        <w:spacing w:line="200" w:lineRule="exact"/>
      </w:pPr>
      <w:r>
        <w:rPr>
          <w:rFonts w:cs="宋体"/>
          <w:b/>
          <w:sz w:val="13"/>
          <w:szCs w:val="20"/>
        </w:rPr>
        <w:t xml:space="preserve">    </w:t>
      </w:r>
      <w:r>
        <w:rPr>
          <w:rFonts w:cs="宋体"/>
          <w:b/>
          <w:sz w:val="13"/>
          <w:szCs w:val="20"/>
        </w:rPr>
        <w:t>本理财产品投资于非标准化债权类资产，融资方</w:t>
      </w:r>
      <w:r>
        <w:rPr>
          <w:rFonts w:cs="宋体"/>
          <w:b/>
          <w:sz w:val="13"/>
          <w:szCs w:val="20"/>
        </w:rPr>
        <w:t>/</w:t>
      </w:r>
      <w:r>
        <w:rPr>
          <w:rFonts w:cs="宋体"/>
          <w:b/>
          <w:sz w:val="13"/>
          <w:szCs w:val="20"/>
        </w:rPr>
        <w:t>义务人由于还款履约能力发生变化等原因，可能无法偿还或存在逾期偿还相关融资本金利息，或无法履行相关合同约定的其他义务，或者因融资方</w:t>
      </w:r>
      <w:r>
        <w:rPr>
          <w:rFonts w:cs="宋体"/>
          <w:b/>
          <w:sz w:val="13"/>
          <w:szCs w:val="20"/>
        </w:rPr>
        <w:t>/</w:t>
      </w:r>
      <w:r>
        <w:rPr>
          <w:rFonts w:cs="宋体"/>
          <w:b/>
          <w:sz w:val="13"/>
          <w:szCs w:val="20"/>
        </w:rPr>
        <w:t>义务人按照相关合同的约定申请提前</w:t>
      </w:r>
      <w:r>
        <w:rPr>
          <w:rFonts w:cs="宋体"/>
          <w:b/>
          <w:sz w:val="13"/>
          <w:szCs w:val="20"/>
        </w:rPr>
        <w:t>/</w:t>
      </w:r>
      <w:r>
        <w:rPr>
          <w:rFonts w:cs="宋体"/>
          <w:b/>
          <w:sz w:val="13"/>
          <w:szCs w:val="20"/>
        </w:rPr>
        <w:t>立即偿还款项或者融资方</w:t>
      </w:r>
      <w:r>
        <w:rPr>
          <w:rFonts w:cs="宋体"/>
          <w:b/>
          <w:sz w:val="13"/>
          <w:szCs w:val="20"/>
        </w:rPr>
        <w:t>/</w:t>
      </w:r>
      <w:r>
        <w:rPr>
          <w:rFonts w:cs="宋体"/>
          <w:b/>
          <w:sz w:val="13"/>
          <w:szCs w:val="20"/>
        </w:rPr>
        <w:t>义务人发生相关合同约定的违约情形，或者由于市场、政策等不可控因素可能导致相关债权被宣布提前</w:t>
      </w:r>
      <w:r>
        <w:rPr>
          <w:rFonts w:cs="宋体"/>
          <w:b/>
          <w:sz w:val="13"/>
          <w:szCs w:val="20"/>
        </w:rPr>
        <w:t>/</w:t>
      </w:r>
      <w:r>
        <w:rPr>
          <w:rFonts w:cs="宋体"/>
          <w:b/>
          <w:sz w:val="13"/>
          <w:szCs w:val="20"/>
        </w:rPr>
        <w:t>立即到期，或者因发生相关合同约定的情形导致相关债权延期；或者因相关合同约定的原状分配发生后所分配的财产无法及时进行变现等原因造成无法按计划进行投资本金、收益分配，非标准化债权类资产</w:t>
      </w:r>
      <w:r>
        <w:rPr>
          <w:rFonts w:cs="宋体"/>
          <w:b/>
          <w:sz w:val="13"/>
          <w:szCs w:val="20"/>
        </w:rPr>
        <w:t>受到包括但不限于上述因素影响时，可能影响投资者收益，甚至使产品本金遭受损失。</w:t>
      </w:r>
    </w:p>
    <w:p w14:paraId="65D26218" w14:textId="77777777" w:rsidR="00D84C45" w:rsidRDefault="009C0719">
      <w:pPr>
        <w:spacing w:line="200" w:lineRule="exact"/>
      </w:pPr>
      <w:r>
        <w:rPr>
          <w:rFonts w:cs="宋体"/>
          <w:b/>
          <w:sz w:val="13"/>
          <w:szCs w:val="20"/>
        </w:rPr>
        <w:t xml:space="preserve">    3.</w:t>
      </w:r>
      <w:r>
        <w:rPr>
          <w:rFonts w:cs="宋体"/>
          <w:b/>
          <w:sz w:val="13"/>
          <w:szCs w:val="20"/>
        </w:rPr>
        <w:t>资产管理产品投资风险</w:t>
      </w:r>
    </w:p>
    <w:p w14:paraId="530A1F4A" w14:textId="77777777" w:rsidR="00D84C45" w:rsidRDefault="009C0719">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w:t>
      </w:r>
      <w:r>
        <w:rPr>
          <w:rFonts w:cs="宋体"/>
          <w:b/>
          <w:sz w:val="13"/>
          <w:szCs w:val="20"/>
        </w:rPr>
        <w:t>所投资资产管理产品的相关受托人</w:t>
      </w:r>
      <w:r>
        <w:rPr>
          <w:rFonts w:cs="宋体"/>
          <w:b/>
          <w:sz w:val="13"/>
          <w:szCs w:val="20"/>
        </w:rPr>
        <w:t>/</w:t>
      </w:r>
      <w:r>
        <w:rPr>
          <w:rFonts w:cs="宋体"/>
          <w:b/>
          <w:sz w:val="13"/>
          <w:szCs w:val="20"/>
        </w:rPr>
        <w:t>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14:paraId="465F3B4A" w14:textId="77777777" w:rsidR="00D84C45" w:rsidRDefault="009C0719">
      <w:pPr>
        <w:spacing w:line="200" w:lineRule="exact"/>
      </w:pPr>
      <w:r>
        <w:rPr>
          <w:rFonts w:cs="宋体"/>
          <w:b/>
          <w:sz w:val="13"/>
          <w:szCs w:val="20"/>
        </w:rPr>
        <w:t xml:space="preserve">    4.</w:t>
      </w:r>
      <w:r>
        <w:rPr>
          <w:rFonts w:cs="宋体"/>
          <w:b/>
          <w:sz w:val="13"/>
          <w:szCs w:val="20"/>
        </w:rPr>
        <w:t>非标准化债权类资产无法投资的风险</w:t>
      </w:r>
    </w:p>
    <w:p w14:paraId="4E7264D1" w14:textId="77777777" w:rsidR="00D84C45" w:rsidRDefault="009C0719">
      <w:pPr>
        <w:spacing w:line="200" w:lineRule="exact"/>
      </w:pPr>
      <w:r>
        <w:rPr>
          <w:rFonts w:cs="宋体"/>
          <w:b/>
          <w:sz w:val="13"/>
          <w:szCs w:val="20"/>
        </w:rPr>
        <w:t xml:space="preserve">    </w:t>
      </w:r>
      <w:r>
        <w:rPr>
          <w:rFonts w:cs="宋体"/>
          <w:b/>
          <w:sz w:val="13"/>
          <w:szCs w:val="20"/>
        </w:rPr>
        <w:t>若受到市场影响出现融资人临时变更融资要素（如取消该笔资产发行或改变资产的发行时间、资产收益等要素）导致本理财产品无法投资对应资产时，为最大程度保障投资者权益，管理人有权采取如</w:t>
      </w:r>
      <w:r>
        <w:rPr>
          <w:rFonts w:cs="宋体"/>
          <w:b/>
          <w:sz w:val="13"/>
          <w:szCs w:val="20"/>
        </w:rPr>
        <w:t>下措施：</w:t>
      </w:r>
      <w:r>
        <w:br/>
      </w:r>
      <w:r>
        <w:rPr>
          <w:rFonts w:cs="宋体"/>
          <w:b/>
          <w:sz w:val="13"/>
          <w:szCs w:val="20"/>
        </w:rPr>
        <w:t xml:space="preserve">    </w:t>
      </w:r>
      <w:r>
        <w:rPr>
          <w:rFonts w:cs="宋体"/>
          <w:b/>
          <w:sz w:val="13"/>
          <w:szCs w:val="20"/>
        </w:rPr>
        <w:t>（</w:t>
      </w:r>
      <w:r>
        <w:rPr>
          <w:rFonts w:cs="宋体"/>
          <w:b/>
          <w:sz w:val="13"/>
          <w:szCs w:val="20"/>
        </w:rPr>
        <w:t>1</w:t>
      </w:r>
      <w:r>
        <w:rPr>
          <w:rFonts w:cs="宋体"/>
          <w:b/>
          <w:sz w:val="13"/>
          <w:szCs w:val="20"/>
        </w:rPr>
        <w:t>）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br/>
      </w:r>
      <w:r>
        <w:rPr>
          <w:rFonts w:cs="宋体"/>
          <w:b/>
          <w:sz w:val="13"/>
          <w:szCs w:val="20"/>
        </w:rPr>
        <w:t xml:space="preserve">    </w:t>
      </w:r>
      <w:r>
        <w:rPr>
          <w:rFonts w:cs="宋体"/>
          <w:b/>
          <w:sz w:val="13"/>
          <w:szCs w:val="20"/>
        </w:rPr>
        <w:t>（</w:t>
      </w:r>
      <w:r>
        <w:rPr>
          <w:rFonts w:cs="宋体"/>
          <w:b/>
          <w:sz w:val="13"/>
          <w:szCs w:val="20"/>
        </w:rPr>
        <w:t>2</w:t>
      </w:r>
      <w:r>
        <w:rPr>
          <w:rFonts w:cs="宋体"/>
          <w:b/>
          <w:sz w:val="13"/>
          <w:szCs w:val="20"/>
        </w:rPr>
        <w:t>）若本理财产品已成立，则管理人有权提前终止本理财产品，自产品成立至提前终止日期间不计任何收益。</w:t>
      </w:r>
    </w:p>
    <w:p w14:paraId="15928516" w14:textId="77777777" w:rsidR="00D84C45" w:rsidRDefault="009C0719">
      <w:pPr>
        <w:pStyle w:val="Normalb5f06c09"/>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类型：封闭式、固定收益类、公募、净值型。</w:t>
      </w:r>
    </w:p>
    <w:p w14:paraId="31086AB2" w14:textId="77777777" w:rsidR="00D84C45" w:rsidRDefault="009C0719">
      <w:pPr>
        <w:pStyle w:val="Normalb5f06c09"/>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399</w:t>
      </w:r>
      <w:r>
        <w:rPr>
          <w:rFonts w:hint="eastAsia"/>
          <w:b/>
          <w:bCs/>
          <w:color w:val="3D3D3D"/>
          <w:kern w:val="0"/>
          <w:sz w:val="13"/>
          <w:szCs w:val="13"/>
        </w:rPr>
        <w:t>天</w:t>
      </w:r>
      <w:r>
        <w:rPr>
          <w:rFonts w:hint="eastAsia"/>
          <w:b/>
          <w:color w:val="3D3D3D"/>
          <w:kern w:val="0"/>
          <w:sz w:val="13"/>
          <w:szCs w:val="13"/>
        </w:rPr>
        <w:t>。</w:t>
      </w:r>
    </w:p>
    <w:p w14:paraId="2AF1F001" w14:textId="77777777" w:rsidR="00D84C45" w:rsidRDefault="009C0719">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1E9118D4" w14:textId="77777777" w:rsidR="00D84C45" w:rsidRDefault="009C0719">
      <w:pPr>
        <w:pStyle w:val="annotationtext23"/>
        <w:spacing w:line="200" w:lineRule="exact"/>
        <w:ind w:firstLineChars="200" w:firstLine="261"/>
        <w:rPr>
          <w:color w:val="3D3D3D"/>
          <w:kern w:val="0"/>
          <w:sz w:val="13"/>
          <w:szCs w:val="13"/>
        </w:rPr>
      </w:pPr>
      <w:r>
        <w:rPr>
          <w:rFonts w:hint="eastAsia"/>
          <w:b/>
          <w:bCs/>
          <w:color w:val="3D3D3D"/>
          <w:kern w:val="0"/>
          <w:sz w:val="13"/>
          <w:szCs w:val="13"/>
        </w:rPr>
        <w:t>本风险等级为南银理财风险评级结果，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3F7234EA" w14:textId="77777777" w:rsidR="00D84C45" w:rsidRDefault="009C0719">
      <w:pPr>
        <w:pStyle w:val="Normalb5f06c09"/>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1B64BBD1" w14:textId="77777777" w:rsidR="00D84C45" w:rsidRDefault="009C0719">
      <w:pPr>
        <w:pStyle w:val="Normalb5f06c09"/>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。如影响您风险承受能力的因素发生变化，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02860D5B" w14:textId="77777777" w:rsidR="00D84C45" w:rsidRDefault="009C0719">
      <w:pPr>
        <w:pStyle w:val="Normalb5f06c09"/>
        <w:widowControl/>
        <w:spacing w:line="200" w:lineRule="exact"/>
        <w:ind w:firstLine="260"/>
      </w:pPr>
      <w:r>
        <w:rPr>
          <w:rFonts w:hint="eastAsia"/>
          <w:b/>
          <w:bCs/>
          <w:color w:val="3D3D3D"/>
          <w:kern w:val="0"/>
          <w:sz w:val="13"/>
          <w:szCs w:val="13"/>
        </w:rPr>
        <w:t>最不</w:t>
      </w:r>
      <w:r>
        <w:rPr>
          <w:rFonts w:hint="eastAsia"/>
          <w:b/>
          <w:bCs/>
          <w:color w:val="3D3D3D"/>
          <w:kern w:val="0"/>
          <w:sz w:val="13"/>
          <w:szCs w:val="13"/>
        </w:rPr>
        <w:t>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6BBB1A06" w14:textId="77777777" w:rsidR="00D84C45" w:rsidRDefault="009C0719">
      <w:pPr>
        <w:pStyle w:val="Normalb5f06c09"/>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03E23A58" w14:textId="77777777" w:rsidR="00D84C45" w:rsidRDefault="00D84C45">
      <w:pPr>
        <w:pStyle w:val="Normalb5f06c09"/>
        <w:widowControl/>
        <w:spacing w:line="200" w:lineRule="exact"/>
        <w:ind w:firstLine="260"/>
        <w:rPr>
          <w:b/>
          <w:color w:val="3D3D3D"/>
          <w:kern w:val="0"/>
          <w:sz w:val="13"/>
          <w:szCs w:val="13"/>
        </w:rPr>
      </w:pPr>
    </w:p>
    <w:p w14:paraId="18E4E437" w14:textId="77777777" w:rsidR="00D84C45" w:rsidRDefault="009C0719">
      <w:pPr>
        <w:pStyle w:val="Normalb5f06c09"/>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2013C5D5" w14:textId="77777777" w:rsidR="00D84C45" w:rsidRDefault="00D84C45">
      <w:pPr>
        <w:pStyle w:val="Normalb5f06c09"/>
        <w:widowControl/>
        <w:spacing w:line="200" w:lineRule="exact"/>
        <w:ind w:firstLine="260"/>
        <w:jc w:val="center"/>
        <w:rPr>
          <w:b/>
          <w:color w:val="3D3D3D"/>
          <w:kern w:val="0"/>
          <w:sz w:val="15"/>
          <w:szCs w:val="15"/>
          <w:u w:val="single"/>
        </w:rPr>
      </w:pPr>
    </w:p>
    <w:p w14:paraId="31994A88" w14:textId="77777777" w:rsidR="00D84C45" w:rsidRDefault="009C0719">
      <w:pPr>
        <w:pStyle w:val="Normalb5f06c09"/>
        <w:widowControl/>
        <w:spacing w:line="200" w:lineRule="exact"/>
        <w:ind w:firstLine="260"/>
        <w:jc w:val="left"/>
        <w:rPr>
          <w:b/>
          <w:color w:val="3D3D3D"/>
          <w:kern w:val="0"/>
          <w:sz w:val="15"/>
          <w:szCs w:val="15"/>
          <w:u w:val="single"/>
        </w:rPr>
      </w:pPr>
      <w:r>
        <w:rPr>
          <w:rFonts w:hint="eastAsia"/>
          <w:b/>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hint="eastAsia"/>
          <w:b/>
          <w:color w:val="3D3D3D"/>
          <w:kern w:val="0"/>
          <w:sz w:val="15"/>
          <w:szCs w:val="15"/>
          <w:u w:val="single"/>
        </w:rPr>
        <w:t>本风险揭示书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60CD0830" w14:textId="77777777" w:rsidR="00D84C45" w:rsidRDefault="009C0719">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34C00FE6" w14:textId="77777777" w:rsidR="00D84C45" w:rsidRDefault="009C0719">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472ECB10" w14:textId="77777777" w:rsidR="00D84C45" w:rsidRDefault="009C0719">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确认，将向本理财产品销售机构真实提供信息，自主作出认购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w:t>
      </w:r>
      <w:r>
        <w:rPr>
          <w:rFonts w:hint="eastAsia"/>
          <w:b/>
          <w:bCs/>
          <w:color w:val="3D3D3D"/>
          <w:kern w:val="0"/>
          <w:sz w:val="15"/>
          <w:szCs w:val="15"/>
          <w:u w:val="single"/>
        </w:rPr>
        <w:t>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6930FCDA" w14:textId="77777777" w:rsidR="00D84C45" w:rsidRDefault="009C0719">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本投资者确认，投资本理财产品的资金非贷款、发行债券等募集的非自有资金。</w:t>
      </w:r>
    </w:p>
    <w:p w14:paraId="17612172" w14:textId="77777777" w:rsidR="00D84C45" w:rsidRDefault="009C0719">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044CDB9F" w14:textId="77777777" w:rsidR="00D84C45" w:rsidRDefault="009C0719">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本投资者已认真阅读并充分理解本风险揭示书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13922800" w14:textId="77777777" w:rsidR="00D84C45" w:rsidRDefault="009C0719">
      <w:pPr>
        <w:widowControl/>
        <w:spacing w:line="200" w:lineRule="exact"/>
        <w:ind w:firstLine="420"/>
        <w:rPr>
          <w:b/>
          <w:color w:val="3D3D3D"/>
          <w:kern w:val="0"/>
          <w:sz w:val="15"/>
          <w:szCs w:val="15"/>
          <w:u w:val="single"/>
        </w:rPr>
      </w:pPr>
      <w:r>
        <w:rPr>
          <w:rFonts w:hint="eastAsia"/>
          <w:b/>
          <w:color w:val="3D3D3D"/>
          <w:kern w:val="0"/>
          <w:sz w:val="15"/>
          <w:szCs w:val="15"/>
        </w:rPr>
        <w:lastRenderedPageBreak/>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w:t>
      </w:r>
      <w:r>
        <w:rPr>
          <w:rFonts w:hint="eastAsia"/>
          <w:b/>
          <w:color w:val="3D3D3D"/>
          <w:kern w:val="0"/>
          <w:sz w:val="15"/>
          <w:szCs w:val="15"/>
          <w:u w:val="single"/>
        </w:rPr>
        <w:t>谨慎作出本次投资决策，并未依赖于南银理财和销售机构在理财产品销售文件之外的任何陈述、说明、文件或承诺，南银理财和销售机构的义务和责任以理财产品销售文件明确记载的书面内容为准。</w:t>
      </w:r>
    </w:p>
    <w:p w14:paraId="6915352E" w14:textId="77777777" w:rsidR="00D84C45" w:rsidRDefault="009C0719">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6DA613DA" w14:textId="77777777" w:rsidR="00D84C45" w:rsidRDefault="009C0719">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175492DA" w14:textId="77777777" w:rsidR="00D84C45" w:rsidRDefault="009C0719">
      <w:pPr>
        <w:widowControl/>
        <w:spacing w:line="200" w:lineRule="exact"/>
        <w:ind w:firstLine="210"/>
        <w:rPr>
          <w:color w:val="3D3D3D"/>
          <w:kern w:val="0"/>
          <w:sz w:val="15"/>
          <w:szCs w:val="15"/>
        </w:rPr>
      </w:pPr>
      <w:r>
        <w:rPr>
          <w:rFonts w:hint="eastAsia"/>
          <w:color w:val="3D3D3D"/>
          <w:kern w:val="0"/>
          <w:sz w:val="15"/>
          <w:szCs w:val="15"/>
        </w:rPr>
        <w:t xml:space="preserve">         </w:t>
      </w:r>
    </w:p>
    <w:p w14:paraId="22926407" w14:textId="77777777" w:rsidR="00D84C45" w:rsidRDefault="00D84C45">
      <w:pPr>
        <w:widowControl/>
        <w:spacing w:line="200" w:lineRule="exact"/>
        <w:ind w:firstLine="210"/>
        <w:rPr>
          <w:color w:val="3D3D3D"/>
          <w:kern w:val="0"/>
          <w:sz w:val="15"/>
          <w:szCs w:val="15"/>
        </w:rPr>
      </w:pPr>
    </w:p>
    <w:p w14:paraId="6514282C" w14:textId="77777777" w:rsidR="00D84C45" w:rsidRDefault="009C0719">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515612B3" w14:textId="77777777" w:rsidR="00D84C45" w:rsidRDefault="00D84C45">
      <w:pPr>
        <w:widowControl/>
        <w:spacing w:line="200" w:lineRule="exact"/>
        <w:ind w:firstLine="210"/>
        <w:rPr>
          <w:color w:val="3D3D3D"/>
          <w:kern w:val="0"/>
          <w:sz w:val="13"/>
          <w:szCs w:val="13"/>
        </w:rPr>
      </w:pPr>
    </w:p>
    <w:p w14:paraId="6E183A63" w14:textId="77777777" w:rsidR="00D84C45" w:rsidRDefault="00D84C45">
      <w:pPr>
        <w:widowControl/>
        <w:spacing w:line="200" w:lineRule="exact"/>
        <w:ind w:firstLine="210"/>
        <w:jc w:val="left"/>
        <w:rPr>
          <w:color w:val="3D3D3D"/>
          <w:kern w:val="0"/>
          <w:sz w:val="13"/>
          <w:szCs w:val="13"/>
        </w:rPr>
      </w:pPr>
    </w:p>
    <w:p w14:paraId="3284CE3E" w14:textId="77777777" w:rsidR="00D84C45" w:rsidRDefault="00D84C45">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D84C45" w14:paraId="23835757"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BE8F81E" w14:textId="77777777" w:rsidR="00D84C45" w:rsidRDefault="009C0719">
            <w:pPr>
              <w:widowControl/>
              <w:spacing w:line="400" w:lineRule="exact"/>
              <w:jc w:val="center"/>
              <w:rPr>
                <w:b/>
                <w:sz w:val="15"/>
                <w:szCs w:val="15"/>
              </w:rPr>
            </w:pPr>
            <w:r>
              <w:rPr>
                <w:rFonts w:hint="eastAsia"/>
                <w:b/>
                <w:sz w:val="15"/>
                <w:szCs w:val="15"/>
              </w:rPr>
              <w:t>个人投资者</w:t>
            </w:r>
          </w:p>
        </w:tc>
      </w:tr>
      <w:tr w:rsidR="00D84C45" w14:paraId="218AE28F"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00BA602D" w14:textId="77777777" w:rsidR="00D84C45" w:rsidRDefault="009C0719">
            <w:pPr>
              <w:widowControl/>
              <w:spacing w:line="360" w:lineRule="auto"/>
              <w:rPr>
                <w:color w:val="3D3D3D"/>
                <w:kern w:val="0"/>
                <w:sz w:val="13"/>
                <w:szCs w:val="13"/>
              </w:rPr>
            </w:pPr>
            <w:r>
              <w:rPr>
                <w:rFonts w:hint="eastAsia"/>
                <w:sz w:val="15"/>
                <w:szCs w:val="15"/>
              </w:rPr>
              <w:t>签名：</w:t>
            </w:r>
          </w:p>
          <w:p w14:paraId="09086156" w14:textId="77777777" w:rsidR="00D84C45" w:rsidRDefault="009C0719">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84C45" w14:paraId="049AC2D9"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68223D69" w14:textId="77777777" w:rsidR="00D84C45" w:rsidRDefault="009C0719">
            <w:pPr>
              <w:widowControl/>
              <w:spacing w:line="400" w:lineRule="exact"/>
              <w:jc w:val="center"/>
              <w:rPr>
                <w:sz w:val="15"/>
                <w:szCs w:val="15"/>
              </w:rPr>
            </w:pPr>
            <w:r>
              <w:rPr>
                <w:rFonts w:hint="eastAsia"/>
                <w:b/>
                <w:bCs/>
                <w:color w:val="3D3D3D"/>
                <w:kern w:val="0"/>
                <w:sz w:val="15"/>
                <w:szCs w:val="15"/>
              </w:rPr>
              <w:t>机构投资者</w:t>
            </w:r>
          </w:p>
        </w:tc>
      </w:tr>
      <w:tr w:rsidR="00D84C45" w14:paraId="6CC345B1"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031A499" w14:textId="77777777" w:rsidR="00D84C45" w:rsidRDefault="00D84C45">
            <w:pPr>
              <w:widowControl/>
              <w:spacing w:line="200" w:lineRule="exact"/>
              <w:jc w:val="left"/>
              <w:rPr>
                <w:b/>
                <w:bCs/>
                <w:color w:val="3D3D3D"/>
                <w:kern w:val="0"/>
                <w:sz w:val="15"/>
                <w:szCs w:val="15"/>
              </w:rPr>
            </w:pPr>
          </w:p>
          <w:p w14:paraId="4B844A0A" w14:textId="77777777" w:rsidR="00D84C45" w:rsidRDefault="009C0719">
            <w:pPr>
              <w:widowControl/>
              <w:spacing w:line="200" w:lineRule="exact"/>
              <w:jc w:val="left"/>
              <w:rPr>
                <w:b/>
                <w:bCs/>
                <w:color w:val="3D3D3D"/>
                <w:kern w:val="0"/>
                <w:sz w:val="15"/>
                <w:szCs w:val="15"/>
              </w:rPr>
            </w:pPr>
            <w:r>
              <w:rPr>
                <w:rFonts w:hint="eastAsia"/>
                <w:b/>
                <w:bCs/>
                <w:color w:val="3D3D3D"/>
                <w:kern w:val="0"/>
                <w:sz w:val="15"/>
                <w:szCs w:val="15"/>
              </w:rPr>
              <w:t>盖章（公章）</w:t>
            </w:r>
          </w:p>
          <w:p w14:paraId="2D192DE9" w14:textId="77777777" w:rsidR="00D84C45" w:rsidRDefault="00D84C45">
            <w:pPr>
              <w:widowControl/>
              <w:spacing w:line="200" w:lineRule="exact"/>
              <w:jc w:val="left"/>
              <w:rPr>
                <w:b/>
                <w:bCs/>
                <w:color w:val="3D3D3D"/>
                <w:kern w:val="0"/>
                <w:sz w:val="15"/>
                <w:szCs w:val="15"/>
              </w:rPr>
            </w:pPr>
          </w:p>
          <w:p w14:paraId="3A031A0A" w14:textId="77777777" w:rsidR="00D84C45" w:rsidRDefault="009C0719">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240AB5AB" w14:textId="77777777" w:rsidR="00D84C45" w:rsidRDefault="00D84C45">
            <w:pPr>
              <w:widowControl/>
              <w:spacing w:line="200" w:lineRule="exact"/>
              <w:jc w:val="left"/>
              <w:rPr>
                <w:color w:val="3D3D3D"/>
                <w:kern w:val="0"/>
                <w:sz w:val="13"/>
                <w:szCs w:val="13"/>
              </w:rPr>
            </w:pPr>
          </w:p>
          <w:p w14:paraId="49E83843" w14:textId="77777777" w:rsidR="00D84C45" w:rsidRDefault="009C0719">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D84C45" w14:paraId="5FCD4B2E"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A5591F6" w14:textId="77777777" w:rsidR="00D84C45" w:rsidRDefault="009C0719">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D84C45" w14:paraId="1DC03402"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61CA021E" w14:textId="77777777" w:rsidR="00D84C45" w:rsidRDefault="009C0719">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r>
              <w:rPr>
                <w:rFonts w:hint="eastAsia"/>
                <w:spacing w:val="10"/>
                <w:sz w:val="15"/>
                <w:szCs w:val="15"/>
              </w:rPr>
              <w:t>本风险揭示书以数据电文形式订立，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构成有效证明投资者与南银理财双方之间权利义务关系的确定证据，投资者无条件认可电子数据的有效性和证据效力。</w:t>
            </w:r>
          </w:p>
        </w:tc>
      </w:tr>
    </w:tbl>
    <w:p w14:paraId="7197F4E9" w14:textId="2FBC2918" w:rsidR="00D84C45" w:rsidRDefault="00D84C45" w:rsidP="009C0719"/>
    <w:sectPr w:rsidR="00D84C45">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1CB129A" w14:textId="77777777" w:rsidR="00000000" w:rsidRDefault="009C0719">
      <w:r>
        <w:separator/>
      </w:r>
    </w:p>
  </w:endnote>
  <w:endnote w:type="continuationSeparator" w:id="0">
    <w:p w14:paraId="0742265B" w14:textId="77777777" w:rsidR="00000000" w:rsidRDefault="009C07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charset w:val="86"/>
    <w:family w:val="auto"/>
    <w:pitch w:val="default"/>
    <w:sig w:usb0="00000001" w:usb1="080E0000" w:usb2="00000000" w:usb3="00000000" w:csb0="00040000" w:csb1="00000000"/>
  </w:font>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8AFC9F" w14:textId="77777777" w:rsidR="00000000" w:rsidRDefault="009C0719">
      <w:r>
        <w:separator/>
      </w:r>
    </w:p>
  </w:footnote>
  <w:footnote w:type="continuationSeparator" w:id="0">
    <w:p w14:paraId="6B0914DE" w14:textId="77777777" w:rsidR="00000000" w:rsidRDefault="009C071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D374AF" w14:textId="77777777" w:rsidR="00D84C45" w:rsidRDefault="009C0719">
    <w:pPr>
      <w:pStyle w:val="a3"/>
      <w:jc w:val="right"/>
    </w:pPr>
    <w:r>
      <w:t>南银理财理财产品销售文件（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227D47"/>
    <w:multiLevelType w:val="multilevel"/>
    <w:tmpl w:val="B8066C32"/>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19A328E7"/>
    <w:multiLevelType w:val="multilevel"/>
    <w:tmpl w:val="9CF88064"/>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706E68EB"/>
    <w:multiLevelType w:val="hybridMultilevel"/>
    <w:tmpl w:val="B3542092"/>
    <w:lvl w:ilvl="0" w:tplc="0534F2D0">
      <w:start w:val="1"/>
      <w:numFmt w:val="decimal"/>
      <w:lvlRestart w:val="0"/>
      <w:lvlText w:val="%1."/>
      <w:lvlJc w:val="left"/>
      <w:pPr>
        <w:tabs>
          <w:tab w:val="num" w:pos="0"/>
        </w:tabs>
        <w:ind w:left="660" w:hanging="360"/>
      </w:pPr>
      <w:rPr>
        <w:rFonts w:ascii="方正黑体_GBK" w:eastAsia="方正黑体_GBK" w:hAnsi="方正黑体_GBK" w:hint="default"/>
      </w:rPr>
    </w:lvl>
    <w:lvl w:ilvl="1" w:tplc="BD24B974">
      <w:start w:val="1"/>
      <w:numFmt w:val="lowerLetter"/>
      <w:lvlText w:val="%2)"/>
      <w:lvlJc w:val="left"/>
      <w:pPr>
        <w:tabs>
          <w:tab w:val="num" w:pos="0"/>
        </w:tabs>
        <w:ind w:left="1140" w:hanging="420"/>
      </w:pPr>
      <w:rPr>
        <w:rFonts w:ascii="方正黑体_GBK" w:eastAsia="方正黑体_GBK" w:hAnsi="方正黑体_GBK" w:hint="default"/>
      </w:rPr>
    </w:lvl>
    <w:lvl w:ilvl="2" w:tplc="3EFA7716">
      <w:start w:val="1"/>
      <w:numFmt w:val="decimal"/>
      <w:lvlText w:val="%3."/>
      <w:lvlJc w:val="right"/>
      <w:pPr>
        <w:tabs>
          <w:tab w:val="num" w:pos="0"/>
        </w:tabs>
        <w:ind w:left="1560" w:hanging="420"/>
      </w:pPr>
      <w:rPr>
        <w:rFonts w:ascii="方正黑体_GBK" w:eastAsia="方正黑体_GBK" w:hAnsi="方正黑体_GBK" w:hint="default"/>
      </w:rPr>
    </w:lvl>
    <w:lvl w:ilvl="3" w:tplc="299EE44C">
      <w:start w:val="1"/>
      <w:numFmt w:val="decimal"/>
      <w:lvlText w:val="%4."/>
      <w:lvlJc w:val="left"/>
      <w:pPr>
        <w:tabs>
          <w:tab w:val="num" w:pos="0"/>
        </w:tabs>
        <w:ind w:left="1980" w:hanging="420"/>
      </w:pPr>
      <w:rPr>
        <w:rFonts w:ascii="方正黑体_GBK" w:eastAsia="方正黑体_GBK" w:hAnsi="方正黑体_GBK" w:hint="default"/>
      </w:rPr>
    </w:lvl>
    <w:lvl w:ilvl="4" w:tplc="D2523D98">
      <w:start w:val="1"/>
      <w:numFmt w:val="lowerLetter"/>
      <w:lvlText w:val="%5)"/>
      <w:lvlJc w:val="left"/>
      <w:pPr>
        <w:tabs>
          <w:tab w:val="num" w:pos="0"/>
        </w:tabs>
        <w:ind w:left="2400" w:hanging="420"/>
      </w:pPr>
      <w:rPr>
        <w:rFonts w:ascii="方正黑体_GBK" w:eastAsia="方正黑体_GBK" w:hAnsi="方正黑体_GBK" w:hint="default"/>
      </w:rPr>
    </w:lvl>
    <w:lvl w:ilvl="5" w:tplc="4E0210C8">
      <w:start w:val="1"/>
      <w:numFmt w:val="decimal"/>
      <w:lvlText w:val="%6."/>
      <w:lvlJc w:val="right"/>
      <w:pPr>
        <w:tabs>
          <w:tab w:val="num" w:pos="0"/>
        </w:tabs>
        <w:ind w:left="2820" w:hanging="420"/>
      </w:pPr>
      <w:rPr>
        <w:rFonts w:ascii="方正黑体_GBK" w:eastAsia="方正黑体_GBK" w:hAnsi="方正黑体_GBK" w:hint="default"/>
      </w:rPr>
    </w:lvl>
    <w:lvl w:ilvl="6" w:tplc="458EEA1C">
      <w:start w:val="1"/>
      <w:numFmt w:val="decimal"/>
      <w:lvlText w:val="%7."/>
      <w:lvlJc w:val="left"/>
      <w:pPr>
        <w:tabs>
          <w:tab w:val="num" w:pos="0"/>
        </w:tabs>
        <w:ind w:left="3240" w:hanging="420"/>
      </w:pPr>
      <w:rPr>
        <w:rFonts w:ascii="方正黑体_GBK" w:eastAsia="方正黑体_GBK" w:hAnsi="方正黑体_GBK" w:hint="default"/>
      </w:rPr>
    </w:lvl>
    <w:lvl w:ilvl="7" w:tplc="B40CA822">
      <w:start w:val="1"/>
      <w:numFmt w:val="lowerLetter"/>
      <w:lvlText w:val="%8)"/>
      <w:lvlJc w:val="left"/>
      <w:pPr>
        <w:tabs>
          <w:tab w:val="num" w:pos="0"/>
        </w:tabs>
        <w:ind w:left="3660" w:hanging="420"/>
      </w:pPr>
      <w:rPr>
        <w:rFonts w:ascii="方正黑体_GBK" w:eastAsia="方正黑体_GBK" w:hAnsi="方正黑体_GBK" w:hint="default"/>
      </w:rPr>
    </w:lvl>
    <w:lvl w:ilvl="8" w:tplc="8B2ED048">
      <w:start w:val="1"/>
      <w:numFmt w:val="decimal"/>
      <w:lvlText w:val="%9."/>
      <w:lvlJc w:val="right"/>
      <w:pPr>
        <w:tabs>
          <w:tab w:val="num" w:pos="0"/>
        </w:tabs>
        <w:ind w:left="4080" w:hanging="420"/>
      </w:pPr>
      <w:rPr>
        <w:rFonts w:ascii="方正黑体_GBK" w:eastAsia="方正黑体_GBK" w:hAnsi="方正黑体_GBK" w:hint="default"/>
      </w:rPr>
    </w:lvl>
  </w:abstractNum>
  <w:abstractNum w:abstractNumId="3" w15:restartNumberingAfterBreak="0">
    <w:nsid w:val="7CE402F4"/>
    <w:multiLevelType w:val="hybridMultilevel"/>
    <w:tmpl w:val="F2DCA1CA"/>
    <w:lvl w:ilvl="0" w:tplc="5CEEA240">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F8EE538C">
      <w:start w:val="1"/>
      <w:numFmt w:val="lowerLetter"/>
      <w:lvlText w:val="%2)"/>
      <w:lvlJc w:val="left"/>
      <w:pPr>
        <w:tabs>
          <w:tab w:val="num" w:pos="0"/>
        </w:tabs>
        <w:ind w:left="1141" w:hanging="420"/>
      </w:pPr>
      <w:rPr>
        <w:rFonts w:ascii="方正黑体_GBK" w:eastAsia="方正黑体_GBK" w:hAnsi="方正黑体_GBK" w:hint="default"/>
      </w:rPr>
    </w:lvl>
    <w:lvl w:ilvl="2" w:tplc="A29A6694">
      <w:start w:val="1"/>
      <w:numFmt w:val="decimal"/>
      <w:lvlText w:val="%3."/>
      <w:lvlJc w:val="right"/>
      <w:pPr>
        <w:tabs>
          <w:tab w:val="num" w:pos="0"/>
        </w:tabs>
        <w:ind w:left="1561" w:hanging="420"/>
      </w:pPr>
      <w:rPr>
        <w:rFonts w:ascii="方正黑体_GBK" w:eastAsia="方正黑体_GBK" w:hAnsi="方正黑体_GBK" w:hint="default"/>
      </w:rPr>
    </w:lvl>
    <w:lvl w:ilvl="3" w:tplc="BB46F00A">
      <w:start w:val="1"/>
      <w:numFmt w:val="decimal"/>
      <w:lvlText w:val="%4."/>
      <w:lvlJc w:val="left"/>
      <w:pPr>
        <w:tabs>
          <w:tab w:val="num" w:pos="0"/>
        </w:tabs>
        <w:ind w:left="1981" w:hanging="420"/>
      </w:pPr>
      <w:rPr>
        <w:rFonts w:ascii="方正黑体_GBK" w:eastAsia="方正黑体_GBK" w:hAnsi="方正黑体_GBK" w:hint="default"/>
      </w:rPr>
    </w:lvl>
    <w:lvl w:ilvl="4" w:tplc="3F48FFF0">
      <w:start w:val="1"/>
      <w:numFmt w:val="lowerLetter"/>
      <w:lvlText w:val="%5)"/>
      <w:lvlJc w:val="left"/>
      <w:pPr>
        <w:tabs>
          <w:tab w:val="num" w:pos="0"/>
        </w:tabs>
        <w:ind w:left="2401" w:hanging="420"/>
      </w:pPr>
      <w:rPr>
        <w:rFonts w:ascii="方正黑体_GBK" w:eastAsia="方正黑体_GBK" w:hAnsi="方正黑体_GBK" w:hint="default"/>
      </w:rPr>
    </w:lvl>
    <w:lvl w:ilvl="5" w:tplc="256AB544">
      <w:start w:val="1"/>
      <w:numFmt w:val="decimal"/>
      <w:lvlText w:val="%6."/>
      <w:lvlJc w:val="right"/>
      <w:pPr>
        <w:tabs>
          <w:tab w:val="num" w:pos="0"/>
        </w:tabs>
        <w:ind w:left="2821" w:hanging="420"/>
      </w:pPr>
      <w:rPr>
        <w:rFonts w:ascii="方正黑体_GBK" w:eastAsia="方正黑体_GBK" w:hAnsi="方正黑体_GBK" w:hint="default"/>
      </w:rPr>
    </w:lvl>
    <w:lvl w:ilvl="6" w:tplc="660C51BA">
      <w:start w:val="1"/>
      <w:numFmt w:val="decimal"/>
      <w:lvlText w:val="%7."/>
      <w:lvlJc w:val="left"/>
      <w:pPr>
        <w:tabs>
          <w:tab w:val="num" w:pos="0"/>
        </w:tabs>
        <w:ind w:left="3241" w:hanging="420"/>
      </w:pPr>
      <w:rPr>
        <w:rFonts w:ascii="方正黑体_GBK" w:eastAsia="方正黑体_GBK" w:hAnsi="方正黑体_GBK" w:hint="default"/>
      </w:rPr>
    </w:lvl>
    <w:lvl w:ilvl="7" w:tplc="E3B42A12">
      <w:start w:val="1"/>
      <w:numFmt w:val="lowerLetter"/>
      <w:lvlText w:val="%8)"/>
      <w:lvlJc w:val="left"/>
      <w:pPr>
        <w:tabs>
          <w:tab w:val="num" w:pos="0"/>
        </w:tabs>
        <w:ind w:left="3661" w:hanging="420"/>
      </w:pPr>
      <w:rPr>
        <w:rFonts w:ascii="方正黑体_GBK" w:eastAsia="方正黑体_GBK" w:hAnsi="方正黑体_GBK" w:hint="default"/>
      </w:rPr>
    </w:lvl>
    <w:lvl w:ilvl="8" w:tplc="5DBC8B56">
      <w:start w:val="1"/>
      <w:numFmt w:val="decimal"/>
      <w:lvlText w:val="%9."/>
      <w:lvlJc w:val="right"/>
      <w:pPr>
        <w:tabs>
          <w:tab w:val="num" w:pos="0"/>
        </w:tabs>
        <w:ind w:left="4081" w:hanging="420"/>
      </w:pPr>
      <w:rPr>
        <w:rFonts w:ascii="方正黑体_GBK" w:eastAsia="方正黑体_GBK" w:hAnsi="方正黑体_GBK" w:hint="default"/>
      </w:rPr>
    </w:lvl>
  </w:abstractNum>
  <w:num w:numId="1">
    <w:abstractNumId w:val="0"/>
  </w:num>
  <w:num w:numId="2">
    <w:abstractNumId w:val="1"/>
  </w:num>
  <w:num w:numId="3">
    <w:abstractNumId w:val="3"/>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4"/>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D84C45"/>
    <w:rsid w:val="009C0719"/>
    <w:rsid w:val="00D84C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25FC114"/>
  <w15:docId w15:val="{E8092976-5F88-48D1-A71C-D6D55BC3F9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hAnsi="方正黑体_GBK" w:cs="Times New Roman"/>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b5f06c09">
    <w:name w:val="Normalb5f06c09"/>
    <w:pPr>
      <w:widowControl w:val="0"/>
      <w:jc w:val="both"/>
    </w:pPr>
    <w:rPr>
      <w:rFonts w:ascii="方正黑体_GBK" w:eastAsia="方正黑体_GBK" w:hAnsi="方正黑体_GBK" w:cs="Times New Roman"/>
      <w:szCs w:val="21"/>
    </w:rPr>
  </w:style>
  <w:style w:type="paragraph" w:customStyle="1" w:styleId="heading149676a05">
    <w:name w:val="heading 149676a05"/>
    <w:basedOn w:val="Normalb5f06c09"/>
    <w:next w:val="a"/>
    <w:pPr>
      <w:keepNext/>
      <w:keepLines/>
      <w:spacing w:before="340" w:after="330" w:line="578" w:lineRule="auto"/>
      <w:outlineLvl w:val="0"/>
    </w:pPr>
    <w:rPr>
      <w:b/>
      <w:bCs/>
      <w:kern w:val="44"/>
      <w:sz w:val="44"/>
    </w:rPr>
  </w:style>
  <w:style w:type="paragraph" w:customStyle="1" w:styleId="heading2f540374c">
    <w:name w:val="heading 2f540374c"/>
    <w:basedOn w:val="Normalb5f06c09"/>
    <w:next w:val="a"/>
    <w:pPr>
      <w:keepNext/>
      <w:keepLines/>
      <w:spacing w:before="260" w:after="260" w:line="415" w:lineRule="auto"/>
      <w:outlineLvl w:val="1"/>
    </w:pPr>
    <w:rPr>
      <w:b/>
      <w:sz w:val="32"/>
    </w:rPr>
  </w:style>
  <w:style w:type="paragraph" w:customStyle="1" w:styleId="heading39a0bd255">
    <w:name w:val="heading 39a0bd255"/>
    <w:basedOn w:val="Normalb5f06c09"/>
    <w:next w:val="a"/>
    <w:pPr>
      <w:keepNext/>
      <w:keepLines/>
      <w:spacing w:before="260" w:after="260" w:line="415" w:lineRule="auto"/>
      <w:outlineLvl w:val="2"/>
    </w:pPr>
    <w:rPr>
      <w:b/>
      <w:sz w:val="32"/>
    </w:rPr>
  </w:style>
  <w:style w:type="character" w:customStyle="1" w:styleId="DefaultParagraphFont8c745224">
    <w:name w:val="Default Paragraph Font8c745224"/>
  </w:style>
  <w:style w:type="paragraph" w:customStyle="1" w:styleId="toc1ad7511ff">
    <w:name w:val="toc 1ad7511ff"/>
    <w:basedOn w:val="Normalb5f06c09"/>
    <w:next w:val="a"/>
    <w:autoRedefine/>
  </w:style>
  <w:style w:type="paragraph" w:customStyle="1" w:styleId="toc2432be33e">
    <w:name w:val="toc 2432be33e"/>
    <w:basedOn w:val="Normalb5f06c09"/>
    <w:next w:val="a"/>
    <w:autoRedefine/>
    <w:pPr>
      <w:ind w:left="420"/>
    </w:pPr>
  </w:style>
  <w:style w:type="paragraph" w:customStyle="1" w:styleId="toc3caa53853">
    <w:name w:val="toc 3caa53853"/>
    <w:basedOn w:val="Normalb5f06c09"/>
    <w:next w:val="a"/>
    <w:autoRedefine/>
    <w:pPr>
      <w:ind w:left="840"/>
    </w:pPr>
  </w:style>
  <w:style w:type="paragraph" w:customStyle="1" w:styleId="toc4d19ea7f8">
    <w:name w:val="toc 4d19ea7f8"/>
    <w:basedOn w:val="Normalb5f06c09"/>
    <w:next w:val="a"/>
    <w:autoRedefine/>
    <w:pPr>
      <w:ind w:left="1260"/>
    </w:pPr>
  </w:style>
  <w:style w:type="paragraph" w:customStyle="1" w:styleId="toc5ab163c4c">
    <w:name w:val="toc 5ab163c4c"/>
    <w:basedOn w:val="Normalb5f06c09"/>
    <w:next w:val="a"/>
    <w:autoRedefine/>
    <w:pPr>
      <w:ind w:left="1680"/>
    </w:pPr>
  </w:style>
  <w:style w:type="paragraph" w:customStyle="1" w:styleId="headeraf594e2c">
    <w:name w:val="headeraf594e2c"/>
    <w:basedOn w:val="Normalb5f06c09"/>
    <w:pPr>
      <w:pBdr>
        <w:bottom w:val="single" w:sz="6" w:space="1" w:color="auto"/>
      </w:pBdr>
      <w:tabs>
        <w:tab w:val="center" w:pos="4153"/>
        <w:tab w:val="right" w:pos="8307"/>
      </w:tabs>
      <w:snapToGrid w:val="0"/>
      <w:jc w:val="center"/>
    </w:pPr>
    <w:rPr>
      <w:sz w:val="18"/>
    </w:rPr>
  </w:style>
  <w:style w:type="paragraph" w:customStyle="1" w:styleId="footera97e2643">
    <w:name w:val="footera97e2643"/>
    <w:basedOn w:val="Normalb5f06c09"/>
    <w:pPr>
      <w:tabs>
        <w:tab w:val="center" w:pos="4153"/>
        <w:tab w:val="right" w:pos="8307"/>
      </w:tabs>
      <w:snapToGrid w:val="0"/>
      <w:jc w:val="left"/>
    </w:pPr>
    <w:rPr>
      <w:sz w:val="18"/>
    </w:rPr>
  </w:style>
  <w:style w:type="character" w:customStyle="1" w:styleId="Stronge3ab5413">
    <w:name w:val="Stronge3ab5413"/>
    <w:rPr>
      <w:b/>
    </w:rPr>
  </w:style>
  <w:style w:type="paragraph" w:customStyle="1" w:styleId="annotationtext23">
    <w:name w:val="annotation text23"/>
    <w:next w:val="TOC1"/>
    <w:pPr>
      <w:widowControl w:val="0"/>
    </w:pPr>
    <w:rPr>
      <w:rFonts w:ascii="方正黑体_GBK" w:eastAsia="方正黑体_GBK" w:hAnsi="方正黑体_GBK" w:cs="Times New Roman"/>
      <w:szCs w:val="21"/>
    </w:rPr>
  </w:style>
  <w:style w:type="paragraph" w:customStyle="1" w:styleId="Normal9047c215">
    <w:name w:val="Normal9047c215"/>
    <w:next w:val="TOC1"/>
    <w:pPr>
      <w:widowControl w:val="0"/>
      <w:jc w:val="both"/>
    </w:pPr>
    <w:rPr>
      <w:rFonts w:ascii="方正黑体_GBK" w:eastAsia="方正黑体_GBK" w:hAnsi="方正黑体_GBK" w:cs="Times New Roman"/>
      <w:sz w:val="18"/>
      <w:szCs w:val="18"/>
    </w:rPr>
  </w:style>
  <w:style w:type="paragraph" w:customStyle="1" w:styleId="heading1b641c34d">
    <w:name w:val="heading 1b641c34d"/>
    <w:basedOn w:val="Normal9047c215"/>
    <w:next w:val="a"/>
    <w:pPr>
      <w:keepNext/>
      <w:keepLines/>
      <w:spacing w:before="340" w:after="330" w:line="578" w:lineRule="auto"/>
      <w:outlineLvl w:val="0"/>
    </w:pPr>
    <w:rPr>
      <w:b/>
      <w:bCs/>
      <w:kern w:val="44"/>
      <w:sz w:val="44"/>
    </w:rPr>
  </w:style>
  <w:style w:type="paragraph" w:customStyle="1" w:styleId="heading2792f51dd">
    <w:name w:val="heading 2792f51dd"/>
    <w:basedOn w:val="Normal9047c215"/>
    <w:next w:val="a"/>
    <w:pPr>
      <w:keepNext/>
      <w:keepLines/>
      <w:spacing w:before="260" w:after="260" w:line="415" w:lineRule="auto"/>
      <w:outlineLvl w:val="1"/>
    </w:pPr>
    <w:rPr>
      <w:b/>
      <w:sz w:val="32"/>
    </w:rPr>
  </w:style>
  <w:style w:type="paragraph" w:customStyle="1" w:styleId="heading3e1a130cf">
    <w:name w:val="heading 3e1a130cf"/>
    <w:basedOn w:val="Normal9047c215"/>
    <w:next w:val="a"/>
    <w:pPr>
      <w:keepNext/>
      <w:keepLines/>
      <w:spacing w:before="260" w:after="260" w:line="415" w:lineRule="auto"/>
      <w:outlineLvl w:val="2"/>
    </w:pPr>
    <w:rPr>
      <w:b/>
      <w:sz w:val="32"/>
    </w:rPr>
  </w:style>
  <w:style w:type="character" w:customStyle="1" w:styleId="DefaultParagraphFontce7fbdec">
    <w:name w:val="Default Paragraph Fontce7fbdec"/>
  </w:style>
  <w:style w:type="paragraph" w:customStyle="1" w:styleId="NormalIndent0d042afc">
    <w:name w:val="Normal Indent0d042afc"/>
    <w:basedOn w:val="Normal9047c215"/>
    <w:pPr>
      <w:ind w:firstLineChars="200" w:firstLine="200"/>
    </w:pPr>
  </w:style>
  <w:style w:type="paragraph" w:customStyle="1" w:styleId="toc5bb1e3dbb">
    <w:name w:val="toc 5bb1e3dbb"/>
    <w:basedOn w:val="Normal9047c215"/>
    <w:next w:val="a"/>
    <w:pPr>
      <w:ind w:left="1680"/>
    </w:pPr>
  </w:style>
  <w:style w:type="paragraph" w:customStyle="1" w:styleId="toc3813e3733">
    <w:name w:val="toc 3813e3733"/>
    <w:basedOn w:val="Normal9047c215"/>
    <w:next w:val="a"/>
    <w:pPr>
      <w:ind w:left="840"/>
    </w:pPr>
  </w:style>
  <w:style w:type="paragraph" w:customStyle="1" w:styleId="footer849ed38d">
    <w:name w:val="footer849ed38d"/>
    <w:basedOn w:val="Normal9047c215"/>
    <w:pPr>
      <w:tabs>
        <w:tab w:val="center" w:pos="4153"/>
        <w:tab w:val="right" w:pos="8307"/>
      </w:tabs>
      <w:snapToGrid w:val="0"/>
      <w:jc w:val="left"/>
    </w:pPr>
  </w:style>
  <w:style w:type="paragraph" w:customStyle="1" w:styleId="header2e92db73">
    <w:name w:val="header2e92db73"/>
    <w:basedOn w:val="Normal9047c215"/>
    <w:pPr>
      <w:pBdr>
        <w:bottom w:val="single" w:sz="6" w:space="1" w:color="auto"/>
      </w:pBdr>
      <w:tabs>
        <w:tab w:val="center" w:pos="4153"/>
        <w:tab w:val="right" w:pos="8307"/>
      </w:tabs>
      <w:snapToGrid w:val="0"/>
      <w:jc w:val="center"/>
    </w:pPr>
  </w:style>
  <w:style w:type="paragraph" w:customStyle="1" w:styleId="toc10ef1da37">
    <w:name w:val="toc 10ef1da37"/>
    <w:basedOn w:val="Normal9047c215"/>
    <w:next w:val="a"/>
  </w:style>
  <w:style w:type="paragraph" w:customStyle="1" w:styleId="toc45d136cf8">
    <w:name w:val="toc 45d136cf8"/>
    <w:basedOn w:val="Normal9047c215"/>
    <w:next w:val="a"/>
    <w:pPr>
      <w:ind w:left="1260"/>
    </w:pPr>
  </w:style>
  <w:style w:type="paragraph" w:customStyle="1" w:styleId="toc2252d3331">
    <w:name w:val="toc 2252d3331"/>
    <w:basedOn w:val="Normal9047c215"/>
    <w:next w:val="a"/>
    <w:pPr>
      <w:ind w:left="420"/>
    </w:pPr>
  </w:style>
  <w:style w:type="paragraph" w:customStyle="1" w:styleId="NormalWebb730152d">
    <w:name w:val="Normal (Web)b730152d"/>
    <w:next w:val="a3"/>
    <w:pPr>
      <w:spacing w:before="102" w:after="102" w:line="1099" w:lineRule="atLeast"/>
      <w:ind w:firstLine="419"/>
      <w:textAlignment w:val="baseline"/>
    </w:pPr>
    <w:rPr>
      <w:rFonts w:ascii="方正黑体_GBK" w:eastAsia="方正黑体_GBK" w:hAnsi="方正黑体_GBK" w:cs="Times New Roman"/>
      <w:kern w:val="0"/>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hAnsi="方正黑体_GBK" w:cs="Times New Roman"/>
      <w:szCs w:val="21"/>
    </w:rPr>
  </w:style>
  <w:style w:type="paragraph" w:customStyle="1" w:styleId="Normal4fa6eb4b4fa6eb4b">
    <w:name w:val="Normal4fa6eb4b4fa6eb4b"/>
    <w:next w:val="TOC1"/>
    <w:pPr>
      <w:widowControl w:val="0"/>
      <w:jc w:val="both"/>
    </w:pPr>
    <w:rPr>
      <w:rFonts w:ascii="方正黑体_GBK" w:eastAsia="方正黑体_GBK" w:hAnsi="方正黑体_GBK" w:cs="Times New Roman"/>
      <w:szCs w:val="21"/>
    </w:rPr>
  </w:style>
  <w:style w:type="paragraph" w:customStyle="1" w:styleId="heading19d5d1a249d5d1a24">
    <w:name w:val="heading 19d5d1a249d5d1a24"/>
    <w:basedOn w:val="Normal4fa6eb4b4fa6eb4b"/>
    <w:next w:val="a"/>
    <w:pPr>
      <w:keepNext/>
      <w:keepLines/>
      <w:spacing w:before="340" w:after="330" w:line="578" w:lineRule="auto"/>
      <w:outlineLvl w:val="0"/>
    </w:pPr>
    <w:rPr>
      <w:b/>
      <w:bCs/>
      <w:kern w:val="44"/>
      <w:sz w:val="44"/>
    </w:rPr>
  </w:style>
  <w:style w:type="paragraph" w:customStyle="1" w:styleId="heading278847dc778847dc7">
    <w:name w:val="heading 278847dc778847dc7"/>
    <w:basedOn w:val="Normal4fa6eb4b4fa6eb4b"/>
    <w:next w:val="a"/>
    <w:pPr>
      <w:keepNext/>
      <w:keepLines/>
      <w:spacing w:before="260" w:after="260" w:line="415" w:lineRule="auto"/>
      <w:outlineLvl w:val="1"/>
    </w:pPr>
    <w:rPr>
      <w:b/>
      <w:sz w:val="32"/>
    </w:rPr>
  </w:style>
  <w:style w:type="paragraph" w:customStyle="1" w:styleId="heading30eb3309e0eb3309e">
    <w:name w:val="heading 30eb3309e0eb3309e"/>
    <w:basedOn w:val="Normal4fa6eb4b4fa6eb4b"/>
    <w:next w:val="a"/>
    <w:pPr>
      <w:keepNext/>
      <w:keepLines/>
      <w:spacing w:before="260" w:after="260" w:line="415" w:lineRule="auto"/>
      <w:outlineLvl w:val="2"/>
    </w:pPr>
    <w:rPr>
      <w:b/>
      <w:sz w:val="32"/>
    </w:rPr>
  </w:style>
  <w:style w:type="character" w:customStyle="1" w:styleId="DefaultParagraphFont66a4c61b66a4c61b">
    <w:name w:val="Default Paragraph Font66a4c61b66a4c61b"/>
  </w:style>
  <w:style w:type="paragraph" w:customStyle="1" w:styleId="152a7346452a73464">
    <w:name w:val="引文目录152a7346452a73464"/>
    <w:basedOn w:val="Normal4fa6eb4b4fa6eb4b"/>
    <w:next w:val="a"/>
    <w:pPr>
      <w:ind w:leftChars="200" w:left="200"/>
    </w:pPr>
  </w:style>
  <w:style w:type="paragraph" w:customStyle="1" w:styleId="toc5d0215f46d0215f46">
    <w:name w:val="toc 5d0215f46d0215f46"/>
    <w:basedOn w:val="Normal4fa6eb4b4fa6eb4b"/>
    <w:next w:val="a"/>
    <w:pPr>
      <w:ind w:left="1680"/>
    </w:pPr>
  </w:style>
  <w:style w:type="paragraph" w:customStyle="1" w:styleId="toc3c1dfc171c1dfc171">
    <w:name w:val="toc 3c1dfc171c1dfc171"/>
    <w:basedOn w:val="Normal4fa6eb4b4fa6eb4b"/>
    <w:next w:val="a"/>
    <w:pPr>
      <w:ind w:left="840"/>
    </w:pPr>
  </w:style>
  <w:style w:type="paragraph" w:customStyle="1" w:styleId="footer57c8554457c85544">
    <w:name w:val="footer57c8554457c85544"/>
    <w:basedOn w:val="Normal4fa6eb4b4fa6eb4b"/>
    <w:pPr>
      <w:tabs>
        <w:tab w:val="center" w:pos="4153"/>
        <w:tab w:val="right" w:pos="8307"/>
      </w:tabs>
      <w:snapToGrid w:val="0"/>
      <w:jc w:val="left"/>
    </w:pPr>
    <w:rPr>
      <w:sz w:val="18"/>
    </w:rPr>
  </w:style>
  <w:style w:type="paragraph" w:customStyle="1" w:styleId="header56af5fc256af5fc2">
    <w:name w:val="header56af5fc256af5fc2"/>
    <w:basedOn w:val="Normal4fa6eb4b4fa6eb4b"/>
    <w:pPr>
      <w:pBdr>
        <w:bottom w:val="single" w:sz="6" w:space="1" w:color="auto"/>
      </w:pBdr>
      <w:tabs>
        <w:tab w:val="center" w:pos="4153"/>
        <w:tab w:val="right" w:pos="8307"/>
      </w:tabs>
      <w:snapToGrid w:val="0"/>
      <w:jc w:val="center"/>
    </w:pPr>
    <w:rPr>
      <w:sz w:val="18"/>
    </w:rPr>
  </w:style>
  <w:style w:type="paragraph" w:customStyle="1" w:styleId="toc1c0559d22c0559d22">
    <w:name w:val="toc 1c0559d22c0559d22"/>
    <w:basedOn w:val="Normal4fa6eb4b4fa6eb4b"/>
    <w:next w:val="a"/>
  </w:style>
  <w:style w:type="paragraph" w:customStyle="1" w:styleId="toc4fac7618efac7618e">
    <w:name w:val="toc 4fac7618efac7618e"/>
    <w:basedOn w:val="Normal4fa6eb4b4fa6eb4b"/>
    <w:next w:val="a"/>
    <w:pPr>
      <w:ind w:left="1260"/>
    </w:pPr>
  </w:style>
  <w:style w:type="paragraph" w:customStyle="1" w:styleId="toc2df44bb25df44bb25">
    <w:name w:val="toc 2df44bb25df44bb25"/>
    <w:basedOn w:val="Normal4fa6eb4b4fa6eb4b"/>
    <w:next w:val="a"/>
    <w:pPr>
      <w:ind w:left="420"/>
    </w:pPr>
  </w:style>
  <w:style w:type="paragraph" w:customStyle="1" w:styleId="1dc92e452dc92e452">
    <w:name w:val="列出段落1dc92e452dc92e452"/>
    <w:pPr>
      <w:widowControl w:val="0"/>
      <w:ind w:firstLineChars="200" w:firstLine="200"/>
      <w:jc w:val="both"/>
    </w:pPr>
    <w:rPr>
      <w:rFonts w:ascii="方正黑体_GBK" w:eastAsia="方正黑体_GBK" w:hAnsi="方正黑体_GBK" w:cs="Times New Roman"/>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7232</Words>
  <Characters>7249</Characters>
  <Application>Microsoft Office Word</Application>
  <DocSecurity>0</DocSecurity>
  <Lines>166</Lines>
  <Paragraphs>65</Paragraphs>
  <ScaleCrop>false</ScaleCrop>
  <Company/>
  <LinksUpToDate>false</LinksUpToDate>
  <CharactersWithSpaces>7340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Administrator</cp:lastModifiedBy>
  <cp:revision>2</cp:revision>
  <dcterms:created xsi:type="dcterms:W3CDTF">2025-11-28T04:47:00Z</dcterms:created>
  <dcterms:modified xsi:type="dcterms:W3CDTF">2025-11-28T04:47:00Z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