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196天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9fb8f82"/>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9fb8f82"/>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011aaaf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011aaaf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1e32cb2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南银理财珠联璧合鑫逸稳半年154期封闭式公募人民币理财产品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ZZ700322500624</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Z7003225000395(投资者可依据该编码在中国理财网www.chinawealth.com.cn查询理财产品相关信息）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A份额：Y70154</w:t>
            </w:r>
          </w:p>
          <w:p>
            <w:pPr>
              <w:pStyle w:val="null10"/>
              <w:spacing w:lineRule="exact" w:line="200"/>
            </w:pPr>
            <w:r>
              <w:rPr>
                <w:rFonts w:ascii="方正黑体_GBK" w:hAnsi="方正黑体_GBK" w:cs="宋体" w:eastAsia="方正黑体_GBK"/>
                <w:sz w:val="18"/>
                <w:szCs w:val="18"/>
              </w:rPr>
              <w:t>B份额：Y71154</w:t>
            </w:r>
          </w:p>
          <w:p>
            <w:pPr>
              <w:pStyle w:val="null10"/>
              <w:spacing w:lineRule="exact" w:line="200"/>
            </w:pPr>
            <w:r>
              <w:rPr>
                <w:rFonts w:ascii="方正黑体_GBK" w:hAnsi="方正黑体_GBK" w:cs="宋体" w:eastAsia="方正黑体_GBK"/>
                <w:sz w:val="18"/>
                <w:szCs w:val="18"/>
              </w:rPr>
              <w:t>C份额：Y72154</w:t>
            </w:r>
          </w:p>
          <w:p>
            <w:pPr>
              <w:pStyle w:val="null10"/>
              <w:spacing w:lineRule="exact" w:line="200"/>
            </w:pPr>
            <w:r>
              <w:rPr>
                <w:rFonts w:ascii="方正黑体_GBK" w:hAnsi="方正黑体_GBK" w:cs="宋体" w:eastAsia="方正黑体_GBK"/>
                <w:sz w:val="18"/>
                <w:szCs w:val="18"/>
              </w:rPr>
              <w:t>D份额：Y73154</w:t>
            </w:r>
          </w:p>
          <w:p>
            <w:pPr>
              <w:pStyle w:val="null10"/>
              <w:spacing w:lineRule="exact" w:line="200"/>
            </w:pPr>
            <w:r>
              <w:rPr>
                <w:rFonts w:ascii="方正黑体_GBK" w:hAnsi="方正黑体_GBK" w:cs="宋体" w:eastAsia="方正黑体_GBK"/>
                <w:sz w:val="18"/>
                <w:szCs w:val="18"/>
              </w:rPr>
              <w:t>F份额：Y75154</w:t>
            </w:r>
          </w:p>
          <w:p>
            <w:pPr>
              <w:pStyle w:val="null10"/>
              <w:spacing w:lineRule="exact" w:line="200"/>
            </w:pPr>
            <w:r>
              <w:rPr>
                <w:rFonts w:ascii="方正黑体_GBK" w:hAnsi="方正黑体_GBK" w:cs="宋体" w:eastAsia="方正黑体_GBK"/>
                <w:sz w:val="18"/>
                <w:szCs w:val="18"/>
              </w:rPr>
              <w:t>G份额：Y76154</w:t>
            </w:r>
          </w:p>
          <w:p>
            <w:pPr>
              <w:pStyle w:val="null10"/>
              <w:spacing w:lineRule="exact" w:line="200"/>
            </w:pPr>
            <w:r>
              <w:rPr>
                <w:rFonts w:ascii="方正黑体_GBK" w:hAnsi="方正黑体_GBK" w:cs="宋体" w:eastAsia="方正黑体_GBK"/>
                <w:sz w:val="18"/>
                <w:szCs w:val="18"/>
              </w:rPr>
              <w:t>H份额：Y77154</w:t>
            </w:r>
          </w:p>
          <w:p>
            <w:pPr>
              <w:pStyle w:val="null10"/>
              <w:spacing w:lineRule="exact" w:line="200"/>
            </w:pPr>
            <w:r>
              <w:rPr>
                <w:rFonts w:ascii="方正黑体_GBK" w:hAnsi="方正黑体_GBK" w:cs="宋体" w:eastAsia="方正黑体_GBK"/>
                <w:sz w:val="18"/>
                <w:szCs w:val="18"/>
              </w:rPr>
              <w:t>J份额：Y79154</w:t>
            </w:r>
          </w:p>
          <w:p>
            <w:pPr>
              <w:pStyle w:val="null10"/>
              <w:spacing w:lineRule="exact" w:line="200"/>
            </w:pPr>
            <w:r>
              <w:rPr>
                <w:rFonts w:ascii="方正黑体_GBK" w:hAnsi="方正黑体_GBK" w:cs="宋体" w:eastAsia="方正黑体_GBK"/>
                <w:sz w:val="18"/>
                <w:szCs w:val="18"/>
              </w:rPr>
              <w:t>L份额：YB70154</w:t>
            </w:r>
          </w:p>
          <w:p>
            <w:pPr>
              <w:pStyle w:val="null10"/>
              <w:spacing w:lineRule="exact" w:line="200"/>
            </w:pPr>
            <w:r>
              <w:rPr>
                <w:rFonts w:ascii="方正黑体_GBK" w:hAnsi="方正黑体_GBK" w:cs="宋体" w:eastAsia="方正黑体_GBK"/>
                <w:sz w:val="18"/>
                <w:szCs w:val="18"/>
              </w:rPr>
              <w:t>P份额：YF70154</w:t>
            </w:r>
          </w:p>
          <w:p>
            <w:pPr>
              <w:pStyle w:val="null10"/>
              <w:spacing w:lineRule="exact" w:line="200"/>
            </w:pPr>
            <w:r>
              <w:rPr>
                <w:rFonts w:ascii="方正黑体_GBK" w:hAnsi="方正黑体_GBK" w:cs="宋体" w:eastAsia="方正黑体_GBK"/>
                <w:sz w:val="18"/>
                <w:szCs w:val="18"/>
              </w:rPr>
              <w:t>Q份额：YG70154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 除B、C、D、F、G、H、J、L、P、Q份额以外的所有客户（详见“销售机构”条款）。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代发客户)、中原银行股份有限公司(县域客群专属)、富邦华一银行有限公司、桂林银行股份有限公司(常规客户)、石嘴山银行股份有限公司(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特邀客户)、江苏江南农村商业银行股份有限公司(私享客户)、蒙商银行股份有限公司(特邀客户)、长沙银行股份有限公司、郑州银行股份有限公司、泰安银行股份有限公司、齐鲁银行股份有限公司(特邀客户 )、台州银行股份有限公司( 新客专享)、天津农村商业银行股份有限公司(军人客户)、云南红塔银行股份有限公司( 财富客户)、桂林银行股份有限公司(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 新客户)。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L份额：江苏江南农村商业银行股份有限公司(高净值客户专属份额)、天津农村商业银行股份有限公司( 私行客群)、江苏扬州农村商业银行股份有限公司( 公司客户)。</w:t>
            </w:r>
          </w:p>
          <w:p>
            <w:pPr>
              <w:pStyle w:val="null10"/>
              <w:spacing w:lineRule="exact" w:line="200"/>
            </w:pPr>
            <w:r>
              <w:rPr>
                <w:rFonts w:ascii="方正黑体_GBK" w:hAnsi="方正黑体_GBK" w:cs="宋体" w:eastAsia="方正黑体_GBK"/>
                <w:sz w:val="18"/>
                <w:szCs w:val="18"/>
              </w:rPr>
              <w:t>P份额：兰州银行股份有限公司（1元起售客户）。</w:t>
            </w:r>
          </w:p>
          <w:p>
            <w:pPr>
              <w:pStyle w:val="null10"/>
              <w:spacing w:lineRule="exact" w:line="200"/>
            </w:pPr>
            <w:r>
              <w:rPr>
                <w:rFonts w:ascii="方正黑体_GBK" w:hAnsi="方正黑体_GBK" w:cs="宋体" w:eastAsia="方正黑体_GBK"/>
                <w:sz w:val="18"/>
                <w:szCs w:val="18"/>
              </w:rPr>
              <w:t>Q份额：兰州银行股份有限公司( 20万元起售客户)。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A份额/B份额/C份额/D份额/F份额/G份额/J份额/L份额/P份额/Q份额：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A份额/B份额/C份额/D份额/F份额/G份额/H份额/J份额/L份额/P份额/Q份额：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2025年12月03日 09:00—2025年12月09日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196天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2026年06月24日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A份额：业绩比较基准为1.83%(年化)。</w:t>
            </w:r>
          </w:p>
          <w:p>
            <w:pPr>
              <w:pStyle w:val="null10"/>
              <w:spacing w:lineRule="exact" w:line="200"/>
            </w:pPr>
            <w:r>
              <w:rPr>
                <w:rFonts w:ascii="方正黑体_GBK" w:hAnsi="方正黑体_GBK" w:cs="宋体" w:eastAsia="方正黑体_GBK"/>
                <w:sz w:val="18"/>
                <w:szCs w:val="18"/>
              </w:rPr>
              <w:t>B份额：业绩比较基准为1.93%(年化)。</w:t>
            </w:r>
          </w:p>
          <w:p>
            <w:pPr>
              <w:pStyle w:val="null10"/>
              <w:spacing w:lineRule="exact" w:line="200"/>
            </w:pPr>
            <w:r>
              <w:rPr>
                <w:rFonts w:ascii="方正黑体_GBK" w:hAnsi="方正黑体_GBK" w:cs="宋体" w:eastAsia="方正黑体_GBK"/>
                <w:sz w:val="18"/>
                <w:szCs w:val="18"/>
              </w:rPr>
              <w:t>C份额：业绩比较基准为2.03%(年化)。</w:t>
            </w:r>
          </w:p>
          <w:p>
            <w:pPr>
              <w:pStyle w:val="null10"/>
              <w:spacing w:lineRule="exact" w:line="200"/>
            </w:pPr>
            <w:r>
              <w:rPr>
                <w:rFonts w:ascii="方正黑体_GBK" w:hAnsi="方正黑体_GBK" w:cs="宋体" w:eastAsia="方正黑体_GBK"/>
                <w:sz w:val="18"/>
                <w:szCs w:val="18"/>
              </w:rPr>
              <w:t>D份额：业绩比较基准为2.13%(年化)。</w:t>
            </w:r>
          </w:p>
          <w:p>
            <w:pPr>
              <w:pStyle w:val="null10"/>
              <w:spacing w:lineRule="exact" w:line="200"/>
            </w:pPr>
            <w:r>
              <w:rPr>
                <w:rFonts w:ascii="方正黑体_GBK" w:hAnsi="方正黑体_GBK" w:cs="宋体" w:eastAsia="方正黑体_GBK"/>
                <w:sz w:val="18"/>
                <w:szCs w:val="18"/>
              </w:rPr>
              <w:t>F份额：业绩比较基准为1.88%(年化)。</w:t>
            </w:r>
          </w:p>
          <w:p>
            <w:pPr>
              <w:pStyle w:val="null10"/>
              <w:spacing w:lineRule="exact" w:line="200"/>
            </w:pPr>
            <w:r>
              <w:rPr>
                <w:rFonts w:ascii="方正黑体_GBK" w:hAnsi="方正黑体_GBK" w:cs="宋体" w:eastAsia="方正黑体_GBK"/>
                <w:sz w:val="18"/>
                <w:szCs w:val="18"/>
              </w:rPr>
              <w:t>G份额：业绩比较基准为1.93%(年化)。</w:t>
            </w:r>
          </w:p>
          <w:p>
            <w:pPr>
              <w:pStyle w:val="null10"/>
              <w:spacing w:lineRule="exact" w:line="200"/>
            </w:pPr>
            <w:r>
              <w:rPr>
                <w:rFonts w:ascii="方正黑体_GBK" w:hAnsi="方正黑体_GBK" w:cs="宋体" w:eastAsia="方正黑体_GBK"/>
                <w:sz w:val="18"/>
                <w:szCs w:val="18"/>
              </w:rPr>
              <w:t>H份额：业绩比较基准为1.93%(年化)。</w:t>
            </w:r>
          </w:p>
          <w:p>
            <w:pPr>
              <w:pStyle w:val="null10"/>
              <w:spacing w:lineRule="exact" w:line="200"/>
            </w:pPr>
            <w:r>
              <w:rPr>
                <w:rFonts w:ascii="方正黑体_GBK" w:hAnsi="方正黑体_GBK" w:cs="宋体" w:eastAsia="方正黑体_GBK"/>
                <w:sz w:val="18"/>
                <w:szCs w:val="18"/>
              </w:rPr>
              <w:t>J份额：业绩比较基准为1.83%(年化)。</w:t>
            </w:r>
          </w:p>
          <w:p>
            <w:pPr>
              <w:pStyle w:val="null10"/>
              <w:spacing w:lineRule="exact" w:line="200"/>
            </w:pPr>
            <w:r>
              <w:rPr>
                <w:rFonts w:ascii="方正黑体_GBK" w:hAnsi="方正黑体_GBK" w:cs="宋体" w:eastAsia="方正黑体_GBK"/>
                <w:sz w:val="18"/>
                <w:szCs w:val="18"/>
              </w:rPr>
              <w:t>L份额：业绩比较基准为2.08%(年化)。</w:t>
            </w:r>
          </w:p>
          <w:p>
            <w:pPr>
              <w:pStyle w:val="null10"/>
              <w:spacing w:lineRule="exact" w:line="200"/>
            </w:pPr>
            <w:r>
              <w:rPr>
                <w:rFonts w:ascii="方正黑体_GBK" w:hAnsi="方正黑体_GBK" w:cs="宋体" w:eastAsia="方正黑体_GBK"/>
                <w:sz w:val="18"/>
                <w:szCs w:val="18"/>
              </w:rPr>
              <w:t>P份额：业绩比较基准为1.93%(年化)。</w:t>
            </w:r>
          </w:p>
          <w:p>
            <w:pPr>
              <w:pStyle w:val="null10"/>
              <w:spacing w:lineRule="exact" w:line="200"/>
            </w:pPr>
            <w:r>
              <w:rPr>
                <w:rFonts w:ascii="方正黑体_GBK" w:hAnsi="方正黑体_GBK" w:cs="宋体" w:eastAsia="方正黑体_GBK"/>
                <w:sz w:val="18"/>
                <w:szCs w:val="18"/>
              </w:rPr>
              <w:t>Q份额：业绩比较基准为1.98%(年化)。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P份额：销售费年化0.15%</w:t>
            </w:r>
          </w:p>
          <w:p>
            <w:pPr>
              <w:pStyle w:val="null10"/>
              <w:spacing w:lineRule="exact" w:line="200"/>
            </w:pPr>
            <w:r>
              <w:rPr>
                <w:rFonts w:ascii="方正黑体_GBK" w:hAnsi="方正黑体_GBK" w:cs="宋体" w:eastAsia="方正黑体_GBK"/>
                <w:sz w:val="18"/>
                <w:b/>
                <w:szCs w:val="18"/>
              </w:rPr>
              <w:t>Q份额：销售费年化0.1%</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A份额：固定管理费年化0.18%</w:t>
            </w:r>
          </w:p>
          <w:p>
            <w:pPr>
              <w:pStyle w:val="null10"/>
              <w:spacing w:lineRule="exact" w:line="200"/>
            </w:pPr>
            <w:r>
              <w:rPr>
                <w:rFonts w:ascii="方正黑体_GBK" w:hAnsi="方正黑体_GBK" w:cs="宋体" w:eastAsia="方正黑体_GBK"/>
                <w:sz w:val="18"/>
                <w:b/>
                <w:szCs w:val="18"/>
              </w:rPr>
              <w:t>B份额：固定管理费年化0.13%</w:t>
            </w:r>
          </w:p>
          <w:p>
            <w:pPr>
              <w:pStyle w:val="null10"/>
              <w:spacing w:lineRule="exact" w:line="200"/>
            </w:pPr>
            <w:r>
              <w:rPr>
                <w:rFonts w:ascii="方正黑体_GBK" w:hAnsi="方正黑体_GBK" w:cs="宋体" w:eastAsia="方正黑体_GBK"/>
                <w:sz w:val="18"/>
                <w:b/>
                <w:szCs w:val="18"/>
              </w:rPr>
              <w:t>C份额：固定管理费年化0.13%</w:t>
            </w:r>
          </w:p>
          <w:p>
            <w:pPr>
              <w:pStyle w:val="null10"/>
              <w:spacing w:lineRule="exact" w:line="200"/>
            </w:pPr>
            <w:r>
              <w:rPr>
                <w:rFonts w:ascii="方正黑体_GBK" w:hAnsi="方正黑体_GBK" w:cs="宋体" w:eastAsia="方正黑体_GBK"/>
                <w:sz w:val="18"/>
                <w:b/>
                <w:szCs w:val="18"/>
              </w:rPr>
              <w:t>D份额：固定管理费年化0.08%</w:t>
            </w:r>
          </w:p>
          <w:p>
            <w:pPr>
              <w:pStyle w:val="null10"/>
              <w:spacing w:lineRule="exact" w:line="200"/>
            </w:pPr>
            <w:r>
              <w:rPr>
                <w:rFonts w:ascii="方正黑体_GBK" w:hAnsi="方正黑体_GBK" w:cs="宋体" w:eastAsia="方正黑体_GBK"/>
                <w:sz w:val="18"/>
                <w:b/>
                <w:szCs w:val="18"/>
              </w:rPr>
              <w:t>F份额：固定管理费年化0.08%</w:t>
            </w:r>
          </w:p>
          <w:p>
            <w:pPr>
              <w:pStyle w:val="null10"/>
              <w:spacing w:lineRule="exact" w:line="200"/>
            </w:pPr>
            <w:r>
              <w:rPr>
                <w:rFonts w:ascii="方正黑体_GBK" w:hAnsi="方正黑体_GBK" w:cs="宋体" w:eastAsia="方正黑体_GBK"/>
                <w:sz w:val="18"/>
                <w:b/>
                <w:szCs w:val="18"/>
              </w:rPr>
              <w:t>G份额：固定管理费年化0.08%</w:t>
            </w:r>
          </w:p>
          <w:p>
            <w:pPr>
              <w:pStyle w:val="null10"/>
              <w:spacing w:lineRule="exact" w:line="200"/>
            </w:pPr>
            <w:r>
              <w:rPr>
                <w:rFonts w:ascii="方正黑体_GBK" w:hAnsi="方正黑体_GBK" w:cs="宋体" w:eastAsia="方正黑体_GBK"/>
                <w:sz w:val="18"/>
                <w:b/>
                <w:szCs w:val="18"/>
              </w:rPr>
              <w:t>H份额：固定管理费年化0.13%</w:t>
            </w:r>
          </w:p>
          <w:p>
            <w:pPr>
              <w:pStyle w:val="null10"/>
              <w:spacing w:lineRule="exact" w:line="200"/>
            </w:pPr>
            <w:r>
              <w:rPr>
                <w:rFonts w:ascii="方正黑体_GBK" w:hAnsi="方正黑体_GBK" w:cs="宋体" w:eastAsia="方正黑体_GBK"/>
                <w:sz w:val="18"/>
                <w:b/>
                <w:szCs w:val="18"/>
              </w:rPr>
              <w:t>J份额：固定管理费年化0.18%</w:t>
            </w:r>
          </w:p>
          <w:p>
            <w:pPr>
              <w:pStyle w:val="null10"/>
              <w:spacing w:lineRule="exact" w:line="200"/>
            </w:pPr>
            <w:r>
              <w:rPr>
                <w:rFonts w:ascii="方正黑体_GBK" w:hAnsi="方正黑体_GBK" w:cs="宋体" w:eastAsia="方正黑体_GBK"/>
                <w:sz w:val="18"/>
                <w:b/>
                <w:szCs w:val="18"/>
              </w:rPr>
              <w:t>L份额：固定管理费年化0.08%</w:t>
            </w:r>
          </w:p>
          <w:p>
            <w:pPr>
              <w:pStyle w:val="null10"/>
              <w:spacing w:lineRule="exact" w:line="200"/>
            </w:pPr>
            <w:r>
              <w:rPr>
                <w:rFonts w:ascii="方正黑体_GBK" w:hAnsi="方正黑体_GBK" w:cs="宋体" w:eastAsia="方正黑体_GBK"/>
                <w:sz w:val="18"/>
                <w:b/>
                <w:szCs w:val="18"/>
              </w:rPr>
              <w:t>P份额：固定管理费年化0.13%</w:t>
            </w:r>
          </w:p>
          <w:p>
            <w:pPr>
              <w:pStyle w:val="null10"/>
              <w:spacing w:lineRule="exact" w:line="200"/>
            </w:pPr>
            <w:r>
              <w:rPr>
                <w:rFonts w:ascii="方正黑体_GBK" w:hAnsi="方正黑体_GBK" w:cs="宋体" w:eastAsia="方正黑体_GBK"/>
                <w:sz w:val="18"/>
                <w:b/>
                <w:szCs w:val="18"/>
              </w:rPr>
              <w:t>Q份额：固定管理费年化0.13%</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C份额：到期兑付时，当期产品投资的实际资产组合收益（扣除销售费、固定管理费、托管费等相关费用）超过2.03%（年化，即产品该份额对应的业绩报酬计提基准）时，超过部分管理人将按60%收取业绩报酬。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D份额：到期兑付时，当期产品投资的实际资产组合收益（扣除销售费、固定管理费、托管费等相关费用）超过2.13%（年化，即产品该份额对应的业绩报酬计提基准）时，超过部分管理人将按60%收取业绩报酬。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F份额：到期兑付时，当期产品投资的实际资产组合收益（扣除销售费、固定管理费、托管费等相关费用）超过1.88%（年化，即产品该份额对应的业绩报酬计提基准）时，超过部分管理人将按60%收取业绩报酬。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J份额：到期兑付时，当期产品投资的实际资产组合收益（扣除销售费、固定管理费、托管费等相关费用）超过1.83%（年化，即产品该份额对应的业绩报酬计提基准）时，超过部分管理人将按60%收取业绩报酬。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L份额：到期兑付时，当期产品投资的实际资产组合收益（扣除销售费、固定管理费、托管费等相关费用）超过2.08%（年化，即产品该份额对应的业绩报酬计提基准）时，超过部分管理人将按60%收取业绩报酬。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P份额：到期兑付时，当期产品投资的实际资产组合收益（扣除销售费、固定管理费、托管费等相关费用）超过1.93%（年化，即产品该份额对应的业绩报酬计提基准）时，超过部分管理人将按60%收取业绩报酬。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Q份额：到期兑付时，当期产品投资的实际资产组合收益（扣除销售费、固定管理费、托管费等相关费用）超过1.98%（年化，即产品该份额对应的业绩报酬计提基准）时，超过部分管理人将按60%收取业绩报酬。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广州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011aaaf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13121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131210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13121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131210f"/>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13121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13121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13121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131210f"/>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南银理财珠联璧合鑫逸稳半年154期封闭式公募人民币理财产品</w:t>
      </w:r>
      <w:r>
        <w:rPr>
          <w:rFonts w:ascii="方正黑体_GBK" w:eastAsia="方正黑体_GBK" w:hint="eastAsia" w:hAnsi="方正黑体_GBK"/>
          <w:vanish w:val="0"/>
          <w:color w:val="3D3D3D"/>
          <w:kern w:val="0"/>
          <w:sz w:val="15"/>
          <w:szCs w:val="15"/>
        </w:rPr>
        <w:t>。</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131210f"/>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131210f"/>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131210f"/>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131210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03e8649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03e8649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03e8649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03e8649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03e8649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03e86498"/>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131210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131210f"/>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131210f"/>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03e86498"/>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011aaaf0"/>
        <w:keepNext w:val="0"/>
        <w:keepLines w:val="0"/>
        <w:pageBreakBefore w:val="0"/>
        <w:widowControl/>
        <w:suppressLineNumbers w:val="0"/>
        <w:suppressAutoHyphens w:val="0"/>
        <w:spacing w:line="200" w:lineRule="exact"/>
        <w:ind w:firstLineChars="200" w:firstLine="300"/>
        <w:rPr>
          <w:rStyle w:val="03e86498"/>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011aaaf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011aaaf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011aaaf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011aaaf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011aaaf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011aaaf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011aaaf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011aaaf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9fb8f82">
    <w:name w:val="Normal19fb8f8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7395e08">
    <w:name w:val="heading 187395e08"/>
    <w:basedOn w:val="19fb8f82"/>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7cb2b31">
    <w:name w:val="heading 2b7cb2b31"/>
    <w:basedOn w:val="19fb8f82"/>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c38dac5">
    <w:name w:val="heading 33c38dac5"/>
    <w:basedOn w:val="19fb8f82"/>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ac6fc32">
    <w:name w:val="Default Paragraph Font2ac6fc32"/>
  </w:style>
  <w:style xmlns:r="http://schemas.openxmlformats.org/officeDocument/2006/relationships" w:type="paragraph" w:styleId="c4aa2cbc">
    <w:name w:val="toc 1c4aa2cbc"/>
    <w:basedOn w:val="19fb8f82"/>
    <w:autoRedefine/>
    <w:next w:val="0"/>
  </w:style>
  <w:style xmlns:r="http://schemas.openxmlformats.org/officeDocument/2006/relationships" w:type="paragraph" w:styleId="ba670a30">
    <w:name w:val="toc 2ba670a30"/>
    <w:basedOn w:val="19fb8f82"/>
    <w:autoRedefine/>
    <w:next w:val="0"/>
    <w:pPr>
      <w:ind w:left="420"/>
    </w:pPr>
  </w:style>
  <w:style xmlns:r="http://schemas.openxmlformats.org/officeDocument/2006/relationships" w:type="paragraph" w:styleId="c1b44e2f">
    <w:name w:val="toc 3c1b44e2f"/>
    <w:basedOn w:val="19fb8f82"/>
    <w:autoRedefine/>
    <w:next w:val="0"/>
    <w:pPr>
      <w:ind w:left="840"/>
    </w:pPr>
  </w:style>
  <w:style xmlns:r="http://schemas.openxmlformats.org/officeDocument/2006/relationships" w:type="paragraph" w:styleId="466dabcc">
    <w:name w:val="toc 4466dabcc"/>
    <w:basedOn w:val="19fb8f82"/>
    <w:autoRedefine/>
    <w:next w:val="0"/>
    <w:pPr>
      <w:ind w:left="1260"/>
    </w:pPr>
  </w:style>
  <w:style xmlns:r="http://schemas.openxmlformats.org/officeDocument/2006/relationships" w:type="paragraph" w:styleId="bf210b7e">
    <w:name w:val="toc 5bf210b7e"/>
    <w:basedOn w:val="19fb8f82"/>
    <w:autoRedefine/>
    <w:next w:val="0"/>
    <w:pPr>
      <w:ind w:left="1680"/>
    </w:pPr>
  </w:style>
  <w:style xmlns:r="http://schemas.openxmlformats.org/officeDocument/2006/relationships" w:type="paragraph" w:styleId="6ccea4bd">
    <w:name w:val="header6ccea4bd"/>
    <w:basedOn w:val="19fb8f82"/>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13a0dc2">
    <w:name w:val="footer713a0dc2"/>
    <w:basedOn w:val="19fb8f82"/>
    <w:pPr>
      <w:tabs>
        <w:tab w:val="center" w:pos="4153"/>
        <w:tab w:val="right" w:pos="8307"/>
      </w:tabs>
      <w:adjustRightInd/>
      <w:snapToGrid w:val="0"/>
      <w:contextualSpacing w:val="0"/>
      <w:jc w:val="left"/>
    </w:pPr>
    <w:rPr>
      <w:sz w:val="18"/>
    </w:rPr>
  </w:style>
  <w:style xmlns:r="http://schemas.openxmlformats.org/officeDocument/2006/relationships" w:type="character" w:styleId="c2f8f2d4">
    <w:name w:val="Strongc2f8f2d4"/>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011aaaf0">
    <w:name w:val="Normal011aaaf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450611a">
    <w:name w:val="heading 1a450611a"/>
    <w:basedOn w:val="011aaaf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9d75953">
    <w:name w:val="heading 279d75953"/>
    <w:basedOn w:val="011aaaf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1c4c0ae">
    <w:name w:val="heading 3d1c4c0ae"/>
    <w:basedOn w:val="011aaaf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4b7f0f4">
    <w:name w:val="Default Paragraph Font84b7f0f4"/>
  </w:style>
  <w:style xmlns:r="http://schemas.openxmlformats.org/officeDocument/2006/relationships" w:type="paragraph" w:styleId="749f12e7">
    <w:name w:val="Normal Indent749f12e7"/>
    <w:basedOn w:val="011aaaf0"/>
    <w:pPr>
      <w:ind w:firstLineChars="200" w:firstLine="200"/>
    </w:pPr>
  </w:style>
  <w:style xmlns:r="http://schemas.openxmlformats.org/officeDocument/2006/relationships" w:type="paragraph" w:styleId="6e933412">
    <w:name w:val="toc 56e933412"/>
    <w:basedOn w:val="011aaaf0"/>
    <w:next w:val="0"/>
    <w:pPr>
      <w:ind w:left="1680"/>
    </w:pPr>
  </w:style>
  <w:style xmlns:r="http://schemas.openxmlformats.org/officeDocument/2006/relationships" w:type="paragraph" w:styleId="cfaef103">
    <w:name w:val="toc 3cfaef103"/>
    <w:basedOn w:val="011aaaf0"/>
    <w:next w:val="0"/>
    <w:pPr>
      <w:ind w:left="840"/>
    </w:pPr>
  </w:style>
  <w:style xmlns:r="http://schemas.openxmlformats.org/officeDocument/2006/relationships" w:type="paragraph" w:styleId="9ec9c77b">
    <w:name w:val="footer9ec9c77b"/>
    <w:basedOn w:val="011aaaf0"/>
    <w:pPr>
      <w:tabs>
        <w:tab w:val="center" w:pos="4153"/>
        <w:tab w:val="right" w:pos="8307"/>
      </w:tabs>
      <w:adjustRightInd/>
      <w:snapToGrid w:val="0"/>
      <w:contextualSpacing w:val="0"/>
      <w:jc w:val="left"/>
    </w:pPr>
    <w:rPr>
      <w:sz w:val="18"/>
    </w:rPr>
  </w:style>
  <w:style xmlns:r="http://schemas.openxmlformats.org/officeDocument/2006/relationships" w:type="paragraph" w:styleId="e3f4c0b8">
    <w:name w:val="headere3f4c0b8"/>
    <w:basedOn w:val="011aaaf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98a7bcc">
    <w:name w:val="toc 1598a7bcc"/>
    <w:basedOn w:val="011aaaf0"/>
    <w:next w:val="0"/>
  </w:style>
  <w:style xmlns:r="http://schemas.openxmlformats.org/officeDocument/2006/relationships" w:type="paragraph" w:styleId="a5f580fa">
    <w:name w:val="toc 4a5f580fa"/>
    <w:basedOn w:val="011aaaf0"/>
    <w:next w:val="0"/>
    <w:pPr>
      <w:ind w:left="1260"/>
    </w:pPr>
  </w:style>
  <w:style xmlns:r="http://schemas.openxmlformats.org/officeDocument/2006/relationships" w:type="paragraph" w:styleId="d78c417e">
    <w:name w:val="toc 2d78c417e"/>
    <w:basedOn w:val="011aaaf0"/>
    <w:next w:val="0"/>
    <w:pPr>
      <w:ind w:left="420"/>
    </w:pPr>
  </w:style>
  <w:style xmlns:r="http://schemas.openxmlformats.org/officeDocument/2006/relationships" w:type="paragraph" w:styleId="1e32cb26">
    <w:name w:val="Normal (Web)1e32cb2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131210f">
    <w:name w:val="Normal1131210f1131210f"/>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de811cf7">
    <w:name w:val="heading 1de811cf7de811cf7"/>
    <w:basedOn w:val="1131210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949e86b">
    <w:name w:val="heading 27949e86b7949e86b"/>
    <w:basedOn w:val="1131210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56105e17">
    <w:name w:val="heading 356105e1756105e17"/>
    <w:basedOn w:val="1131210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5bba663">
    <w:name w:val="Default Paragraph Fontc5bba663c5bba663"/>
  </w:style>
  <w:style xmlns:r="http://schemas.openxmlformats.org/officeDocument/2006/relationships" w:type="paragraph" w:customStyle="1" w:styleId="63057364">
    <w:name w:val="引文目录16305736463057364"/>
    <w:basedOn w:val="1131210f"/>
    <w:next w:val="0"/>
    <w:pPr>
      <w:ind w:leftChars="200" w:left="200"/>
    </w:pPr>
  </w:style>
  <w:style xmlns:r="http://schemas.openxmlformats.org/officeDocument/2006/relationships" w:type="paragraph" w:styleId="25df0d29">
    <w:name w:val="toc 525df0d2925df0d29"/>
    <w:basedOn w:val="1131210f"/>
    <w:next w:val="0"/>
    <w:pPr>
      <w:ind w:left="1680"/>
    </w:pPr>
  </w:style>
  <w:style xmlns:r="http://schemas.openxmlformats.org/officeDocument/2006/relationships" w:type="paragraph" w:styleId="6c37bc89">
    <w:name w:val="toc 36c37bc896c37bc89"/>
    <w:basedOn w:val="1131210f"/>
    <w:next w:val="0"/>
    <w:pPr>
      <w:ind w:left="840"/>
    </w:pPr>
  </w:style>
  <w:style xmlns:r="http://schemas.openxmlformats.org/officeDocument/2006/relationships" w:type="paragraph" w:styleId="b6d4b988">
    <w:name w:val="footerb6d4b988b6d4b988"/>
    <w:basedOn w:val="1131210f"/>
    <w:pPr>
      <w:tabs>
        <w:tab w:val="center" w:pos="4153"/>
        <w:tab w:val="right" w:pos="8307"/>
      </w:tabs>
      <w:adjustRightInd/>
      <w:snapToGrid w:val="0"/>
      <w:contextualSpacing w:val="0"/>
      <w:jc w:val="left"/>
    </w:pPr>
    <w:rPr>
      <w:sz w:val="18"/>
    </w:rPr>
  </w:style>
  <w:style xmlns:r="http://schemas.openxmlformats.org/officeDocument/2006/relationships" w:type="paragraph" w:styleId="54d217c1">
    <w:name w:val="header54d217c154d217c1"/>
    <w:basedOn w:val="1131210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d24dfd9">
    <w:name w:val="toc 19d24dfd99d24dfd9"/>
    <w:basedOn w:val="1131210f"/>
    <w:next w:val="0"/>
  </w:style>
  <w:style xmlns:r="http://schemas.openxmlformats.org/officeDocument/2006/relationships" w:type="paragraph" w:styleId="45bcc939">
    <w:name w:val="toc 445bcc93945bcc939"/>
    <w:basedOn w:val="1131210f"/>
    <w:next w:val="0"/>
    <w:pPr>
      <w:ind w:left="1260"/>
    </w:pPr>
  </w:style>
  <w:style xmlns:r="http://schemas.openxmlformats.org/officeDocument/2006/relationships" w:type="paragraph" w:styleId="d6558b95">
    <w:name w:val="toc 2d6558b95d6558b95"/>
    <w:basedOn w:val="1131210f"/>
    <w:next w:val="0"/>
    <w:pPr>
      <w:ind w:left="420"/>
    </w:pPr>
  </w:style>
  <w:style xmlns:r="http://schemas.openxmlformats.org/officeDocument/2006/relationships" w:type="paragraph" w:customStyle="1" w:styleId="03e86498">
    <w:name w:val="列出段落103e8649803e86498"/>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