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bdab05ff"/>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bdab05ff"/>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725855a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725855ab"/>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f3e6d796"/>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南银理财珠联璧合鑫逸稳一年250期封闭式公募人民币理财产品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ZZ700322500601</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Z7003225000389(投资者可依据该编码在中国理财网www.chinawealth.com.cn查询理财产品相关信息）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A份额：Y30250</w:t>
            </w:r>
          </w:p>
          <w:p>
            <w:pPr>
              <w:pStyle w:val="null10"/>
              <w:spacing w:lineRule="exact" w:line="200"/>
            </w:pPr>
            <w:r>
              <w:rPr>
                <w:rFonts w:ascii="方正黑体_GBK" w:hAnsi="方正黑体_GBK" w:cs="宋体" w:eastAsia="方正黑体_GBK"/>
                <w:sz w:val="18"/>
                <w:szCs w:val="18"/>
              </w:rPr>
              <w:t>B份额：Y31250</w:t>
            </w:r>
          </w:p>
          <w:p>
            <w:pPr>
              <w:pStyle w:val="null10"/>
              <w:spacing w:lineRule="exact" w:line="200"/>
            </w:pPr>
            <w:r>
              <w:rPr>
                <w:rFonts w:ascii="方正黑体_GBK" w:hAnsi="方正黑体_GBK" w:cs="宋体" w:eastAsia="方正黑体_GBK"/>
                <w:sz w:val="18"/>
                <w:szCs w:val="18"/>
              </w:rPr>
              <w:t>C份额：Y32250</w:t>
            </w:r>
          </w:p>
          <w:p>
            <w:pPr>
              <w:pStyle w:val="null10"/>
              <w:spacing w:lineRule="exact" w:line="200"/>
            </w:pPr>
            <w:r>
              <w:rPr>
                <w:rFonts w:ascii="方正黑体_GBK" w:hAnsi="方正黑体_GBK" w:cs="宋体" w:eastAsia="方正黑体_GBK"/>
                <w:sz w:val="18"/>
                <w:szCs w:val="18"/>
              </w:rPr>
              <w:t>D份额：Y33250</w:t>
            </w:r>
          </w:p>
          <w:p>
            <w:pPr>
              <w:pStyle w:val="null10"/>
              <w:spacing w:lineRule="exact" w:line="200"/>
            </w:pPr>
            <w:r>
              <w:rPr>
                <w:rFonts w:ascii="方正黑体_GBK" w:hAnsi="方正黑体_GBK" w:cs="宋体" w:eastAsia="方正黑体_GBK"/>
                <w:sz w:val="18"/>
                <w:szCs w:val="18"/>
              </w:rPr>
              <w:t>F份额：Y35250</w:t>
            </w:r>
          </w:p>
          <w:p>
            <w:pPr>
              <w:pStyle w:val="null10"/>
              <w:spacing w:lineRule="exact" w:line="200"/>
            </w:pPr>
            <w:r>
              <w:rPr>
                <w:rFonts w:ascii="方正黑体_GBK" w:hAnsi="方正黑体_GBK" w:cs="宋体" w:eastAsia="方正黑体_GBK"/>
                <w:sz w:val="18"/>
                <w:szCs w:val="18"/>
              </w:rPr>
              <w:t>G份额：Y36250</w:t>
            </w:r>
          </w:p>
          <w:p>
            <w:pPr>
              <w:pStyle w:val="null10"/>
              <w:spacing w:lineRule="exact" w:line="200"/>
            </w:pPr>
            <w:r>
              <w:rPr>
                <w:rFonts w:ascii="方正黑体_GBK" w:hAnsi="方正黑体_GBK" w:cs="宋体" w:eastAsia="方正黑体_GBK"/>
                <w:sz w:val="18"/>
                <w:szCs w:val="18"/>
              </w:rPr>
              <w:t>K份额：YA30250</w:t>
            </w:r>
          </w:p>
          <w:p>
            <w:pPr>
              <w:pStyle w:val="null10"/>
              <w:spacing w:lineRule="exact" w:line="200"/>
            </w:pPr>
            <w:r>
              <w:rPr>
                <w:rFonts w:ascii="方正黑体_GBK" w:hAnsi="方正黑体_GBK" w:cs="宋体" w:eastAsia="方正黑体_GBK"/>
                <w:sz w:val="18"/>
                <w:szCs w:val="18"/>
              </w:rPr>
              <w:t>L份额：YB30250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 私行客户)、徽商银行股份有限公司( 常规客群)、杭州银行股份有限公司( 大众客户)、烟台银行股份有限公司( 社保卡客户)、广州银行股份有限公司、江苏常熟农村商业银行股份有限公司(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滨海分行专属)、江苏南通农村商业银行股份有限公司( 代发客户)、江苏江都农村商业银行股份有限公司、江苏淮安农村商业银行股份有限公司(财富客户)、江苏镇江农村商业银行股份有限公司( 20万元起购)、江苏如皋农村商业银行股份有限公司(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C份额：杭州银行股份有限公司( 私行客户)、烟台银行股份有限公司(特邀客户)、嘉兴银行股份有限公司( 私行客户)、蒙商银行股份有限公司(特邀客户)、郑州银行股份有限公司、苏州银行股份有限公司(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D份额：温州银行股份有限公司、天津农村商业银行股份有限公司(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2025年12月03日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2025年12月03日—实际到期日（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2027年01月06日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A份额：业绩比较基准为年化2.15%-2.4% 。</w:t>
            </w:r>
          </w:p>
          <w:p>
            <w:pPr>
              <w:pStyle w:val="null10"/>
              <w:spacing w:lineRule="exact" w:line="200"/>
            </w:pPr>
            <w:r>
              <w:rPr>
                <w:rFonts w:ascii="方正黑体_GBK" w:hAnsi="方正黑体_GBK" w:cs="宋体" w:eastAsia="方正黑体_GBK"/>
                <w:sz w:val="18"/>
                <w:szCs w:val="18"/>
              </w:rPr>
              <w:t>B份额：业绩比较基准为年化2.25%-2.5% 。</w:t>
            </w:r>
          </w:p>
          <w:p>
            <w:pPr>
              <w:pStyle w:val="null10"/>
              <w:spacing w:lineRule="exact" w:line="200"/>
            </w:pPr>
            <w:r>
              <w:rPr>
                <w:rFonts w:ascii="方正黑体_GBK" w:hAnsi="方正黑体_GBK" w:cs="宋体" w:eastAsia="方正黑体_GBK"/>
                <w:sz w:val="18"/>
                <w:szCs w:val="18"/>
              </w:rPr>
              <w:t>C份额：业绩比较基准为年化2.35%-2.6% 。</w:t>
            </w:r>
          </w:p>
          <w:p>
            <w:pPr>
              <w:pStyle w:val="null10"/>
              <w:spacing w:lineRule="exact" w:line="200"/>
            </w:pPr>
            <w:r>
              <w:rPr>
                <w:rFonts w:ascii="方正黑体_GBK" w:hAnsi="方正黑体_GBK" w:cs="宋体" w:eastAsia="方正黑体_GBK"/>
                <w:sz w:val="18"/>
                <w:szCs w:val="18"/>
              </w:rPr>
              <w:t>D份额：业绩比较基准为年化2.45%-2.7% 。</w:t>
            </w:r>
          </w:p>
          <w:p>
            <w:pPr>
              <w:pStyle w:val="null10"/>
              <w:spacing w:lineRule="exact" w:line="200"/>
            </w:pPr>
            <w:r>
              <w:rPr>
                <w:rFonts w:ascii="方正黑体_GBK" w:hAnsi="方正黑体_GBK" w:cs="宋体" w:eastAsia="方正黑体_GBK"/>
                <w:sz w:val="18"/>
                <w:szCs w:val="18"/>
              </w:rPr>
              <w:t>F份额：业绩比较基准为年化2.2%-2.45% 。</w:t>
            </w:r>
          </w:p>
          <w:p>
            <w:pPr>
              <w:pStyle w:val="null10"/>
              <w:spacing w:lineRule="exact" w:line="200"/>
            </w:pPr>
            <w:r>
              <w:rPr>
                <w:rFonts w:ascii="方正黑体_GBK" w:hAnsi="方正黑体_GBK" w:cs="宋体" w:eastAsia="方正黑体_GBK"/>
                <w:sz w:val="18"/>
                <w:szCs w:val="18"/>
              </w:rPr>
              <w:t>G份额：业绩比较基准为年化2.25%-2.5% 。</w:t>
            </w:r>
          </w:p>
          <w:p>
            <w:pPr>
              <w:pStyle w:val="null10"/>
              <w:spacing w:lineRule="exact" w:line="200"/>
            </w:pPr>
            <w:r>
              <w:rPr>
                <w:rFonts w:ascii="方正黑体_GBK" w:hAnsi="方正黑体_GBK" w:cs="宋体" w:eastAsia="方正黑体_GBK"/>
                <w:sz w:val="18"/>
                <w:szCs w:val="18"/>
              </w:rPr>
              <w:t>K份额：业绩比较基准为年化2.3%-2.55% 。</w:t>
            </w:r>
          </w:p>
          <w:p>
            <w:pPr>
              <w:pStyle w:val="null10"/>
              <w:spacing w:lineRule="exact" w:line="200"/>
            </w:pPr>
            <w:r>
              <w:rPr>
                <w:rFonts w:ascii="方正黑体_GBK" w:hAnsi="方正黑体_GBK" w:cs="宋体" w:eastAsia="方正黑体_GBK"/>
                <w:sz w:val="18"/>
                <w:szCs w:val="18"/>
              </w:rPr>
              <w:t>L份额：业绩比较基准为年化2.4%-2.65%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F份额：固定管理费年化0.1%</w:t>
            </w:r>
          </w:p>
          <w:p>
            <w:pPr>
              <w:pStyle w:val="null10"/>
              <w:spacing w:lineRule="exact" w:line="200"/>
            </w:pPr>
            <w:r>
              <w:rPr>
                <w:rFonts w:ascii="方正黑体_GBK" w:hAnsi="方正黑体_GBK" w:cs="宋体" w:eastAsia="方正黑体_GBK"/>
                <w:sz w:val="18"/>
                <w:b/>
                <w:szCs w:val="18"/>
              </w:rPr>
              <w:t>G份额：固定管理费年化0.1%</w:t>
            </w:r>
          </w:p>
          <w:p>
            <w:pPr>
              <w:pStyle w:val="null10"/>
              <w:spacing w:lineRule="exact" w:line="200"/>
            </w:pPr>
            <w:r>
              <w:rPr>
                <w:rFonts w:ascii="方正黑体_GBK" w:hAnsi="方正黑体_GBK" w:cs="宋体" w:eastAsia="方正黑体_GBK"/>
                <w:sz w:val="18"/>
                <w:b/>
                <w:szCs w:val="18"/>
              </w:rPr>
              <w:t>K份额：固定管理费年化0.1%</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2.15%（含）（年化，即产品该份额对应的业绩报酬计提基准）至2.4%（不含）之间的部分，管理人将按超过2.15%部分的50%收取业绩报酬；在2.4%（含）（年化，即产品该份额对应的业绩报酬计提基准）以上的部分，管理人将按超过2.4%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2.2%（含）（年化，即产品该份额对应的业绩报酬计提基准）至2.45%（不含）之间的部分，管理人将按超过2.2%部分的50%收取业绩报酬；在2.45%（含）（年化，即产品该份额对应的业绩报酬计提基准）以上的部分，管理人将按超过2.45%部分的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在2.25%（含）（年化，即产品该份额对应的业绩报酬计提基准）至2.5%（不含）之间的部分，管理人将按超过2.25%部分的50%收取业绩报酬；在2.5%（含）（年化，即产品该份额对应的业绩报酬计提基准）以上的部分，管理人将按超过2.5%部分的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在2.3%（含）（年化，即产品该份额对应的业绩报酬计提基准）至2.55%（不含）之间的部分，管理人将按超过2.3%部分的50%收取业绩报酬；在2.55%（含）（年化，即产品该份额对应的业绩报酬计提基准）以上的部分，管理人将按超过2.55%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pPr>
              <w:pStyle w:val="null10"/>
              <w:spacing w:lineRule="exact" w:line="200"/>
            </w:pPr>
            <w:r>
              <w:rPr>
                <w:rFonts w:ascii="方正黑体_GBK" w:hAnsi="方正黑体_GBK" w:cs="宋体" w:eastAsia="方正黑体_GBK"/>
                <w:sz w:val="18"/>
                <w:b/>
                <w:szCs w:val="18"/>
              </w:rPr>
              <w:t>3.本理财产品所有份额的固定管理费自本理财产品成立日（含）至2025年12月31日（含）期间优惠至0.01%。</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725855ab"/>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21d42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21d42d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21d42d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21d42d8"/>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21d42d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21d42d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21d42d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21d42d8"/>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南银理财珠联璧合鑫逸稳一年250期封闭式公募人民币理财产品</w:t>
      </w:r>
      <w:r>
        <w:rPr>
          <w:rFonts w:ascii="方正黑体_GBK" w:eastAsia="方正黑体_GBK" w:hint="eastAsia" w:hAnsi="方正黑体_GBK"/>
          <w:vanish w:val="0"/>
          <w:color w:val="3D3D3D"/>
          <w:kern w:val="0"/>
          <w:sz w:val="15"/>
          <w:szCs w:val="15"/>
        </w:rPr>
        <w:t>。</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21d42d8"/>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21d42d8"/>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21d42d8"/>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21d42d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5ffb5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5ffb5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5ffb5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5ffb5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5ffb5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5ffb5b5"/>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21d42d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21d42d8"/>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21d42d8"/>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5ffb5b5"/>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725855ab"/>
        <w:keepNext w:val="0"/>
        <w:keepLines w:val="0"/>
        <w:pageBreakBefore w:val="0"/>
        <w:widowControl/>
        <w:suppressLineNumbers w:val="0"/>
        <w:suppressAutoHyphens w:val="0"/>
        <w:spacing w:line="200" w:lineRule="exact"/>
        <w:ind w:firstLineChars="200" w:firstLine="300"/>
        <w:rPr>
          <w:rStyle w:val="65ffb5b5"/>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725855a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725855ab"/>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725855ab"/>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725855a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725855a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725855ab"/>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725855a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725855ab"/>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1"/>
  </w:num>
  <w:num w:numId="3">
    <w:abstractNumId w:val="2"/>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bdab05ff">
    <w:name w:val="Normalbdab05ff"/>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6f3c0c79">
    <w:name w:val="heading 16f3c0c79"/>
    <w:basedOn w:val="bdab05ff"/>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b287636">
    <w:name w:val="heading 2bb287636"/>
    <w:basedOn w:val="bdab05ff"/>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809c37b">
    <w:name w:val="heading 31809c37b"/>
    <w:basedOn w:val="bdab05ff"/>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1df91b12">
    <w:name w:val="Default Paragraph Font1df91b12"/>
  </w:style>
  <w:style xmlns:r="http://schemas.openxmlformats.org/officeDocument/2006/relationships" w:type="paragraph" w:styleId="069e6dbd">
    <w:name w:val="toc 1069e6dbd"/>
    <w:basedOn w:val="bdab05ff"/>
    <w:autoRedefine/>
    <w:next w:val="0"/>
  </w:style>
  <w:style xmlns:r="http://schemas.openxmlformats.org/officeDocument/2006/relationships" w:type="paragraph" w:styleId="10d4a54c">
    <w:name w:val="toc 210d4a54c"/>
    <w:basedOn w:val="bdab05ff"/>
    <w:autoRedefine/>
    <w:next w:val="0"/>
    <w:pPr>
      <w:ind w:left="420"/>
    </w:pPr>
  </w:style>
  <w:style xmlns:r="http://schemas.openxmlformats.org/officeDocument/2006/relationships" w:type="paragraph" w:styleId="356b4ae6">
    <w:name w:val="toc 3356b4ae6"/>
    <w:basedOn w:val="bdab05ff"/>
    <w:autoRedefine/>
    <w:next w:val="0"/>
    <w:pPr>
      <w:ind w:left="840"/>
    </w:pPr>
  </w:style>
  <w:style xmlns:r="http://schemas.openxmlformats.org/officeDocument/2006/relationships" w:type="paragraph" w:styleId="d0a3b5be">
    <w:name w:val="toc 4d0a3b5be"/>
    <w:basedOn w:val="bdab05ff"/>
    <w:autoRedefine/>
    <w:next w:val="0"/>
    <w:pPr>
      <w:ind w:left="1260"/>
    </w:pPr>
  </w:style>
  <w:style xmlns:r="http://schemas.openxmlformats.org/officeDocument/2006/relationships" w:type="paragraph" w:styleId="4f93bc0f">
    <w:name w:val="toc 54f93bc0f"/>
    <w:basedOn w:val="bdab05ff"/>
    <w:autoRedefine/>
    <w:next w:val="0"/>
    <w:pPr>
      <w:ind w:left="1680"/>
    </w:pPr>
  </w:style>
  <w:style xmlns:r="http://schemas.openxmlformats.org/officeDocument/2006/relationships" w:type="paragraph" w:styleId="fbe50ddc">
    <w:name w:val="headerfbe50ddc"/>
    <w:basedOn w:val="bdab05ff"/>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be7369f">
    <w:name w:val="footer1be7369f"/>
    <w:basedOn w:val="bdab05ff"/>
    <w:pPr>
      <w:tabs>
        <w:tab w:val="center" w:pos="4153"/>
        <w:tab w:val="right" w:pos="8307"/>
      </w:tabs>
      <w:adjustRightInd/>
      <w:snapToGrid w:val="0"/>
      <w:contextualSpacing w:val="0"/>
      <w:jc w:val="left"/>
    </w:pPr>
    <w:rPr>
      <w:sz w:val="18"/>
    </w:rPr>
  </w:style>
  <w:style xmlns:r="http://schemas.openxmlformats.org/officeDocument/2006/relationships" w:type="character" w:styleId="dd1dcac7">
    <w:name w:val="Strongdd1dcac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25855ab">
    <w:name w:val="Normal725855ab"/>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56980e3a">
    <w:name w:val="heading 156980e3a"/>
    <w:basedOn w:val="725855a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f1e93c55">
    <w:name w:val="heading 2f1e93c55"/>
    <w:basedOn w:val="725855a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cfa63bc">
    <w:name w:val="heading 30cfa63bc"/>
    <w:basedOn w:val="725855a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dc2b7e">
    <w:name w:val="Default Paragraph Fonte2dc2b7e"/>
  </w:style>
  <w:style xmlns:r="http://schemas.openxmlformats.org/officeDocument/2006/relationships" w:type="paragraph" w:styleId="5c4d7e0e">
    <w:name w:val="Normal Indent5c4d7e0e"/>
    <w:basedOn w:val="725855ab"/>
    <w:pPr>
      <w:ind w:firstLineChars="200" w:firstLine="200"/>
    </w:pPr>
  </w:style>
  <w:style xmlns:r="http://schemas.openxmlformats.org/officeDocument/2006/relationships" w:type="paragraph" w:styleId="affb37e9">
    <w:name w:val="toc 5affb37e9"/>
    <w:basedOn w:val="725855ab"/>
    <w:next w:val="0"/>
    <w:pPr>
      <w:ind w:left="1680"/>
    </w:pPr>
  </w:style>
  <w:style xmlns:r="http://schemas.openxmlformats.org/officeDocument/2006/relationships" w:type="paragraph" w:styleId="5adc9956">
    <w:name w:val="toc 35adc9956"/>
    <w:basedOn w:val="725855ab"/>
    <w:next w:val="0"/>
    <w:pPr>
      <w:ind w:left="840"/>
    </w:pPr>
  </w:style>
  <w:style xmlns:r="http://schemas.openxmlformats.org/officeDocument/2006/relationships" w:type="paragraph" w:styleId="fb6d27a7">
    <w:name w:val="footerfb6d27a7"/>
    <w:basedOn w:val="725855ab"/>
    <w:pPr>
      <w:tabs>
        <w:tab w:val="center" w:pos="4153"/>
        <w:tab w:val="right" w:pos="8307"/>
      </w:tabs>
      <w:adjustRightInd/>
      <w:snapToGrid w:val="0"/>
      <w:contextualSpacing w:val="0"/>
      <w:jc w:val="left"/>
    </w:pPr>
    <w:rPr>
      <w:sz w:val="18"/>
    </w:rPr>
  </w:style>
  <w:style xmlns:r="http://schemas.openxmlformats.org/officeDocument/2006/relationships" w:type="paragraph" w:styleId="3d4571f4">
    <w:name w:val="header3d4571f4"/>
    <w:basedOn w:val="725855a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2cbca50">
    <w:name w:val="toc 1b2cbca50"/>
    <w:basedOn w:val="725855ab"/>
    <w:next w:val="0"/>
  </w:style>
  <w:style xmlns:r="http://schemas.openxmlformats.org/officeDocument/2006/relationships" w:type="paragraph" w:styleId="422d83a4">
    <w:name w:val="toc 4422d83a4"/>
    <w:basedOn w:val="725855ab"/>
    <w:next w:val="0"/>
    <w:pPr>
      <w:ind w:left="1260"/>
    </w:pPr>
  </w:style>
  <w:style xmlns:r="http://schemas.openxmlformats.org/officeDocument/2006/relationships" w:type="paragraph" w:styleId="ae927742">
    <w:name w:val="toc 2ae927742"/>
    <w:basedOn w:val="725855ab"/>
    <w:next w:val="0"/>
    <w:pPr>
      <w:ind w:left="420"/>
    </w:pPr>
  </w:style>
  <w:style xmlns:r="http://schemas.openxmlformats.org/officeDocument/2006/relationships" w:type="paragraph" w:styleId="f3e6d796">
    <w:name w:val="Normal (Web)f3e6d796"/>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21d42d8">
    <w:name w:val="Normal921d42d8921d42d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a7634c1">
    <w:name w:val="heading 1ea7634c1ea7634c1"/>
    <w:basedOn w:val="921d42d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ed916a3">
    <w:name w:val="heading 27ed916a37ed916a3"/>
    <w:basedOn w:val="921d42d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e27aba1">
    <w:name w:val="heading 3de27aba1de27aba1"/>
    <w:basedOn w:val="921d42d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ce15520a">
    <w:name w:val="Default Paragraph Fontce15520ace15520a"/>
  </w:style>
  <w:style xmlns:r="http://schemas.openxmlformats.org/officeDocument/2006/relationships" w:type="paragraph" w:customStyle="1" w:styleId="a8302f53">
    <w:name w:val="引文目录1a8302f53a8302f53"/>
    <w:basedOn w:val="921d42d8"/>
    <w:next w:val="0"/>
    <w:pPr>
      <w:ind w:leftChars="200" w:left="200"/>
    </w:pPr>
  </w:style>
  <w:style xmlns:r="http://schemas.openxmlformats.org/officeDocument/2006/relationships" w:type="paragraph" w:styleId="af9ca959">
    <w:name w:val="toc 5af9ca959af9ca959"/>
    <w:basedOn w:val="921d42d8"/>
    <w:next w:val="0"/>
    <w:pPr>
      <w:ind w:left="1680"/>
    </w:pPr>
  </w:style>
  <w:style xmlns:r="http://schemas.openxmlformats.org/officeDocument/2006/relationships" w:type="paragraph" w:styleId="70d44e9a">
    <w:name w:val="toc 370d44e9a70d44e9a"/>
    <w:basedOn w:val="921d42d8"/>
    <w:next w:val="0"/>
    <w:pPr>
      <w:ind w:left="840"/>
    </w:pPr>
  </w:style>
  <w:style xmlns:r="http://schemas.openxmlformats.org/officeDocument/2006/relationships" w:type="paragraph" w:styleId="3e87a2c8">
    <w:name w:val="footer3e87a2c83e87a2c8"/>
    <w:basedOn w:val="921d42d8"/>
    <w:pPr>
      <w:tabs>
        <w:tab w:val="center" w:pos="4153"/>
        <w:tab w:val="right" w:pos="8307"/>
      </w:tabs>
      <w:adjustRightInd/>
      <w:snapToGrid w:val="0"/>
      <w:contextualSpacing w:val="0"/>
      <w:jc w:val="left"/>
    </w:pPr>
    <w:rPr>
      <w:sz w:val="18"/>
    </w:rPr>
  </w:style>
  <w:style xmlns:r="http://schemas.openxmlformats.org/officeDocument/2006/relationships" w:type="paragraph" w:styleId="ce260b52">
    <w:name w:val="headerce260b52ce260b52"/>
    <w:basedOn w:val="921d42d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9adb6d8c">
    <w:name w:val="toc 19adb6d8c9adb6d8c"/>
    <w:basedOn w:val="921d42d8"/>
    <w:next w:val="0"/>
  </w:style>
  <w:style xmlns:r="http://schemas.openxmlformats.org/officeDocument/2006/relationships" w:type="paragraph" w:styleId="af5a0098">
    <w:name w:val="toc 4af5a0098af5a0098"/>
    <w:basedOn w:val="921d42d8"/>
    <w:next w:val="0"/>
    <w:pPr>
      <w:ind w:left="1260"/>
    </w:pPr>
  </w:style>
  <w:style xmlns:r="http://schemas.openxmlformats.org/officeDocument/2006/relationships" w:type="paragraph" w:styleId="5a66f3c9">
    <w:name w:val="toc 25a66f3c95a66f3c9"/>
    <w:basedOn w:val="921d42d8"/>
    <w:next w:val="0"/>
    <w:pPr>
      <w:ind w:left="420"/>
    </w:pPr>
  </w:style>
  <w:style xmlns:r="http://schemas.openxmlformats.org/officeDocument/2006/relationships" w:type="paragraph" w:customStyle="1" w:styleId="65ffb5b5">
    <w:name w:val="列出段落165ffb5b565ffb5b5"/>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