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21956" w:rsidRDefault="00386273">
      <w:pPr>
        <w:spacing w:line="0" w:lineRule="atLeast"/>
        <w:jc w:val="center"/>
        <w:rPr>
          <w:b/>
          <w:bCs/>
          <w:kern w:val="0"/>
          <w:sz w:val="24"/>
          <w:szCs w:val="24"/>
        </w:rPr>
      </w:pPr>
      <w:r>
        <w:rPr>
          <w:rFonts w:hint="eastAsia"/>
          <w:b/>
          <w:bCs/>
          <w:kern w:val="0"/>
          <w:sz w:val="24"/>
          <w:szCs w:val="24"/>
        </w:rPr>
        <w:t>理财产品风险揭示书</w:t>
      </w:r>
    </w:p>
    <w:p w:rsidR="00A21956" w:rsidRDefault="00386273">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A21956" w:rsidRDefault="00386273">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A21956" w:rsidRDefault="00386273">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A21956" w:rsidRDefault="00386273">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A21956" w:rsidRDefault="00386273">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A21956" w:rsidRDefault="00386273">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A21956" w:rsidRDefault="00386273">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A21956" w:rsidRDefault="00386273">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A21956" w:rsidRDefault="00386273">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A21956" w:rsidRDefault="00386273">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A21956" w:rsidRDefault="00386273">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A21956" w:rsidRDefault="00386273">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A21956" w:rsidRDefault="00386273">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A21956" w:rsidRDefault="00386273">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A21956" w:rsidRDefault="00386273">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A21956" w:rsidRDefault="00386273">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A21956" w:rsidRDefault="00386273">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A21956" w:rsidRDefault="00386273">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A21956" w:rsidRDefault="00386273">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A21956" w:rsidRDefault="00386273">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A21956" w:rsidRDefault="00386273">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A21956" w:rsidRDefault="00386273">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A21956" w:rsidRDefault="00386273">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A21956" w:rsidRDefault="00386273">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A21956" w:rsidRDefault="00386273">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A21956" w:rsidRDefault="00386273">
      <w:pPr>
        <w:widowControl/>
        <w:spacing w:line="200" w:lineRule="exact"/>
        <w:ind w:firstLine="260"/>
        <w:rPr>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A21956" w:rsidRDefault="00386273">
      <w:pPr>
        <w:pStyle w:val="Normale4c325cf"/>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A21956" w:rsidRDefault="00386273">
      <w:pPr>
        <w:spacing w:line="200" w:lineRule="exact"/>
      </w:pPr>
      <w:r>
        <w:rPr>
          <w:rFonts w:cs="宋体"/>
          <w:b/>
          <w:sz w:val="13"/>
          <w:szCs w:val="20"/>
        </w:rPr>
        <w:t xml:space="preserve">    1.</w:t>
      </w:r>
      <w:r>
        <w:rPr>
          <w:rFonts w:cs="宋体"/>
          <w:b/>
          <w:sz w:val="13"/>
          <w:szCs w:val="20"/>
        </w:rPr>
        <w:t>债券类资产投资风险</w:t>
      </w:r>
    </w:p>
    <w:p w:rsidR="00A21956" w:rsidRDefault="00386273">
      <w:pPr>
        <w:spacing w:line="200" w:lineRule="exact"/>
      </w:pPr>
      <w:r>
        <w:rPr>
          <w:rFonts w:cs="宋体"/>
          <w:b/>
          <w:sz w:val="13"/>
          <w:szCs w:val="20"/>
        </w:rPr>
        <w:t xml:space="preserve">    </w:t>
      </w:r>
      <w:r>
        <w:rPr>
          <w:rFonts w:cs="宋体"/>
          <w:b/>
          <w:sz w:val="13"/>
          <w:szCs w:val="20"/>
        </w:rPr>
        <w:t>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A21956" w:rsidRDefault="00386273">
      <w:pPr>
        <w:spacing w:line="200" w:lineRule="exact"/>
      </w:pPr>
      <w:r>
        <w:rPr>
          <w:rFonts w:cs="宋体"/>
          <w:b/>
          <w:sz w:val="13"/>
          <w:szCs w:val="20"/>
        </w:rPr>
        <w:t xml:space="preserve">    2.</w:t>
      </w:r>
      <w:r>
        <w:rPr>
          <w:rFonts w:cs="宋体"/>
          <w:b/>
          <w:sz w:val="13"/>
          <w:szCs w:val="20"/>
        </w:rPr>
        <w:t>非标准化债权类资产投资风险</w:t>
      </w:r>
    </w:p>
    <w:p w:rsidR="00A21956" w:rsidRDefault="00386273">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A21956" w:rsidRDefault="00386273">
      <w:pPr>
        <w:spacing w:line="200" w:lineRule="exact"/>
      </w:pPr>
      <w:r>
        <w:rPr>
          <w:rFonts w:cs="宋体"/>
          <w:b/>
          <w:sz w:val="13"/>
          <w:szCs w:val="20"/>
        </w:rPr>
        <w:t xml:space="preserve">    3.</w:t>
      </w:r>
      <w:r>
        <w:rPr>
          <w:rFonts w:cs="宋体"/>
          <w:b/>
          <w:sz w:val="13"/>
          <w:szCs w:val="20"/>
        </w:rPr>
        <w:t>资产管理产品投资风险</w:t>
      </w:r>
    </w:p>
    <w:p w:rsidR="00A21956" w:rsidRDefault="00386273">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A21956" w:rsidRDefault="00386273">
      <w:pPr>
        <w:spacing w:line="200" w:lineRule="exact"/>
      </w:pPr>
      <w:r>
        <w:rPr>
          <w:rFonts w:cs="宋体"/>
          <w:b/>
          <w:sz w:val="13"/>
          <w:szCs w:val="20"/>
        </w:rPr>
        <w:t xml:space="preserve">    4.</w:t>
      </w:r>
      <w:r>
        <w:rPr>
          <w:rFonts w:cs="宋体"/>
          <w:b/>
          <w:sz w:val="13"/>
          <w:szCs w:val="20"/>
        </w:rPr>
        <w:t>非标准化债权类资产无法投资的风险</w:t>
      </w:r>
    </w:p>
    <w:p w:rsidR="00A21956" w:rsidRDefault="00386273">
      <w:pPr>
        <w:spacing w:line="200" w:lineRule="exact"/>
      </w:pPr>
      <w:r>
        <w:rPr>
          <w:rFonts w:cs="宋体"/>
          <w:b/>
          <w:sz w:val="13"/>
          <w:szCs w:val="20"/>
        </w:rPr>
        <w:t xml:space="preserve">    </w:t>
      </w:r>
      <w:r>
        <w:rPr>
          <w:rFonts w:cs="宋体"/>
          <w:b/>
          <w:sz w:val="13"/>
          <w:szCs w:val="20"/>
        </w:rPr>
        <w:t>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A21956" w:rsidRDefault="00386273">
      <w:pPr>
        <w:pStyle w:val="Normale4c325cf"/>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A21956" w:rsidRDefault="00386273">
      <w:pPr>
        <w:pStyle w:val="Normale4c325cf"/>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399</w:t>
      </w:r>
      <w:r>
        <w:rPr>
          <w:rFonts w:hint="eastAsia"/>
          <w:b/>
          <w:bCs/>
          <w:color w:val="3D3D3D"/>
          <w:kern w:val="0"/>
          <w:sz w:val="13"/>
          <w:szCs w:val="13"/>
        </w:rPr>
        <w:t>天</w:t>
      </w:r>
      <w:r>
        <w:rPr>
          <w:rFonts w:hint="eastAsia"/>
          <w:b/>
          <w:color w:val="3D3D3D"/>
          <w:kern w:val="0"/>
          <w:sz w:val="13"/>
          <w:szCs w:val="13"/>
        </w:rPr>
        <w:t>。</w:t>
      </w:r>
    </w:p>
    <w:p w:rsidR="00A21956" w:rsidRDefault="00386273">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A21956" w:rsidRDefault="00386273">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A21956" w:rsidRDefault="00386273">
      <w:pPr>
        <w:pStyle w:val="Normale4c325cf"/>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A21956" w:rsidRDefault="00386273">
      <w:pPr>
        <w:pStyle w:val="Normale4c325cf"/>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A21956" w:rsidRDefault="00386273">
      <w:pPr>
        <w:pStyle w:val="Normale4c325cf"/>
        <w:widowControl/>
        <w:spacing w:line="200" w:lineRule="exact"/>
        <w:ind w:firstLine="260"/>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A21956" w:rsidRDefault="00386273">
      <w:pPr>
        <w:pStyle w:val="Normale4c325cf"/>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A21956" w:rsidRDefault="00A21956">
      <w:pPr>
        <w:pStyle w:val="Normale4c325cf"/>
        <w:widowControl/>
        <w:spacing w:line="200" w:lineRule="exact"/>
        <w:ind w:firstLine="260"/>
        <w:rPr>
          <w:b/>
          <w:color w:val="3D3D3D"/>
          <w:kern w:val="0"/>
          <w:sz w:val="13"/>
          <w:szCs w:val="13"/>
        </w:rPr>
      </w:pPr>
    </w:p>
    <w:p w:rsidR="00A21956" w:rsidRDefault="00386273">
      <w:pPr>
        <w:pStyle w:val="Normale4c325cf"/>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A21956" w:rsidRDefault="00A21956">
      <w:pPr>
        <w:pStyle w:val="Normale4c325cf"/>
        <w:widowControl/>
        <w:spacing w:line="200" w:lineRule="exact"/>
        <w:ind w:firstLine="260"/>
        <w:jc w:val="center"/>
        <w:rPr>
          <w:b/>
          <w:color w:val="3D3D3D"/>
          <w:kern w:val="0"/>
          <w:sz w:val="15"/>
          <w:szCs w:val="15"/>
          <w:u w:val="single"/>
        </w:rPr>
      </w:pPr>
    </w:p>
    <w:p w:rsidR="00A21956" w:rsidRDefault="00386273">
      <w:pPr>
        <w:pStyle w:val="Normale4c325cf"/>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A21956" w:rsidRDefault="00386273">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A21956" w:rsidRDefault="00386273">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A21956" w:rsidRDefault="00386273">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A21956" w:rsidRDefault="00386273">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A21956" w:rsidRDefault="00386273">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A21956" w:rsidRDefault="00386273">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A21956" w:rsidRDefault="00386273">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A21956" w:rsidRDefault="00386273">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A21956" w:rsidRDefault="00386273">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A21956" w:rsidRDefault="00386273">
      <w:pPr>
        <w:widowControl/>
        <w:spacing w:line="200" w:lineRule="exact"/>
        <w:ind w:firstLine="210"/>
        <w:rPr>
          <w:color w:val="3D3D3D"/>
          <w:kern w:val="0"/>
          <w:sz w:val="15"/>
          <w:szCs w:val="15"/>
        </w:rPr>
      </w:pPr>
      <w:r>
        <w:rPr>
          <w:rFonts w:hint="eastAsia"/>
          <w:color w:val="3D3D3D"/>
          <w:kern w:val="0"/>
          <w:sz w:val="15"/>
          <w:szCs w:val="15"/>
        </w:rPr>
        <w:t xml:space="preserve">         </w:t>
      </w:r>
    </w:p>
    <w:p w:rsidR="00A21956" w:rsidRDefault="00A21956">
      <w:pPr>
        <w:widowControl/>
        <w:spacing w:line="200" w:lineRule="exact"/>
        <w:ind w:firstLine="210"/>
        <w:rPr>
          <w:color w:val="3D3D3D"/>
          <w:kern w:val="0"/>
          <w:sz w:val="15"/>
          <w:szCs w:val="15"/>
        </w:rPr>
      </w:pPr>
    </w:p>
    <w:p w:rsidR="00A21956" w:rsidRDefault="00386273">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A21956" w:rsidRDefault="00A21956">
      <w:pPr>
        <w:widowControl/>
        <w:spacing w:line="200" w:lineRule="exact"/>
        <w:ind w:firstLine="210"/>
        <w:rPr>
          <w:color w:val="3D3D3D"/>
          <w:kern w:val="0"/>
          <w:sz w:val="13"/>
          <w:szCs w:val="13"/>
        </w:rPr>
      </w:pPr>
    </w:p>
    <w:p w:rsidR="00A21956" w:rsidRDefault="00A21956">
      <w:pPr>
        <w:widowControl/>
        <w:spacing w:line="200" w:lineRule="exact"/>
        <w:ind w:firstLine="210"/>
        <w:jc w:val="left"/>
        <w:rPr>
          <w:color w:val="3D3D3D"/>
          <w:kern w:val="0"/>
          <w:sz w:val="13"/>
          <w:szCs w:val="13"/>
        </w:rPr>
      </w:pPr>
    </w:p>
    <w:p w:rsidR="00A21956" w:rsidRDefault="00A21956">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A21956">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400" w:lineRule="exact"/>
              <w:jc w:val="center"/>
              <w:rPr>
                <w:b/>
                <w:sz w:val="15"/>
                <w:szCs w:val="15"/>
              </w:rPr>
            </w:pPr>
            <w:r>
              <w:rPr>
                <w:rFonts w:hint="eastAsia"/>
                <w:b/>
                <w:sz w:val="15"/>
                <w:szCs w:val="15"/>
              </w:rPr>
              <w:t>个人投资者</w:t>
            </w:r>
          </w:p>
        </w:tc>
      </w:tr>
      <w:tr w:rsidR="00A21956">
        <w:tc>
          <w:tcPr>
            <w:tcW w:w="9287" w:type="dxa"/>
            <w:tcBorders>
              <w:top w:val="single" w:sz="4" w:space="0" w:color="auto"/>
              <w:left w:val="single" w:sz="4" w:space="0" w:color="auto"/>
              <w:bottom w:val="single" w:sz="4" w:space="0" w:color="auto"/>
              <w:right w:val="single" w:sz="4" w:space="0" w:color="auto"/>
              <w:tl2br w:val="nil"/>
              <w:tr2bl w:val="nil"/>
            </w:tcBorders>
          </w:tcPr>
          <w:p w:rsidR="00A21956" w:rsidRDefault="00386273">
            <w:pPr>
              <w:widowControl/>
              <w:spacing w:line="360" w:lineRule="auto"/>
              <w:rPr>
                <w:color w:val="3D3D3D"/>
                <w:kern w:val="0"/>
                <w:sz w:val="13"/>
                <w:szCs w:val="13"/>
              </w:rPr>
            </w:pPr>
            <w:r>
              <w:rPr>
                <w:rFonts w:hint="eastAsia"/>
                <w:sz w:val="15"/>
                <w:szCs w:val="15"/>
              </w:rPr>
              <w:t>签名：</w:t>
            </w:r>
          </w:p>
          <w:p w:rsidR="00A21956" w:rsidRDefault="00386273">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A21956">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400" w:lineRule="exact"/>
              <w:jc w:val="center"/>
              <w:rPr>
                <w:sz w:val="15"/>
                <w:szCs w:val="15"/>
              </w:rPr>
            </w:pPr>
            <w:r>
              <w:rPr>
                <w:rFonts w:hint="eastAsia"/>
                <w:b/>
                <w:bCs/>
                <w:color w:val="3D3D3D"/>
                <w:kern w:val="0"/>
                <w:sz w:val="15"/>
                <w:szCs w:val="15"/>
              </w:rPr>
              <w:t>机构投资者</w:t>
            </w:r>
          </w:p>
        </w:tc>
      </w:tr>
      <w:tr w:rsidR="00A21956">
        <w:tc>
          <w:tcPr>
            <w:tcW w:w="9287" w:type="dxa"/>
            <w:tcBorders>
              <w:top w:val="single" w:sz="4" w:space="0" w:color="auto"/>
              <w:left w:val="single" w:sz="4" w:space="0" w:color="auto"/>
              <w:bottom w:val="single" w:sz="4" w:space="0" w:color="auto"/>
              <w:right w:val="single" w:sz="4" w:space="0" w:color="auto"/>
              <w:tl2br w:val="nil"/>
              <w:tr2bl w:val="nil"/>
            </w:tcBorders>
          </w:tcPr>
          <w:p w:rsidR="00A21956" w:rsidRDefault="00A21956">
            <w:pPr>
              <w:widowControl/>
              <w:spacing w:line="200" w:lineRule="exact"/>
              <w:jc w:val="left"/>
              <w:rPr>
                <w:b/>
                <w:bCs/>
                <w:color w:val="3D3D3D"/>
                <w:kern w:val="0"/>
                <w:sz w:val="15"/>
                <w:szCs w:val="15"/>
              </w:rPr>
            </w:pPr>
          </w:p>
          <w:p w:rsidR="00A21956" w:rsidRDefault="00386273">
            <w:pPr>
              <w:widowControl/>
              <w:spacing w:line="200" w:lineRule="exact"/>
              <w:jc w:val="left"/>
              <w:rPr>
                <w:b/>
                <w:bCs/>
                <w:color w:val="3D3D3D"/>
                <w:kern w:val="0"/>
                <w:sz w:val="15"/>
                <w:szCs w:val="15"/>
              </w:rPr>
            </w:pPr>
            <w:r>
              <w:rPr>
                <w:rFonts w:hint="eastAsia"/>
                <w:b/>
                <w:bCs/>
                <w:color w:val="3D3D3D"/>
                <w:kern w:val="0"/>
                <w:sz w:val="15"/>
                <w:szCs w:val="15"/>
              </w:rPr>
              <w:t>盖章（公章）</w:t>
            </w:r>
          </w:p>
          <w:p w:rsidR="00A21956" w:rsidRDefault="00A21956">
            <w:pPr>
              <w:widowControl/>
              <w:spacing w:line="200" w:lineRule="exact"/>
              <w:jc w:val="left"/>
              <w:rPr>
                <w:b/>
                <w:bCs/>
                <w:color w:val="3D3D3D"/>
                <w:kern w:val="0"/>
                <w:sz w:val="15"/>
                <w:szCs w:val="15"/>
              </w:rPr>
            </w:pPr>
          </w:p>
          <w:p w:rsidR="00A21956" w:rsidRDefault="00386273">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A21956" w:rsidRDefault="00A21956">
            <w:pPr>
              <w:widowControl/>
              <w:spacing w:line="200" w:lineRule="exact"/>
              <w:jc w:val="left"/>
              <w:rPr>
                <w:color w:val="3D3D3D"/>
                <w:kern w:val="0"/>
                <w:sz w:val="13"/>
                <w:szCs w:val="13"/>
              </w:rPr>
            </w:pPr>
          </w:p>
          <w:p w:rsidR="00A21956" w:rsidRDefault="00386273">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A21956">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A21956">
        <w:tc>
          <w:tcPr>
            <w:tcW w:w="9287" w:type="dxa"/>
            <w:tcBorders>
              <w:top w:val="single" w:sz="4" w:space="0" w:color="auto"/>
              <w:left w:val="single" w:sz="4" w:space="0" w:color="auto"/>
              <w:bottom w:val="single" w:sz="4" w:space="0" w:color="auto"/>
              <w:right w:val="single" w:sz="4" w:space="0" w:color="auto"/>
              <w:tl2br w:val="nil"/>
              <w:tr2bl w:val="nil"/>
            </w:tcBorders>
          </w:tcPr>
          <w:p w:rsidR="00A21956" w:rsidRDefault="00386273">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A21956" w:rsidRDefault="00386273">
      <w:r>
        <w:br w:type="page"/>
      </w:r>
    </w:p>
    <w:p w:rsidR="00A21956" w:rsidRDefault="00386273">
      <w:pPr>
        <w:pStyle w:val="Normal9da23eb9"/>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rsidR="00A21956" w:rsidRDefault="00386273">
      <w:pPr>
        <w:pStyle w:val="Normal9da23eb9"/>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A21956" w:rsidRDefault="00386273">
      <w:pPr>
        <w:pStyle w:val="NormalWebba36624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A21956">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南银理财珠联璧合鑫逸稳一年</w:t>
            </w:r>
            <w:r>
              <w:rPr>
                <w:rFonts w:hint="eastAsia"/>
                <w:kern w:val="0"/>
                <w:sz w:val="18"/>
                <w:szCs w:val="18"/>
              </w:rPr>
              <w:t>247</w:t>
            </w:r>
            <w:r>
              <w:rPr>
                <w:rFonts w:hint="eastAsia"/>
                <w:kern w:val="0"/>
                <w:sz w:val="18"/>
                <w:szCs w:val="18"/>
              </w:rPr>
              <w:t>期封闭式公募人民币理财产品</w:t>
            </w:r>
          </w:p>
        </w:tc>
      </w:tr>
      <w:tr w:rsidR="00A21956">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A21956" w:rsidRDefault="00386273">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A21956" w:rsidRDefault="00386273">
            <w:pPr>
              <w:widowControl/>
              <w:spacing w:line="200" w:lineRule="exact"/>
              <w:jc w:val="left"/>
              <w:rPr>
                <w:kern w:val="0"/>
                <w:sz w:val="18"/>
                <w:szCs w:val="18"/>
              </w:rPr>
            </w:pPr>
            <w:r>
              <w:rPr>
                <w:rFonts w:hint="eastAsia"/>
                <w:kern w:val="0"/>
                <w:sz w:val="18"/>
                <w:szCs w:val="18"/>
              </w:rPr>
              <w:t>封闭式、固定收益类、公募、净值型</w:t>
            </w:r>
          </w:p>
        </w:tc>
      </w:tr>
      <w:tr w:rsidR="00A21956">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A21956" w:rsidRDefault="00386273">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A21956" w:rsidRDefault="00386273">
            <w:pPr>
              <w:widowControl/>
              <w:spacing w:line="200" w:lineRule="exact"/>
              <w:jc w:val="left"/>
              <w:rPr>
                <w:kern w:val="0"/>
                <w:sz w:val="18"/>
                <w:szCs w:val="18"/>
              </w:rPr>
            </w:pPr>
            <w:r>
              <w:rPr>
                <w:rFonts w:hint="eastAsia"/>
                <w:kern w:val="0"/>
                <w:sz w:val="18"/>
                <w:szCs w:val="18"/>
              </w:rPr>
              <w:t>公开募集</w:t>
            </w:r>
          </w:p>
        </w:tc>
      </w:tr>
      <w:tr w:rsidR="00A21956">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ZZ700322500570</w:t>
            </w:r>
          </w:p>
        </w:tc>
      </w:tr>
      <w:tr w:rsidR="00A21956">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cs="宋体" w:hint="eastAsia"/>
                <w:kern w:val="0"/>
                <w:sz w:val="18"/>
                <w:szCs w:val="18"/>
              </w:rPr>
              <w:t>Z7003225000375(</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A2195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cs="宋体"/>
                <w:sz w:val="18"/>
                <w:szCs w:val="18"/>
              </w:rPr>
              <w:t>A</w:t>
            </w:r>
            <w:r>
              <w:rPr>
                <w:rFonts w:cs="宋体"/>
                <w:sz w:val="18"/>
                <w:szCs w:val="18"/>
              </w:rPr>
              <w:t>份额：</w:t>
            </w:r>
            <w:r>
              <w:rPr>
                <w:rFonts w:cs="宋体"/>
                <w:sz w:val="18"/>
                <w:szCs w:val="18"/>
              </w:rPr>
              <w:t>Y30247</w:t>
            </w:r>
          </w:p>
          <w:p w:rsidR="00A21956" w:rsidRDefault="00386273">
            <w:pPr>
              <w:spacing w:line="200" w:lineRule="exact"/>
            </w:pPr>
            <w:r>
              <w:rPr>
                <w:rFonts w:cs="宋体"/>
                <w:sz w:val="18"/>
                <w:szCs w:val="18"/>
              </w:rPr>
              <w:t>B</w:t>
            </w:r>
            <w:r>
              <w:rPr>
                <w:rFonts w:cs="宋体"/>
                <w:sz w:val="18"/>
                <w:szCs w:val="18"/>
              </w:rPr>
              <w:t>份额：</w:t>
            </w:r>
            <w:r>
              <w:rPr>
                <w:rFonts w:cs="宋体"/>
                <w:sz w:val="18"/>
                <w:szCs w:val="18"/>
              </w:rPr>
              <w:t>Y31247</w:t>
            </w:r>
          </w:p>
          <w:p w:rsidR="00A21956" w:rsidRDefault="00386273">
            <w:pPr>
              <w:spacing w:line="200" w:lineRule="exact"/>
            </w:pPr>
            <w:r>
              <w:rPr>
                <w:rFonts w:cs="宋体"/>
                <w:sz w:val="18"/>
                <w:szCs w:val="18"/>
              </w:rPr>
              <w:t>C</w:t>
            </w:r>
            <w:r>
              <w:rPr>
                <w:rFonts w:cs="宋体"/>
                <w:sz w:val="18"/>
                <w:szCs w:val="18"/>
              </w:rPr>
              <w:t>份额：</w:t>
            </w:r>
            <w:r>
              <w:rPr>
                <w:rFonts w:cs="宋体"/>
                <w:sz w:val="18"/>
                <w:szCs w:val="18"/>
              </w:rPr>
              <w:t>Y32247</w:t>
            </w:r>
          </w:p>
          <w:p w:rsidR="00A21956" w:rsidRDefault="00386273">
            <w:pPr>
              <w:spacing w:line="200" w:lineRule="exact"/>
            </w:pPr>
            <w:r>
              <w:rPr>
                <w:rFonts w:cs="宋体"/>
                <w:sz w:val="18"/>
                <w:szCs w:val="18"/>
              </w:rPr>
              <w:t>D</w:t>
            </w:r>
            <w:r>
              <w:rPr>
                <w:rFonts w:cs="宋体"/>
                <w:sz w:val="18"/>
                <w:szCs w:val="18"/>
              </w:rPr>
              <w:t>份额：</w:t>
            </w:r>
            <w:r>
              <w:rPr>
                <w:rFonts w:cs="宋体"/>
                <w:sz w:val="18"/>
                <w:szCs w:val="18"/>
              </w:rPr>
              <w:t>Y33247</w:t>
            </w:r>
          </w:p>
          <w:p w:rsidR="00A21956" w:rsidRDefault="00386273">
            <w:pPr>
              <w:spacing w:line="200" w:lineRule="exact"/>
            </w:pPr>
            <w:r>
              <w:rPr>
                <w:rFonts w:cs="宋体"/>
                <w:sz w:val="18"/>
                <w:szCs w:val="18"/>
              </w:rPr>
              <w:t>F</w:t>
            </w:r>
            <w:r>
              <w:rPr>
                <w:rFonts w:cs="宋体"/>
                <w:sz w:val="18"/>
                <w:szCs w:val="18"/>
              </w:rPr>
              <w:t>份额：</w:t>
            </w:r>
            <w:r>
              <w:rPr>
                <w:rFonts w:cs="宋体"/>
                <w:sz w:val="18"/>
                <w:szCs w:val="18"/>
              </w:rPr>
              <w:t>Y35247</w:t>
            </w:r>
          </w:p>
          <w:p w:rsidR="00A21956" w:rsidRDefault="00386273">
            <w:pPr>
              <w:spacing w:line="200" w:lineRule="exact"/>
            </w:pPr>
            <w:r>
              <w:rPr>
                <w:rFonts w:cs="宋体"/>
                <w:sz w:val="18"/>
                <w:szCs w:val="18"/>
              </w:rPr>
              <w:t>G</w:t>
            </w:r>
            <w:r>
              <w:rPr>
                <w:rFonts w:cs="宋体"/>
                <w:sz w:val="18"/>
                <w:szCs w:val="18"/>
              </w:rPr>
              <w:t>份额：</w:t>
            </w:r>
            <w:r>
              <w:rPr>
                <w:rFonts w:cs="宋体"/>
                <w:sz w:val="18"/>
                <w:szCs w:val="18"/>
              </w:rPr>
              <w:t>Y36247</w:t>
            </w:r>
          </w:p>
          <w:p w:rsidR="00A21956" w:rsidRDefault="00386273">
            <w:pPr>
              <w:spacing w:line="200" w:lineRule="exact"/>
            </w:pPr>
            <w:r>
              <w:rPr>
                <w:rFonts w:cs="宋体"/>
                <w:sz w:val="18"/>
                <w:szCs w:val="18"/>
              </w:rPr>
              <w:t>K</w:t>
            </w:r>
            <w:r>
              <w:rPr>
                <w:rFonts w:cs="宋体"/>
                <w:sz w:val="18"/>
                <w:szCs w:val="18"/>
              </w:rPr>
              <w:t>份额：</w:t>
            </w:r>
            <w:r>
              <w:rPr>
                <w:rFonts w:cs="宋体"/>
                <w:sz w:val="18"/>
                <w:szCs w:val="18"/>
              </w:rPr>
              <w:t>YA30247</w:t>
            </w:r>
          </w:p>
          <w:p w:rsidR="00A21956" w:rsidRDefault="00386273">
            <w:pPr>
              <w:spacing w:line="200" w:lineRule="exact"/>
            </w:pPr>
            <w:r>
              <w:rPr>
                <w:rFonts w:cs="宋体"/>
                <w:sz w:val="18"/>
                <w:szCs w:val="18"/>
              </w:rPr>
              <w:t>L</w:t>
            </w:r>
            <w:r>
              <w:rPr>
                <w:rFonts w:cs="宋体"/>
                <w:sz w:val="18"/>
                <w:szCs w:val="18"/>
              </w:rPr>
              <w:t>份额：</w:t>
            </w:r>
            <w:r>
              <w:rPr>
                <w:rFonts w:cs="宋体"/>
                <w:sz w:val="18"/>
                <w:szCs w:val="18"/>
              </w:rPr>
              <w:t>YB30247</w:t>
            </w:r>
          </w:p>
          <w:p w:rsidR="00A21956" w:rsidRDefault="00386273">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A2195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cs="宋体"/>
                <w:sz w:val="18"/>
                <w:szCs w:val="18"/>
              </w:rPr>
              <w:t>全国</w:t>
            </w:r>
          </w:p>
        </w:tc>
      </w:tr>
      <w:tr w:rsidR="00A2195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widowControl/>
              <w:spacing w:line="200" w:lineRule="exact"/>
              <w:jc w:val="left"/>
              <w:textAlignment w:val="center"/>
              <w:rPr>
                <w:kern w:val="0"/>
                <w:sz w:val="18"/>
                <w:szCs w:val="18"/>
              </w:rPr>
            </w:pPr>
            <w:r>
              <w:rPr>
                <w:rFonts w:hint="eastAsia"/>
                <w:kern w:val="0"/>
                <w:sz w:val="18"/>
                <w:szCs w:val="18"/>
              </w:rPr>
              <w:t>人民币</w:t>
            </w:r>
          </w:p>
        </w:tc>
      </w:tr>
      <w:tr w:rsidR="00A21956">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A21956">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A21956" w:rsidRDefault="00386273">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A21956">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jc w:val="left"/>
            </w:pPr>
            <w:r>
              <w:rPr>
                <w:rFonts w:cs="宋体"/>
                <w:sz w:val="18"/>
                <w:szCs w:val="18"/>
              </w:rPr>
              <w:t>符合相关法律法规、监管规定要求的，经销售机构的风险承受能力评估体系评定为适合的个人和机构投资者。</w:t>
            </w:r>
          </w:p>
          <w:p w:rsidR="00A21956" w:rsidRDefault="00386273">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F</w:t>
            </w:r>
            <w:r>
              <w:rPr>
                <w:rFonts w:cs="宋体"/>
                <w:sz w:val="18"/>
                <w:szCs w:val="18"/>
              </w:rPr>
              <w:t>、</w:t>
            </w:r>
            <w:r>
              <w:rPr>
                <w:rFonts w:cs="宋体"/>
                <w:sz w:val="18"/>
                <w:szCs w:val="18"/>
              </w:rPr>
              <w:t>G</w:t>
            </w:r>
            <w:r>
              <w:rPr>
                <w:rFonts w:cs="宋体"/>
                <w:sz w:val="18"/>
                <w:szCs w:val="18"/>
              </w:rPr>
              <w:t>、</w:t>
            </w:r>
            <w:r>
              <w:rPr>
                <w:rFonts w:cs="宋体"/>
                <w:sz w:val="18"/>
                <w:szCs w:val="18"/>
              </w:rPr>
              <w:t>K</w:t>
            </w:r>
            <w:r>
              <w:rPr>
                <w:rFonts w:cs="宋体"/>
                <w:sz w:val="18"/>
                <w:szCs w:val="18"/>
              </w:rPr>
              <w:t>、</w:t>
            </w:r>
            <w:r>
              <w:rPr>
                <w:rFonts w:cs="宋体"/>
                <w:sz w:val="18"/>
                <w:szCs w:val="18"/>
              </w:rPr>
              <w:t>L</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A21956" w:rsidRDefault="00386273">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、青岛银行股份有限公司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、徽商银行股份有限公司</w:t>
            </w:r>
            <w:r>
              <w:rPr>
                <w:rFonts w:cs="宋体"/>
                <w:sz w:val="18"/>
                <w:szCs w:val="18"/>
              </w:rPr>
              <w:t xml:space="preserve">( </w:t>
            </w:r>
            <w:r>
              <w:rPr>
                <w:rFonts w:cs="宋体"/>
                <w:sz w:val="18"/>
                <w:szCs w:val="18"/>
              </w:rPr>
              <w:t>常规客群</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、温州银行股份有限公司、烟台银行股份有限公司</w:t>
            </w:r>
            <w:r>
              <w:rPr>
                <w:rFonts w:cs="宋体"/>
                <w:sz w:val="18"/>
                <w:szCs w:val="18"/>
              </w:rPr>
              <w:t xml:space="preserve">( </w:t>
            </w:r>
            <w:r>
              <w:rPr>
                <w:rFonts w:cs="宋体"/>
                <w:sz w:val="18"/>
                <w:szCs w:val="18"/>
              </w:rPr>
              <w:t>社保卡客户</w:t>
            </w:r>
            <w:r>
              <w:rPr>
                <w:rFonts w:cs="宋体"/>
                <w:sz w:val="18"/>
                <w:szCs w:val="18"/>
              </w:rPr>
              <w:t>)</w:t>
            </w:r>
            <w:r>
              <w:rPr>
                <w:rFonts w:cs="宋体"/>
                <w:sz w:val="18"/>
                <w:szCs w:val="18"/>
              </w:rPr>
              <w:t>、齐商银行股份有限公司、广州银行股份有限公司、江苏常熟农村商业银行股份有限公司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、苏州银行股份有限公司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、秦皇岛银行股份有限公司、潍坊银行股份有限公司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、齐鲁银行股份有限公司</w:t>
            </w:r>
            <w:r>
              <w:rPr>
                <w:rFonts w:cs="宋体"/>
                <w:sz w:val="18"/>
                <w:szCs w:val="18"/>
              </w:rPr>
              <w:t xml:space="preserve">( </w:t>
            </w:r>
            <w:r>
              <w:rPr>
                <w:rFonts w:cs="宋体"/>
                <w:sz w:val="18"/>
                <w:szCs w:val="18"/>
              </w:rPr>
              <w:t>政务服务中心支行开业专享</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滨海分行专属</w:t>
            </w:r>
            <w:r>
              <w:rPr>
                <w:rFonts w:cs="宋体"/>
                <w:sz w:val="18"/>
                <w:szCs w:val="18"/>
              </w:rPr>
              <w:t>)</w:t>
            </w:r>
            <w:r>
              <w:rPr>
                <w:rFonts w:cs="宋体"/>
                <w:sz w:val="18"/>
                <w:szCs w:val="18"/>
              </w:rPr>
              <w:t>、兰州银行股份有限公司、江苏南通农村商业银行股份有限公司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、江苏江都农村商业银行股份有限公司、江苏淮安农村商业银行股份有限公司</w:t>
            </w:r>
            <w:r>
              <w:rPr>
                <w:rFonts w:cs="宋体"/>
                <w:sz w:val="18"/>
                <w:szCs w:val="18"/>
              </w:rPr>
              <w:t>(</w:t>
            </w:r>
            <w:r>
              <w:rPr>
                <w:rFonts w:cs="宋体"/>
                <w:sz w:val="18"/>
                <w:szCs w:val="18"/>
              </w:rPr>
              <w:t>财富客户</w:t>
            </w:r>
            <w:r>
              <w:rPr>
                <w:rFonts w:cs="宋体"/>
                <w:sz w:val="18"/>
                <w:szCs w:val="18"/>
              </w:rPr>
              <w:t>)</w:t>
            </w:r>
            <w:r>
              <w:rPr>
                <w:rFonts w:cs="宋体"/>
                <w:sz w:val="18"/>
                <w:szCs w:val="18"/>
              </w:rPr>
              <w:t>、江苏镇江农村商业银行股份有限公司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、江苏紫金农村商业银行股份有限公司、江苏沛县农村商业银行股份有限公司、江苏仪征农村商业银行股份有限公司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、枣庄银行股份有限公司。</w:t>
            </w:r>
          </w:p>
          <w:p w:rsidR="00A21956" w:rsidRDefault="00386273">
            <w:pPr>
              <w:spacing w:line="200" w:lineRule="exact"/>
            </w:pPr>
            <w:r>
              <w:rPr>
                <w:rFonts w:cs="宋体"/>
                <w:sz w:val="18"/>
                <w:szCs w:val="18"/>
              </w:rPr>
              <w:t>C</w:t>
            </w:r>
            <w:r>
              <w:rPr>
                <w:rFonts w:cs="宋体"/>
                <w:sz w:val="18"/>
                <w:szCs w:val="18"/>
              </w:rPr>
              <w:t>份额：徽商银行股份有限公司</w:t>
            </w:r>
            <w:r>
              <w:rPr>
                <w:rFonts w:cs="宋体"/>
                <w:sz w:val="18"/>
                <w:szCs w:val="18"/>
              </w:rPr>
              <w:t>(</w:t>
            </w:r>
            <w:r>
              <w:rPr>
                <w:rFonts w:cs="宋体"/>
                <w:sz w:val="18"/>
                <w:szCs w:val="18"/>
              </w:rPr>
              <w:t>南京分行专属、马鞍山分行教师专属理财</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、烟台银行股份有限公司、嘉兴银行股份有限公司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、郑州银行股份有限公司、苏州银行股份有限公司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、日照银行股份有限公司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、泰安银行股份有限公司、齐鲁银行股份有限公司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、山西银行股份有限公司</w:t>
            </w:r>
            <w:r>
              <w:rPr>
                <w:rFonts w:cs="宋体"/>
                <w:sz w:val="18"/>
                <w:szCs w:val="18"/>
              </w:rPr>
              <w:t>( 50</w:t>
            </w:r>
            <w:r>
              <w:rPr>
                <w:rFonts w:cs="宋体"/>
                <w:sz w:val="18"/>
                <w:szCs w:val="18"/>
              </w:rPr>
              <w:t>万元以上</w:t>
            </w:r>
            <w:r>
              <w:rPr>
                <w:rFonts w:cs="宋体"/>
                <w:sz w:val="18"/>
                <w:szCs w:val="18"/>
              </w:rPr>
              <w:t>)</w:t>
            </w:r>
            <w:r>
              <w:rPr>
                <w:rFonts w:cs="宋体"/>
                <w:sz w:val="18"/>
                <w:szCs w:val="18"/>
              </w:rPr>
              <w:t>、云南红塔银行股份有限公司</w:t>
            </w:r>
            <w:r>
              <w:rPr>
                <w:rFonts w:cs="宋体"/>
                <w:sz w:val="18"/>
                <w:szCs w:val="18"/>
              </w:rPr>
              <w:t>(</w:t>
            </w:r>
            <w:r>
              <w:rPr>
                <w:rFonts w:cs="宋体"/>
                <w:sz w:val="18"/>
                <w:szCs w:val="18"/>
              </w:rPr>
              <w:t>分行定制</w:t>
            </w:r>
            <w:r>
              <w:rPr>
                <w:rFonts w:cs="宋体"/>
                <w:sz w:val="18"/>
                <w:szCs w:val="18"/>
              </w:rPr>
              <w:t>)</w:t>
            </w:r>
            <w:r>
              <w:rPr>
                <w:rFonts w:cs="宋体"/>
                <w:sz w:val="18"/>
                <w:szCs w:val="18"/>
              </w:rPr>
              <w:t>、兰州银行</w:t>
            </w:r>
            <w:r>
              <w:rPr>
                <w:rFonts w:cs="宋体"/>
                <w:sz w:val="18"/>
                <w:szCs w:val="18"/>
              </w:rPr>
              <w:lastRenderedPageBreak/>
              <w:t>股份有限公司、宁波通商银行股份有限公司</w:t>
            </w:r>
            <w:r>
              <w:rPr>
                <w:rFonts w:cs="宋体"/>
                <w:sz w:val="18"/>
                <w:szCs w:val="18"/>
              </w:rPr>
              <w:t xml:space="preserve">( </w:t>
            </w:r>
            <w:r>
              <w:rPr>
                <w:rFonts w:cs="宋体"/>
                <w:sz w:val="18"/>
                <w:szCs w:val="18"/>
              </w:rPr>
              <w:t>价值客户和新客专属</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、江苏靖江农村商业银行股份有限公司、江苏盐城农村商业银行股份有限公司</w:t>
            </w:r>
            <w:r>
              <w:rPr>
                <w:rFonts w:cs="宋体"/>
                <w:sz w:val="18"/>
                <w:szCs w:val="18"/>
              </w:rPr>
              <w:t xml:space="preserve">( </w:t>
            </w:r>
            <w:r>
              <w:rPr>
                <w:rFonts w:cs="宋体"/>
                <w:sz w:val="18"/>
                <w:szCs w:val="18"/>
              </w:rPr>
              <w:t>行庆特供</w:t>
            </w:r>
            <w:r>
              <w:rPr>
                <w:rFonts w:cs="宋体"/>
                <w:sz w:val="18"/>
                <w:szCs w:val="18"/>
              </w:rPr>
              <w:t>)</w:t>
            </w:r>
            <w:r>
              <w:rPr>
                <w:rFonts w:cs="宋体"/>
                <w:sz w:val="18"/>
                <w:szCs w:val="18"/>
              </w:rPr>
              <w:t>、江苏南通农村商业银行股份有限公司</w:t>
            </w:r>
            <w:r>
              <w:rPr>
                <w:rFonts w:cs="宋体"/>
                <w:sz w:val="18"/>
                <w:szCs w:val="18"/>
              </w:rPr>
              <w:t xml:space="preserve">( </w:t>
            </w:r>
            <w:r>
              <w:rPr>
                <w:rFonts w:cs="宋体"/>
                <w:sz w:val="18"/>
                <w:szCs w:val="18"/>
              </w:rPr>
              <w:t>机构客户</w:t>
            </w:r>
            <w:r>
              <w:rPr>
                <w:rFonts w:cs="宋体"/>
                <w:sz w:val="18"/>
                <w:szCs w:val="18"/>
              </w:rPr>
              <w:t>)</w:t>
            </w:r>
            <w:r>
              <w:rPr>
                <w:rFonts w:cs="宋体"/>
                <w:sz w:val="18"/>
                <w:szCs w:val="18"/>
              </w:rPr>
              <w:t>、江苏兴化农村商业银行股份有限公司、江苏镇江农村商业银行股份有限公司</w:t>
            </w:r>
            <w:r>
              <w:rPr>
                <w:rFonts w:cs="宋体"/>
                <w:sz w:val="18"/>
                <w:szCs w:val="18"/>
              </w:rPr>
              <w:t>( 100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、江苏滨海农村商业银行股份有限公司、江苏射阳农村商业银行股份有限公司、江苏句容农村商业银行股份有限公司、江苏如东农村商业银行股份有限公司。</w:t>
            </w:r>
          </w:p>
          <w:p w:rsidR="00A21956" w:rsidRDefault="00386273">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A21956" w:rsidRDefault="00386273">
            <w:pPr>
              <w:spacing w:line="200" w:lineRule="exact"/>
            </w:pPr>
            <w:r>
              <w:rPr>
                <w:rFonts w:cs="宋体"/>
                <w:sz w:val="18"/>
                <w:szCs w:val="18"/>
              </w:rPr>
              <w:t>F</w:t>
            </w:r>
            <w:r>
              <w:rPr>
                <w:rFonts w:cs="宋体"/>
                <w:sz w:val="18"/>
                <w:szCs w:val="18"/>
              </w:rPr>
              <w:t>份额：兴业银行股份有限公司（普通客户）。</w:t>
            </w:r>
          </w:p>
          <w:p w:rsidR="00A21956" w:rsidRDefault="00386273">
            <w:pPr>
              <w:spacing w:line="200" w:lineRule="exact"/>
            </w:pPr>
            <w:r>
              <w:rPr>
                <w:rFonts w:cs="宋体"/>
                <w:sz w:val="18"/>
                <w:szCs w:val="18"/>
              </w:rPr>
              <w:t>G</w:t>
            </w:r>
            <w:r>
              <w:rPr>
                <w:rFonts w:cs="宋体"/>
                <w:sz w:val="18"/>
                <w:szCs w:val="18"/>
              </w:rPr>
              <w:t>份额：兴业银行股份有限公司（新客户）。</w:t>
            </w:r>
          </w:p>
          <w:p w:rsidR="00A21956" w:rsidRDefault="00386273">
            <w:pPr>
              <w:spacing w:line="200" w:lineRule="exact"/>
            </w:pPr>
            <w:r>
              <w:rPr>
                <w:rFonts w:cs="宋体"/>
                <w:sz w:val="18"/>
                <w:szCs w:val="18"/>
              </w:rPr>
              <w:t>K</w:t>
            </w:r>
            <w:r>
              <w:rPr>
                <w:rFonts w:cs="宋体"/>
                <w:sz w:val="18"/>
                <w:szCs w:val="18"/>
              </w:rPr>
              <w:t>份额：吉林银行股份有限公司。</w:t>
            </w:r>
          </w:p>
          <w:p w:rsidR="00A21956" w:rsidRDefault="00386273">
            <w:pPr>
              <w:spacing w:line="200" w:lineRule="exact"/>
            </w:pPr>
            <w:r>
              <w:rPr>
                <w:rFonts w:cs="宋体"/>
                <w:sz w:val="18"/>
                <w:szCs w:val="18"/>
              </w:rPr>
              <w:t>L</w:t>
            </w:r>
            <w:r>
              <w:rPr>
                <w:rFonts w:cs="宋体"/>
                <w:sz w:val="18"/>
                <w:szCs w:val="18"/>
              </w:rPr>
              <w:t>份额：南京银行股份有限公司、江苏张家港农村商业银行股份有限公司</w:t>
            </w:r>
            <w:r>
              <w:rPr>
                <w:rFonts w:cs="宋体"/>
                <w:sz w:val="18"/>
                <w:szCs w:val="18"/>
              </w:rPr>
              <w:t xml:space="preserve">( </w:t>
            </w:r>
            <w:r>
              <w:rPr>
                <w:rFonts w:cs="宋体"/>
                <w:sz w:val="18"/>
                <w:szCs w:val="18"/>
              </w:rPr>
              <w:t>特定客户</w:t>
            </w:r>
            <w:r>
              <w:rPr>
                <w:rFonts w:cs="宋体"/>
                <w:sz w:val="18"/>
                <w:szCs w:val="18"/>
              </w:rPr>
              <w:t>)</w:t>
            </w:r>
            <w:r>
              <w:rPr>
                <w:rFonts w:cs="宋体"/>
                <w:sz w:val="18"/>
                <w:szCs w:val="18"/>
              </w:rPr>
              <w:t>、江苏常熟农村商业银行股份有限公司</w:t>
            </w:r>
            <w:r>
              <w:rPr>
                <w:rFonts w:cs="宋体"/>
                <w:sz w:val="18"/>
                <w:szCs w:val="18"/>
              </w:rPr>
              <w:t xml:space="preserve">( </w:t>
            </w:r>
            <w:r>
              <w:rPr>
                <w:rFonts w:cs="宋体"/>
                <w:sz w:val="18"/>
                <w:szCs w:val="18"/>
              </w:rPr>
              <w:t>专属特定客群</w:t>
            </w:r>
            <w:r>
              <w:rPr>
                <w:rFonts w:cs="宋体"/>
                <w:sz w:val="18"/>
                <w:szCs w:val="18"/>
              </w:rPr>
              <w:t>)</w:t>
            </w:r>
            <w:r>
              <w:rPr>
                <w:rFonts w:cs="宋体"/>
                <w:sz w:val="18"/>
                <w:szCs w:val="18"/>
              </w:rPr>
              <w:t>、苏州银行股份有限公司</w:t>
            </w:r>
            <w:r>
              <w:rPr>
                <w:rFonts w:cs="宋体"/>
                <w:sz w:val="18"/>
                <w:szCs w:val="18"/>
              </w:rPr>
              <w:t xml:space="preserve">( </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w:t>
            </w:r>
          </w:p>
          <w:p w:rsidR="00A21956" w:rsidRDefault="00386273">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A21956" w:rsidRDefault="00386273">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A21956">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p>
          <w:p w:rsidR="00A21956" w:rsidRDefault="00386273">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A21956" w:rsidRDefault="00386273">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A21956" w:rsidRDefault="00386273">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A21956" w:rsidRDefault="00386273">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A2195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p>
          <w:p w:rsidR="00A21956" w:rsidRDefault="00386273">
            <w:pPr>
              <w:spacing w:line="200" w:lineRule="exact"/>
            </w:pPr>
            <w:r>
              <w:rPr>
                <w:rFonts w:cs="宋体"/>
                <w:sz w:val="18"/>
                <w:szCs w:val="18"/>
              </w:rPr>
              <w:t>暂不设置单个投资者持有金额上限；</w:t>
            </w:r>
          </w:p>
          <w:p w:rsidR="00A21956" w:rsidRDefault="00386273">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A21956" w:rsidRDefault="00386273">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A2195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A21956" w:rsidRDefault="00386273">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A2195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05</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11</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A2195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A2195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rPr>
                <w:color w:val="000000"/>
                <w:kern w:val="0"/>
                <w:sz w:val="18"/>
                <w:szCs w:val="18"/>
              </w:rPr>
            </w:pPr>
            <w:r>
              <w:rPr>
                <w:rFonts w:hint="eastAsia"/>
                <w:color w:val="000000"/>
                <w:kern w:val="0"/>
                <w:sz w:val="18"/>
                <w:szCs w:val="18"/>
              </w:rPr>
              <w:t>同产品成立日</w:t>
            </w:r>
          </w:p>
        </w:tc>
      </w:tr>
      <w:tr w:rsidR="00A2195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11</w:t>
            </w:r>
            <w:r>
              <w:rPr>
                <w:rFonts w:hint="eastAsia"/>
                <w:kern w:val="0"/>
                <w:sz w:val="18"/>
                <w:szCs w:val="18"/>
              </w:rPr>
              <w:t>月</w:t>
            </w:r>
            <w:r>
              <w:rPr>
                <w:rFonts w:hint="eastAsia"/>
                <w:kern w:val="0"/>
                <w:sz w:val="18"/>
                <w:szCs w:val="18"/>
              </w:rPr>
              <w:t>12</w:t>
            </w:r>
            <w:r>
              <w:rPr>
                <w:rFonts w:hint="eastAsia"/>
                <w:kern w:val="0"/>
                <w:sz w:val="18"/>
                <w:szCs w:val="18"/>
              </w:rPr>
              <w:t>日</w:t>
            </w:r>
          </w:p>
        </w:tc>
      </w:tr>
      <w:tr w:rsidR="00A2195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12</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A21956">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lastRenderedPageBreak/>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16</w:t>
            </w:r>
            <w:r>
              <w:rPr>
                <w:rFonts w:hint="eastAsia"/>
                <w:kern w:val="0"/>
                <w:sz w:val="18"/>
                <w:szCs w:val="18"/>
              </w:rPr>
              <w:t>日</w:t>
            </w:r>
          </w:p>
        </w:tc>
      </w:tr>
      <w:tr w:rsidR="00A2195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A2195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cs="宋体"/>
                <w:sz w:val="18"/>
                <w:szCs w:val="18"/>
              </w:rPr>
              <w:t>本理财产品存续期间不进行分红。</w:t>
            </w:r>
          </w:p>
          <w:p w:rsidR="00A21956" w:rsidRDefault="00386273">
            <w:pPr>
              <w:spacing w:line="200" w:lineRule="exact"/>
            </w:pPr>
            <w:r>
              <w:rPr>
                <w:rFonts w:cs="宋体"/>
                <w:sz w:val="18"/>
                <w:szCs w:val="18"/>
              </w:rPr>
              <w:t>产品到期后，理财产品管理人和代销机构将根据理财资金所投资资产实际运作情况向投资者分配到期款项。</w:t>
            </w:r>
          </w:p>
        </w:tc>
      </w:tr>
      <w:tr w:rsidR="00A21956">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A21956">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jc w:val="left"/>
            </w:pPr>
            <w:r>
              <w:rPr>
                <w:rFonts w:cs="宋体"/>
                <w:sz w:val="18"/>
                <w:szCs w:val="18"/>
              </w:rPr>
              <w:t>本理财产品募集的资金投资于以下金融资产和金融工具，包括但不限于：</w:t>
            </w:r>
          </w:p>
          <w:p w:rsidR="00A21956" w:rsidRDefault="00386273">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A21956" w:rsidRDefault="00386273">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A21956" w:rsidRDefault="00386273">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A21956" w:rsidRDefault="00386273">
            <w:pPr>
              <w:spacing w:line="200" w:lineRule="exact"/>
              <w:jc w:val="left"/>
            </w:pPr>
            <w:r>
              <w:rPr>
                <w:rFonts w:cs="宋体"/>
                <w:sz w:val="18"/>
                <w:szCs w:val="18"/>
              </w:rPr>
              <w:t>4.</w:t>
            </w:r>
            <w:r>
              <w:rPr>
                <w:rFonts w:cs="宋体"/>
                <w:sz w:val="18"/>
                <w:szCs w:val="18"/>
              </w:rPr>
              <w:t>投资范围为上述资产的信托计划、资产管理计划等资产管理产品；</w:t>
            </w:r>
          </w:p>
          <w:p w:rsidR="00A21956" w:rsidRDefault="00386273">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A21956" w:rsidRDefault="00386273">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A2195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A21956" w:rsidRDefault="00386273">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A2195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A21956">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cs="宋体"/>
                <w:b/>
                <w:sz w:val="18"/>
                <w:szCs w:val="18"/>
              </w:rPr>
              <w:t>本理财产品拟投资以下备选非标准化债权类资产：</w:t>
            </w:r>
          </w:p>
          <w:p w:rsidR="00A21956" w:rsidRDefault="00386273">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A21956" w:rsidRDefault="00386273">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A21956" w:rsidRDefault="00386273">
            <w:pPr>
              <w:spacing w:line="200" w:lineRule="exact"/>
            </w:pPr>
            <w:r>
              <w:rPr>
                <w:rFonts w:cs="宋体"/>
                <w:sz w:val="18"/>
                <w:szCs w:val="18"/>
              </w:rPr>
              <w:t>3.</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A21956" w:rsidRDefault="00386273">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A21956" w:rsidRDefault="00386273">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A21956" w:rsidRDefault="00386273">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A21956" w:rsidRDefault="00386273">
            <w:pPr>
              <w:spacing w:line="200" w:lineRule="exact"/>
            </w:pPr>
            <w:r>
              <w:rPr>
                <w:rFonts w:cs="宋体"/>
                <w:sz w:val="18"/>
                <w:szCs w:val="18"/>
              </w:rPr>
              <w:t>7.</w:t>
            </w:r>
            <w:r>
              <w:rPr>
                <w:rFonts w:cs="宋体"/>
                <w:sz w:val="18"/>
                <w:szCs w:val="18"/>
              </w:rPr>
              <w:t>资产支持计划：资产类型为保险资产管理公司设立的资产支持计</w:t>
            </w:r>
            <w:r>
              <w:rPr>
                <w:rFonts w:cs="宋体"/>
                <w:sz w:val="18"/>
                <w:szCs w:val="18"/>
              </w:rPr>
              <w:lastRenderedPageBreak/>
              <w:t>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A21956" w:rsidRDefault="00386273">
            <w:pPr>
              <w:spacing w:line="200" w:lineRule="exact"/>
            </w:pPr>
            <w:r>
              <w:rPr>
                <w:rFonts w:cs="宋体"/>
                <w:sz w:val="18"/>
                <w:szCs w:val="18"/>
              </w:rPr>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A21956" w:rsidRDefault="00386273">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A21956" w:rsidRDefault="00386273">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A21956" w:rsidRDefault="00386273">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A21956" w:rsidRDefault="00386273">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A21956" w:rsidRDefault="00386273">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A21956" w:rsidRDefault="00386273">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A21956" w:rsidRDefault="00386273">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A21956" w:rsidRDefault="00386273">
            <w:pPr>
              <w:spacing w:line="200" w:lineRule="exact"/>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A21956" w:rsidRDefault="00386273">
            <w:pPr>
              <w:spacing w:line="200" w:lineRule="exact"/>
            </w:pPr>
            <w:r>
              <w:rPr>
                <w:rFonts w:cs="宋体"/>
                <w:b/>
                <w:sz w:val="18"/>
                <w:szCs w:val="18"/>
              </w:rPr>
              <w:t>以上资产剩余期限均不超过产品期限。</w:t>
            </w:r>
          </w:p>
          <w:p w:rsidR="00A21956" w:rsidRDefault="00386273">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A2195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cs="宋体"/>
                <w:sz w:val="18"/>
                <w:szCs w:val="18"/>
              </w:rPr>
              <w:t>A</w:t>
            </w:r>
            <w:r>
              <w:rPr>
                <w:rFonts w:cs="宋体"/>
                <w:sz w:val="18"/>
                <w:szCs w:val="18"/>
              </w:rPr>
              <w:t>份额：业绩比较基准为年化</w:t>
            </w:r>
            <w:r>
              <w:rPr>
                <w:rFonts w:cs="宋体"/>
                <w:sz w:val="18"/>
                <w:szCs w:val="18"/>
              </w:rPr>
              <w:t xml:space="preserve">2.15%-2.4% </w:t>
            </w:r>
            <w:r>
              <w:rPr>
                <w:rFonts w:cs="宋体"/>
                <w:sz w:val="18"/>
                <w:szCs w:val="18"/>
              </w:rPr>
              <w:t>。</w:t>
            </w:r>
          </w:p>
          <w:p w:rsidR="00A21956" w:rsidRDefault="00386273">
            <w:pPr>
              <w:spacing w:line="200" w:lineRule="exact"/>
            </w:pPr>
            <w:r>
              <w:rPr>
                <w:rFonts w:cs="宋体"/>
                <w:sz w:val="18"/>
                <w:szCs w:val="18"/>
              </w:rPr>
              <w:t>B</w:t>
            </w:r>
            <w:r>
              <w:rPr>
                <w:rFonts w:cs="宋体"/>
                <w:sz w:val="18"/>
                <w:szCs w:val="18"/>
              </w:rPr>
              <w:t>份额：业绩比较基准为年化</w:t>
            </w:r>
            <w:r>
              <w:rPr>
                <w:rFonts w:cs="宋体"/>
                <w:sz w:val="18"/>
                <w:szCs w:val="18"/>
              </w:rPr>
              <w:t xml:space="preserve">2.25%-2.5% </w:t>
            </w:r>
            <w:r>
              <w:rPr>
                <w:rFonts w:cs="宋体"/>
                <w:sz w:val="18"/>
                <w:szCs w:val="18"/>
              </w:rPr>
              <w:t>。</w:t>
            </w:r>
          </w:p>
          <w:p w:rsidR="00A21956" w:rsidRDefault="00386273">
            <w:pPr>
              <w:spacing w:line="200" w:lineRule="exact"/>
            </w:pPr>
            <w:r>
              <w:rPr>
                <w:rFonts w:cs="宋体"/>
                <w:sz w:val="18"/>
                <w:szCs w:val="18"/>
              </w:rPr>
              <w:t>C</w:t>
            </w:r>
            <w:r>
              <w:rPr>
                <w:rFonts w:cs="宋体"/>
                <w:sz w:val="18"/>
                <w:szCs w:val="18"/>
              </w:rPr>
              <w:t>份额：业绩比较基准为年化</w:t>
            </w:r>
            <w:r>
              <w:rPr>
                <w:rFonts w:cs="宋体"/>
                <w:sz w:val="18"/>
                <w:szCs w:val="18"/>
              </w:rPr>
              <w:t xml:space="preserve">2.35%-2.6% </w:t>
            </w:r>
            <w:r>
              <w:rPr>
                <w:rFonts w:cs="宋体"/>
                <w:sz w:val="18"/>
                <w:szCs w:val="18"/>
              </w:rPr>
              <w:t>。</w:t>
            </w:r>
          </w:p>
          <w:p w:rsidR="00A21956" w:rsidRDefault="00386273">
            <w:pPr>
              <w:spacing w:line="200" w:lineRule="exact"/>
            </w:pPr>
            <w:r>
              <w:rPr>
                <w:rFonts w:cs="宋体"/>
                <w:sz w:val="18"/>
                <w:szCs w:val="18"/>
              </w:rPr>
              <w:t>D</w:t>
            </w:r>
            <w:r>
              <w:rPr>
                <w:rFonts w:cs="宋体"/>
                <w:sz w:val="18"/>
                <w:szCs w:val="18"/>
              </w:rPr>
              <w:t>份额：业绩比较基准为年化</w:t>
            </w:r>
            <w:r>
              <w:rPr>
                <w:rFonts w:cs="宋体"/>
                <w:sz w:val="18"/>
                <w:szCs w:val="18"/>
              </w:rPr>
              <w:t xml:space="preserve">2.45%-2.7% </w:t>
            </w:r>
            <w:r>
              <w:rPr>
                <w:rFonts w:cs="宋体"/>
                <w:sz w:val="18"/>
                <w:szCs w:val="18"/>
              </w:rPr>
              <w:t>。</w:t>
            </w:r>
          </w:p>
          <w:p w:rsidR="00A21956" w:rsidRDefault="00386273">
            <w:pPr>
              <w:spacing w:line="200" w:lineRule="exact"/>
            </w:pPr>
            <w:r>
              <w:rPr>
                <w:rFonts w:cs="宋体"/>
                <w:sz w:val="18"/>
                <w:szCs w:val="18"/>
              </w:rPr>
              <w:t>F</w:t>
            </w:r>
            <w:r>
              <w:rPr>
                <w:rFonts w:cs="宋体"/>
                <w:sz w:val="18"/>
                <w:szCs w:val="18"/>
              </w:rPr>
              <w:t>份额：业绩比较基准为年化</w:t>
            </w:r>
            <w:r>
              <w:rPr>
                <w:rFonts w:cs="宋体"/>
                <w:sz w:val="18"/>
                <w:szCs w:val="18"/>
              </w:rPr>
              <w:t xml:space="preserve">2.2%-2.45% </w:t>
            </w:r>
            <w:r>
              <w:rPr>
                <w:rFonts w:cs="宋体"/>
                <w:sz w:val="18"/>
                <w:szCs w:val="18"/>
              </w:rPr>
              <w:t>。</w:t>
            </w:r>
          </w:p>
          <w:p w:rsidR="00A21956" w:rsidRDefault="00386273">
            <w:pPr>
              <w:spacing w:line="200" w:lineRule="exact"/>
            </w:pPr>
            <w:r>
              <w:rPr>
                <w:rFonts w:cs="宋体"/>
                <w:sz w:val="18"/>
                <w:szCs w:val="18"/>
              </w:rPr>
              <w:t>G</w:t>
            </w:r>
            <w:r>
              <w:rPr>
                <w:rFonts w:cs="宋体"/>
                <w:sz w:val="18"/>
                <w:szCs w:val="18"/>
              </w:rPr>
              <w:t>份额：业绩比较基准为年化</w:t>
            </w:r>
            <w:r>
              <w:rPr>
                <w:rFonts w:cs="宋体"/>
                <w:sz w:val="18"/>
                <w:szCs w:val="18"/>
              </w:rPr>
              <w:t xml:space="preserve">2.25%-2.5% </w:t>
            </w:r>
            <w:r>
              <w:rPr>
                <w:rFonts w:cs="宋体"/>
                <w:sz w:val="18"/>
                <w:szCs w:val="18"/>
              </w:rPr>
              <w:t>。</w:t>
            </w:r>
          </w:p>
          <w:p w:rsidR="00A21956" w:rsidRDefault="00386273">
            <w:pPr>
              <w:spacing w:line="200" w:lineRule="exact"/>
            </w:pPr>
            <w:r>
              <w:rPr>
                <w:rFonts w:cs="宋体"/>
                <w:sz w:val="18"/>
                <w:szCs w:val="18"/>
              </w:rPr>
              <w:t>K</w:t>
            </w:r>
            <w:r>
              <w:rPr>
                <w:rFonts w:cs="宋体"/>
                <w:sz w:val="18"/>
                <w:szCs w:val="18"/>
              </w:rPr>
              <w:t>份额：业绩比较基准为年化</w:t>
            </w:r>
            <w:r>
              <w:rPr>
                <w:rFonts w:cs="宋体"/>
                <w:sz w:val="18"/>
                <w:szCs w:val="18"/>
              </w:rPr>
              <w:t xml:space="preserve">2.3%-2.55% </w:t>
            </w:r>
            <w:r>
              <w:rPr>
                <w:rFonts w:cs="宋体"/>
                <w:sz w:val="18"/>
                <w:szCs w:val="18"/>
              </w:rPr>
              <w:t>。</w:t>
            </w:r>
          </w:p>
          <w:p w:rsidR="00A21956" w:rsidRDefault="00386273">
            <w:pPr>
              <w:spacing w:line="200" w:lineRule="exact"/>
            </w:pPr>
            <w:r>
              <w:rPr>
                <w:rFonts w:cs="宋体"/>
                <w:sz w:val="18"/>
                <w:szCs w:val="18"/>
              </w:rPr>
              <w:t>L</w:t>
            </w:r>
            <w:r>
              <w:rPr>
                <w:rFonts w:cs="宋体"/>
                <w:sz w:val="18"/>
                <w:szCs w:val="18"/>
              </w:rPr>
              <w:t>份额：业绩比较基准为年化</w:t>
            </w:r>
            <w:r>
              <w:rPr>
                <w:rFonts w:cs="宋体"/>
                <w:sz w:val="18"/>
                <w:szCs w:val="18"/>
              </w:rPr>
              <w:t xml:space="preserve">2.4%-2.65% </w:t>
            </w:r>
            <w:r>
              <w:rPr>
                <w:rFonts w:cs="宋体"/>
                <w:sz w:val="18"/>
                <w:szCs w:val="18"/>
              </w:rPr>
              <w:t>。</w:t>
            </w:r>
          </w:p>
          <w:p w:rsidR="00A21956" w:rsidRDefault="00386273">
            <w:pPr>
              <w:spacing w:line="200" w:lineRule="exact"/>
            </w:pPr>
            <w:r>
              <w:rPr>
                <w:rFonts w:cs="宋体"/>
                <w:sz w:val="18"/>
                <w:szCs w:val="18"/>
              </w:rPr>
              <w:t>本产品不同份额针对不同的销售机构及客群进行销售，设置有不同的销售费和管理费，导致业绩基准测算结果不同。</w:t>
            </w:r>
          </w:p>
          <w:p w:rsidR="00A21956" w:rsidRDefault="00386273">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A21956" w:rsidRDefault="00386273">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A2195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A21956" w:rsidRDefault="00386273">
            <w:pPr>
              <w:spacing w:line="200" w:lineRule="exact"/>
            </w:pPr>
            <w:r>
              <w:rPr>
                <w:rFonts w:cs="宋体"/>
                <w:b/>
                <w:sz w:val="18"/>
                <w:szCs w:val="18"/>
              </w:rPr>
              <w:t>赎回费：本理财产品暂不收取赎回费。</w:t>
            </w:r>
          </w:p>
          <w:p w:rsidR="00A21956" w:rsidRDefault="00386273">
            <w:pPr>
              <w:spacing w:line="200" w:lineRule="exact"/>
            </w:pPr>
            <w:r>
              <w:rPr>
                <w:rFonts w:cs="宋体"/>
                <w:b/>
                <w:sz w:val="18"/>
                <w:szCs w:val="18"/>
              </w:rPr>
              <w:t>销售费：本理财产品按前一日理财产品资产净值收取销售费，按日计提。</w:t>
            </w:r>
          </w:p>
          <w:p w:rsidR="00A21956" w:rsidRDefault="00386273">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A21956" w:rsidRDefault="00386273">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A21956" w:rsidRDefault="00386273">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A21956" w:rsidRDefault="00386273">
            <w:pPr>
              <w:spacing w:line="200" w:lineRule="exact"/>
            </w:pPr>
            <w:r>
              <w:rPr>
                <w:rFonts w:cs="宋体"/>
                <w:b/>
                <w:sz w:val="18"/>
                <w:szCs w:val="18"/>
              </w:rPr>
              <w:t>D</w:t>
            </w:r>
            <w:r>
              <w:rPr>
                <w:rFonts w:cs="宋体"/>
                <w:b/>
                <w:sz w:val="18"/>
                <w:szCs w:val="18"/>
              </w:rPr>
              <w:t>份额：销售费年化</w:t>
            </w:r>
            <w:r>
              <w:rPr>
                <w:rFonts w:cs="宋体"/>
                <w:b/>
                <w:sz w:val="18"/>
                <w:szCs w:val="18"/>
              </w:rPr>
              <w:t>0%</w:t>
            </w:r>
          </w:p>
          <w:p w:rsidR="00A21956" w:rsidRDefault="00386273">
            <w:pPr>
              <w:spacing w:line="200" w:lineRule="exact"/>
            </w:pPr>
            <w:r>
              <w:rPr>
                <w:rFonts w:cs="宋体"/>
                <w:b/>
                <w:sz w:val="18"/>
                <w:szCs w:val="18"/>
              </w:rPr>
              <w:t>F</w:t>
            </w:r>
            <w:r>
              <w:rPr>
                <w:rFonts w:cs="宋体"/>
                <w:b/>
                <w:sz w:val="18"/>
                <w:szCs w:val="18"/>
              </w:rPr>
              <w:t>份额：销售费年化</w:t>
            </w:r>
            <w:r>
              <w:rPr>
                <w:rFonts w:cs="宋体"/>
                <w:b/>
                <w:sz w:val="18"/>
                <w:szCs w:val="18"/>
              </w:rPr>
              <w:t>0.25%</w:t>
            </w:r>
          </w:p>
          <w:p w:rsidR="00A21956" w:rsidRDefault="00386273">
            <w:pPr>
              <w:spacing w:line="200" w:lineRule="exact"/>
            </w:pPr>
            <w:r>
              <w:rPr>
                <w:rFonts w:cs="宋体"/>
                <w:b/>
                <w:sz w:val="18"/>
                <w:szCs w:val="18"/>
              </w:rPr>
              <w:t>G</w:t>
            </w:r>
            <w:r>
              <w:rPr>
                <w:rFonts w:cs="宋体"/>
                <w:b/>
                <w:sz w:val="18"/>
                <w:szCs w:val="18"/>
              </w:rPr>
              <w:t>份额：销售费年化</w:t>
            </w:r>
            <w:r>
              <w:rPr>
                <w:rFonts w:cs="宋体"/>
                <w:b/>
                <w:sz w:val="18"/>
                <w:szCs w:val="18"/>
              </w:rPr>
              <w:t>0.2%</w:t>
            </w:r>
          </w:p>
          <w:p w:rsidR="00A21956" w:rsidRDefault="00386273">
            <w:pPr>
              <w:spacing w:line="200" w:lineRule="exact"/>
            </w:pPr>
            <w:r>
              <w:rPr>
                <w:rFonts w:cs="宋体"/>
                <w:b/>
                <w:sz w:val="18"/>
                <w:szCs w:val="18"/>
              </w:rPr>
              <w:t>K</w:t>
            </w:r>
            <w:r>
              <w:rPr>
                <w:rFonts w:cs="宋体"/>
                <w:b/>
                <w:sz w:val="18"/>
                <w:szCs w:val="18"/>
              </w:rPr>
              <w:t>份额：销售费年化</w:t>
            </w:r>
            <w:r>
              <w:rPr>
                <w:rFonts w:cs="宋体"/>
                <w:b/>
                <w:sz w:val="18"/>
                <w:szCs w:val="18"/>
              </w:rPr>
              <w:t>0.15%</w:t>
            </w:r>
          </w:p>
          <w:p w:rsidR="00A21956" w:rsidRDefault="00386273">
            <w:pPr>
              <w:spacing w:line="200" w:lineRule="exact"/>
            </w:pPr>
            <w:r>
              <w:rPr>
                <w:rFonts w:cs="宋体"/>
                <w:b/>
                <w:sz w:val="18"/>
                <w:szCs w:val="18"/>
              </w:rPr>
              <w:t>L</w:t>
            </w:r>
            <w:r>
              <w:rPr>
                <w:rFonts w:cs="宋体"/>
                <w:b/>
                <w:sz w:val="18"/>
                <w:szCs w:val="18"/>
              </w:rPr>
              <w:t>份额：销售费年化</w:t>
            </w:r>
            <w:r>
              <w:rPr>
                <w:rFonts w:cs="宋体"/>
                <w:b/>
                <w:sz w:val="18"/>
                <w:szCs w:val="18"/>
              </w:rPr>
              <w:t>0.05%</w:t>
            </w:r>
          </w:p>
          <w:p w:rsidR="00A21956" w:rsidRDefault="00386273">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A21956" w:rsidRDefault="00386273">
            <w:pPr>
              <w:spacing w:line="200" w:lineRule="exact"/>
            </w:pPr>
            <w:r>
              <w:rPr>
                <w:rFonts w:cs="宋体"/>
                <w:b/>
                <w:sz w:val="18"/>
                <w:szCs w:val="18"/>
              </w:rPr>
              <w:t>固定管理费：本理财产品按前一日理财产品资产净值收取固定管理</w:t>
            </w:r>
            <w:r>
              <w:rPr>
                <w:rFonts w:cs="宋体"/>
                <w:b/>
                <w:sz w:val="18"/>
                <w:szCs w:val="18"/>
              </w:rPr>
              <w:lastRenderedPageBreak/>
              <w:t>费，按日计提。</w:t>
            </w:r>
          </w:p>
          <w:p w:rsidR="00A21956" w:rsidRDefault="00386273">
            <w:pPr>
              <w:spacing w:line="200" w:lineRule="exact"/>
            </w:pPr>
            <w:r>
              <w:rPr>
                <w:rFonts w:cs="宋体"/>
                <w:b/>
                <w:sz w:val="18"/>
                <w:szCs w:val="18"/>
              </w:rPr>
              <w:t>A</w:t>
            </w:r>
            <w:r>
              <w:rPr>
                <w:rFonts w:cs="宋体"/>
                <w:b/>
                <w:sz w:val="18"/>
                <w:szCs w:val="18"/>
              </w:rPr>
              <w:t>份额：固定管理费年化</w:t>
            </w:r>
            <w:r>
              <w:rPr>
                <w:rFonts w:cs="宋体"/>
                <w:b/>
                <w:sz w:val="18"/>
                <w:szCs w:val="18"/>
              </w:rPr>
              <w:t>0.2%</w:t>
            </w:r>
          </w:p>
          <w:p w:rsidR="00A21956" w:rsidRDefault="00386273">
            <w:pPr>
              <w:spacing w:line="200" w:lineRule="exact"/>
            </w:pPr>
            <w:r>
              <w:rPr>
                <w:rFonts w:cs="宋体"/>
                <w:b/>
                <w:sz w:val="18"/>
                <w:szCs w:val="18"/>
              </w:rPr>
              <w:t>B</w:t>
            </w:r>
            <w:r>
              <w:rPr>
                <w:rFonts w:cs="宋体"/>
                <w:b/>
                <w:sz w:val="18"/>
                <w:szCs w:val="18"/>
              </w:rPr>
              <w:t>份额：固定管理费年化</w:t>
            </w:r>
            <w:r>
              <w:rPr>
                <w:rFonts w:cs="宋体"/>
                <w:b/>
                <w:sz w:val="18"/>
                <w:szCs w:val="18"/>
              </w:rPr>
              <w:t>0.15%</w:t>
            </w:r>
          </w:p>
          <w:p w:rsidR="00A21956" w:rsidRDefault="00386273">
            <w:pPr>
              <w:spacing w:line="200" w:lineRule="exact"/>
            </w:pPr>
            <w:r>
              <w:rPr>
                <w:rFonts w:cs="宋体"/>
                <w:b/>
                <w:sz w:val="18"/>
                <w:szCs w:val="18"/>
              </w:rPr>
              <w:t>C</w:t>
            </w:r>
            <w:r>
              <w:rPr>
                <w:rFonts w:cs="宋体"/>
                <w:b/>
                <w:sz w:val="18"/>
                <w:szCs w:val="18"/>
              </w:rPr>
              <w:t>份额：固定管理费年化</w:t>
            </w:r>
            <w:r>
              <w:rPr>
                <w:rFonts w:cs="宋体"/>
                <w:b/>
                <w:sz w:val="18"/>
                <w:szCs w:val="18"/>
              </w:rPr>
              <w:t>0.15%</w:t>
            </w:r>
          </w:p>
          <w:p w:rsidR="00A21956" w:rsidRDefault="00386273">
            <w:pPr>
              <w:spacing w:line="200" w:lineRule="exact"/>
            </w:pPr>
            <w:r>
              <w:rPr>
                <w:rFonts w:cs="宋体"/>
                <w:b/>
                <w:sz w:val="18"/>
                <w:szCs w:val="18"/>
              </w:rPr>
              <w:t>D</w:t>
            </w:r>
            <w:r>
              <w:rPr>
                <w:rFonts w:cs="宋体"/>
                <w:b/>
                <w:sz w:val="18"/>
                <w:szCs w:val="18"/>
              </w:rPr>
              <w:t>份额：固定管理费年化</w:t>
            </w:r>
            <w:r>
              <w:rPr>
                <w:rFonts w:cs="宋体"/>
                <w:b/>
                <w:sz w:val="18"/>
                <w:szCs w:val="18"/>
              </w:rPr>
              <w:t>0.1%</w:t>
            </w:r>
          </w:p>
          <w:p w:rsidR="00A21956" w:rsidRDefault="00386273">
            <w:pPr>
              <w:spacing w:line="200" w:lineRule="exact"/>
            </w:pPr>
            <w:r>
              <w:rPr>
                <w:rFonts w:cs="宋体"/>
                <w:b/>
                <w:sz w:val="18"/>
                <w:szCs w:val="18"/>
              </w:rPr>
              <w:t>F</w:t>
            </w:r>
            <w:r>
              <w:rPr>
                <w:rFonts w:cs="宋体"/>
                <w:b/>
                <w:sz w:val="18"/>
                <w:szCs w:val="18"/>
              </w:rPr>
              <w:t>份额：固定管理费年化</w:t>
            </w:r>
            <w:r>
              <w:rPr>
                <w:rFonts w:cs="宋体"/>
                <w:b/>
                <w:sz w:val="18"/>
                <w:szCs w:val="18"/>
              </w:rPr>
              <w:t>0.1%</w:t>
            </w:r>
          </w:p>
          <w:p w:rsidR="00A21956" w:rsidRDefault="00386273">
            <w:pPr>
              <w:spacing w:line="200" w:lineRule="exact"/>
            </w:pPr>
            <w:r>
              <w:rPr>
                <w:rFonts w:cs="宋体"/>
                <w:b/>
                <w:sz w:val="18"/>
                <w:szCs w:val="18"/>
              </w:rPr>
              <w:t>G</w:t>
            </w:r>
            <w:r>
              <w:rPr>
                <w:rFonts w:cs="宋体"/>
                <w:b/>
                <w:sz w:val="18"/>
                <w:szCs w:val="18"/>
              </w:rPr>
              <w:t>份额：固定管理费年化</w:t>
            </w:r>
            <w:r>
              <w:rPr>
                <w:rFonts w:cs="宋体"/>
                <w:b/>
                <w:sz w:val="18"/>
                <w:szCs w:val="18"/>
              </w:rPr>
              <w:t>0.1%</w:t>
            </w:r>
          </w:p>
          <w:p w:rsidR="00A21956" w:rsidRDefault="00386273">
            <w:pPr>
              <w:spacing w:line="200" w:lineRule="exact"/>
            </w:pPr>
            <w:r>
              <w:rPr>
                <w:rFonts w:cs="宋体"/>
                <w:b/>
                <w:sz w:val="18"/>
                <w:szCs w:val="18"/>
              </w:rPr>
              <w:t>K</w:t>
            </w:r>
            <w:r>
              <w:rPr>
                <w:rFonts w:cs="宋体"/>
                <w:b/>
                <w:sz w:val="18"/>
                <w:szCs w:val="18"/>
              </w:rPr>
              <w:t>份额：固定管理费年化</w:t>
            </w:r>
            <w:r>
              <w:rPr>
                <w:rFonts w:cs="宋体"/>
                <w:b/>
                <w:sz w:val="18"/>
                <w:szCs w:val="18"/>
              </w:rPr>
              <w:t>0.1%</w:t>
            </w:r>
          </w:p>
          <w:p w:rsidR="00A21956" w:rsidRDefault="00386273">
            <w:pPr>
              <w:spacing w:line="200" w:lineRule="exact"/>
            </w:pPr>
            <w:r>
              <w:rPr>
                <w:rFonts w:cs="宋体"/>
                <w:b/>
                <w:sz w:val="18"/>
                <w:szCs w:val="18"/>
              </w:rPr>
              <w:t>L</w:t>
            </w:r>
            <w:r>
              <w:rPr>
                <w:rFonts w:cs="宋体"/>
                <w:b/>
                <w:sz w:val="18"/>
                <w:szCs w:val="18"/>
              </w:rPr>
              <w:t>份额：固定管理费年化</w:t>
            </w:r>
            <w:r>
              <w:rPr>
                <w:rFonts w:cs="宋体"/>
                <w:b/>
                <w:sz w:val="18"/>
                <w:szCs w:val="18"/>
              </w:rPr>
              <w:t>0.1%</w:t>
            </w:r>
          </w:p>
          <w:p w:rsidR="00A21956" w:rsidRDefault="00386273">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A21956" w:rsidRDefault="00386273">
            <w:pPr>
              <w:spacing w:line="200" w:lineRule="exact"/>
            </w:pPr>
            <w:r>
              <w:rPr>
                <w:rFonts w:cs="宋体"/>
                <w:b/>
                <w:sz w:val="18"/>
                <w:szCs w:val="18"/>
              </w:rPr>
              <w:t>托管费：</w:t>
            </w:r>
          </w:p>
          <w:p w:rsidR="00A21956" w:rsidRDefault="00386273">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A21956" w:rsidRDefault="00386273">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A21956" w:rsidRDefault="00386273">
            <w:pPr>
              <w:spacing w:line="200" w:lineRule="exact"/>
            </w:pPr>
            <w:r>
              <w:rPr>
                <w:rFonts w:cs="宋体"/>
                <w:b/>
                <w:sz w:val="18"/>
                <w:szCs w:val="18"/>
              </w:rPr>
              <w:t>业绩报酬：</w:t>
            </w:r>
          </w:p>
          <w:p w:rsidR="00A21956" w:rsidRDefault="00386273">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份额：到期兑付时，当期产品投资的实际资产组合收益（扣除销售费、固定管理费、托管费等相关费用）在</w:t>
            </w:r>
            <w:r>
              <w:rPr>
                <w:rFonts w:cs="宋体"/>
                <w:b/>
                <w:sz w:val="18"/>
                <w:szCs w:val="18"/>
              </w:rPr>
              <w:t>2.15%</w:t>
            </w:r>
            <w:r>
              <w:rPr>
                <w:rFonts w:cs="宋体"/>
                <w:b/>
                <w:sz w:val="18"/>
                <w:szCs w:val="18"/>
              </w:rPr>
              <w:t>（含）（年化，即产品该份额对应的业绩报酬计提基准）至</w:t>
            </w:r>
            <w:r>
              <w:rPr>
                <w:rFonts w:cs="宋体"/>
                <w:b/>
                <w:sz w:val="18"/>
                <w:szCs w:val="18"/>
              </w:rPr>
              <w:t>2.4%</w:t>
            </w:r>
            <w:r>
              <w:rPr>
                <w:rFonts w:cs="宋体"/>
                <w:b/>
                <w:sz w:val="18"/>
                <w:szCs w:val="18"/>
              </w:rPr>
              <w:t>（不含）之间的部分，管理人将按超过</w:t>
            </w:r>
            <w:r>
              <w:rPr>
                <w:rFonts w:cs="宋体"/>
                <w:b/>
                <w:sz w:val="18"/>
                <w:szCs w:val="18"/>
              </w:rPr>
              <w:t>2.15%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2.4%</w:t>
            </w:r>
            <w:r>
              <w:rPr>
                <w:rFonts w:cs="宋体"/>
                <w:b/>
                <w:sz w:val="18"/>
                <w:szCs w:val="18"/>
              </w:rPr>
              <w:t>（含）（年化，即产品该份额对应的业绩报酬计提基准）以上的部分，管理人将按超过</w:t>
            </w:r>
            <w:r>
              <w:rPr>
                <w:rFonts w:cs="宋体"/>
                <w:b/>
                <w:sz w:val="18"/>
                <w:szCs w:val="18"/>
              </w:rPr>
              <w:t>2.4%</w:t>
            </w:r>
            <w:r>
              <w:rPr>
                <w:rFonts w:cs="宋体"/>
                <w:b/>
                <w:sz w:val="18"/>
                <w:szCs w:val="18"/>
              </w:rPr>
              <w:t>部分的</w:t>
            </w:r>
            <w:r>
              <w:rPr>
                <w:rFonts w:cs="宋体"/>
                <w:b/>
                <w:sz w:val="18"/>
                <w:szCs w:val="18"/>
              </w:rPr>
              <w:t>60%</w:t>
            </w:r>
            <w:r>
              <w:rPr>
                <w:rFonts w:cs="宋体"/>
                <w:b/>
                <w:sz w:val="18"/>
                <w:szCs w:val="18"/>
              </w:rPr>
              <w:t>收取业绩报酬。</w:t>
            </w:r>
          </w:p>
          <w:p w:rsidR="00A21956" w:rsidRDefault="00386273">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2.25%</w:t>
            </w:r>
            <w:r>
              <w:rPr>
                <w:rFonts w:cs="宋体"/>
                <w:b/>
                <w:sz w:val="18"/>
                <w:szCs w:val="18"/>
              </w:rPr>
              <w:t>（含）（年化，即产品该份额对应的业绩报酬计提基准）至</w:t>
            </w:r>
            <w:r>
              <w:rPr>
                <w:rFonts w:cs="宋体"/>
                <w:b/>
                <w:sz w:val="18"/>
                <w:szCs w:val="18"/>
              </w:rPr>
              <w:t>2.5%</w:t>
            </w:r>
            <w:r>
              <w:rPr>
                <w:rFonts w:cs="宋体"/>
                <w:b/>
                <w:sz w:val="18"/>
                <w:szCs w:val="18"/>
              </w:rPr>
              <w:t>（不含）之间的部分，管理人将按超过</w:t>
            </w:r>
            <w:r>
              <w:rPr>
                <w:rFonts w:cs="宋体"/>
                <w:b/>
                <w:sz w:val="18"/>
                <w:szCs w:val="18"/>
              </w:rPr>
              <w:t>2.25%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2.5%</w:t>
            </w:r>
            <w:r>
              <w:rPr>
                <w:rFonts w:cs="宋体"/>
                <w:b/>
                <w:sz w:val="18"/>
                <w:szCs w:val="18"/>
              </w:rPr>
              <w:t>（含）（年化，即产品该份额对应的业绩报酬计提基准）以上的部分，管理人将按超过</w:t>
            </w:r>
            <w:r>
              <w:rPr>
                <w:rFonts w:cs="宋体"/>
                <w:b/>
                <w:sz w:val="18"/>
                <w:szCs w:val="18"/>
              </w:rPr>
              <w:t>2.5%</w:t>
            </w:r>
            <w:r>
              <w:rPr>
                <w:rFonts w:cs="宋体"/>
                <w:b/>
                <w:sz w:val="18"/>
                <w:szCs w:val="18"/>
              </w:rPr>
              <w:t>部分的</w:t>
            </w:r>
            <w:r>
              <w:rPr>
                <w:rFonts w:cs="宋体"/>
                <w:b/>
                <w:sz w:val="18"/>
                <w:szCs w:val="18"/>
              </w:rPr>
              <w:t>60%</w:t>
            </w:r>
            <w:r>
              <w:rPr>
                <w:rFonts w:cs="宋体"/>
                <w:b/>
                <w:sz w:val="18"/>
                <w:szCs w:val="18"/>
              </w:rPr>
              <w:t>收取业绩报酬。</w:t>
            </w:r>
          </w:p>
          <w:p w:rsidR="00A21956" w:rsidRDefault="00386273">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份额：到期兑付时，当期产品投资的实际资产组合收益（扣除销售费、固定管理费、托管费等相关费用）在</w:t>
            </w:r>
            <w:r>
              <w:rPr>
                <w:rFonts w:cs="宋体"/>
                <w:b/>
                <w:sz w:val="18"/>
                <w:szCs w:val="18"/>
              </w:rPr>
              <w:t>2.35%</w:t>
            </w:r>
            <w:r>
              <w:rPr>
                <w:rFonts w:cs="宋体"/>
                <w:b/>
                <w:sz w:val="18"/>
                <w:szCs w:val="18"/>
              </w:rPr>
              <w:t>（含）（年化，即产品该份额对应的业绩报酬计提基准）至</w:t>
            </w:r>
            <w:r>
              <w:rPr>
                <w:rFonts w:cs="宋体"/>
                <w:b/>
                <w:sz w:val="18"/>
                <w:szCs w:val="18"/>
              </w:rPr>
              <w:t>2.6%</w:t>
            </w:r>
            <w:r>
              <w:rPr>
                <w:rFonts w:cs="宋体"/>
                <w:b/>
                <w:sz w:val="18"/>
                <w:szCs w:val="18"/>
              </w:rPr>
              <w:t>（不含）之间的部分，管理人将按超过</w:t>
            </w:r>
            <w:r>
              <w:rPr>
                <w:rFonts w:cs="宋体"/>
                <w:b/>
                <w:sz w:val="18"/>
                <w:szCs w:val="18"/>
              </w:rPr>
              <w:t>2.35%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2.6%</w:t>
            </w:r>
            <w:r>
              <w:rPr>
                <w:rFonts w:cs="宋体"/>
                <w:b/>
                <w:sz w:val="18"/>
                <w:szCs w:val="18"/>
              </w:rPr>
              <w:t>（含）（年化，即产品该份额对应的业绩报酬计提基准）以上的部分，管理人将按超过</w:t>
            </w:r>
            <w:r>
              <w:rPr>
                <w:rFonts w:cs="宋体"/>
                <w:b/>
                <w:sz w:val="18"/>
                <w:szCs w:val="18"/>
              </w:rPr>
              <w:t>2.6%</w:t>
            </w:r>
            <w:r>
              <w:rPr>
                <w:rFonts w:cs="宋体"/>
                <w:b/>
                <w:sz w:val="18"/>
                <w:szCs w:val="18"/>
              </w:rPr>
              <w:t>部分的</w:t>
            </w:r>
            <w:r>
              <w:rPr>
                <w:rFonts w:cs="宋体"/>
                <w:b/>
                <w:sz w:val="18"/>
                <w:szCs w:val="18"/>
              </w:rPr>
              <w:t>60%</w:t>
            </w:r>
            <w:r>
              <w:rPr>
                <w:rFonts w:cs="宋体"/>
                <w:b/>
                <w:sz w:val="18"/>
                <w:szCs w:val="18"/>
              </w:rPr>
              <w:t>收取业绩报酬。</w:t>
            </w:r>
          </w:p>
          <w:p w:rsidR="00A21956" w:rsidRDefault="00386273">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份额：到期兑付时，当期产品投资的实际资产组合收益（扣除销售费、固定管理费、托管费等相关费用）在</w:t>
            </w:r>
            <w:r>
              <w:rPr>
                <w:rFonts w:cs="宋体"/>
                <w:b/>
                <w:sz w:val="18"/>
                <w:szCs w:val="18"/>
              </w:rPr>
              <w:t>2.45%</w:t>
            </w:r>
            <w:r>
              <w:rPr>
                <w:rFonts w:cs="宋体"/>
                <w:b/>
                <w:sz w:val="18"/>
                <w:szCs w:val="18"/>
              </w:rPr>
              <w:t>（含）（年化，即产品该份额对应的业绩报酬计提基准）至</w:t>
            </w:r>
            <w:r>
              <w:rPr>
                <w:rFonts w:cs="宋体"/>
                <w:b/>
                <w:sz w:val="18"/>
                <w:szCs w:val="18"/>
              </w:rPr>
              <w:t>2.7%</w:t>
            </w:r>
            <w:r>
              <w:rPr>
                <w:rFonts w:cs="宋体"/>
                <w:b/>
                <w:sz w:val="18"/>
                <w:szCs w:val="18"/>
              </w:rPr>
              <w:t>（不含）之间的部分，管理人将按超过</w:t>
            </w:r>
            <w:r>
              <w:rPr>
                <w:rFonts w:cs="宋体"/>
                <w:b/>
                <w:sz w:val="18"/>
                <w:szCs w:val="18"/>
              </w:rPr>
              <w:t>2.45%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2.7%</w:t>
            </w:r>
            <w:r>
              <w:rPr>
                <w:rFonts w:cs="宋体"/>
                <w:b/>
                <w:sz w:val="18"/>
                <w:szCs w:val="18"/>
              </w:rPr>
              <w:t>（含）（年化，即产品该份额对应的业绩报酬计提基准）以上的部分，管理人将按超过</w:t>
            </w:r>
            <w:r>
              <w:rPr>
                <w:rFonts w:cs="宋体"/>
                <w:b/>
                <w:sz w:val="18"/>
                <w:szCs w:val="18"/>
              </w:rPr>
              <w:t>2.7%</w:t>
            </w:r>
            <w:r>
              <w:rPr>
                <w:rFonts w:cs="宋体"/>
                <w:b/>
                <w:sz w:val="18"/>
                <w:szCs w:val="18"/>
              </w:rPr>
              <w:t>部分的</w:t>
            </w:r>
            <w:r>
              <w:rPr>
                <w:rFonts w:cs="宋体"/>
                <w:b/>
                <w:sz w:val="18"/>
                <w:szCs w:val="18"/>
              </w:rPr>
              <w:t>60%</w:t>
            </w:r>
            <w:r>
              <w:rPr>
                <w:rFonts w:cs="宋体"/>
                <w:b/>
                <w:sz w:val="18"/>
                <w:szCs w:val="18"/>
              </w:rPr>
              <w:t>收取业绩报酬。</w:t>
            </w:r>
          </w:p>
          <w:p w:rsidR="00A21956" w:rsidRDefault="00386273">
            <w:pPr>
              <w:spacing w:line="200" w:lineRule="exact"/>
            </w:pPr>
            <w:r>
              <w:rPr>
                <w:rFonts w:cs="宋体"/>
                <w:b/>
                <w:sz w:val="18"/>
                <w:szCs w:val="18"/>
              </w:rPr>
              <w:t>F</w:t>
            </w:r>
            <w:r>
              <w:rPr>
                <w:rFonts w:cs="宋体"/>
                <w:b/>
                <w:sz w:val="18"/>
                <w:szCs w:val="18"/>
              </w:rPr>
              <w:t>份额：到期兑付时，当期产品投资的实际资产组合收益（扣除销售费、固定管理费、托管费等相关费用）在</w:t>
            </w:r>
            <w:r>
              <w:rPr>
                <w:rFonts w:cs="宋体"/>
                <w:b/>
                <w:sz w:val="18"/>
                <w:szCs w:val="18"/>
              </w:rPr>
              <w:t>2.2%</w:t>
            </w:r>
            <w:r>
              <w:rPr>
                <w:rFonts w:cs="宋体"/>
                <w:b/>
                <w:sz w:val="18"/>
                <w:szCs w:val="18"/>
              </w:rPr>
              <w:t>（含）（年化，即产品该份额对应的业绩报酬计提基准）至</w:t>
            </w:r>
            <w:r>
              <w:rPr>
                <w:rFonts w:cs="宋体"/>
                <w:b/>
                <w:sz w:val="18"/>
                <w:szCs w:val="18"/>
              </w:rPr>
              <w:t>2.45%</w:t>
            </w:r>
            <w:r>
              <w:rPr>
                <w:rFonts w:cs="宋体"/>
                <w:b/>
                <w:sz w:val="18"/>
                <w:szCs w:val="18"/>
              </w:rPr>
              <w:t>（不含）之间的部分，管理人将按超过</w:t>
            </w:r>
            <w:r>
              <w:rPr>
                <w:rFonts w:cs="宋体"/>
                <w:b/>
                <w:sz w:val="18"/>
                <w:szCs w:val="18"/>
              </w:rPr>
              <w:t>2.2%</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2.45%</w:t>
            </w:r>
            <w:r>
              <w:rPr>
                <w:rFonts w:cs="宋体"/>
                <w:b/>
                <w:sz w:val="18"/>
                <w:szCs w:val="18"/>
              </w:rPr>
              <w:t>（含）（年化，即产品该份额对应的业绩报酬计提基准）以上的部分，管理人将按超过</w:t>
            </w:r>
            <w:r>
              <w:rPr>
                <w:rFonts w:cs="宋体"/>
                <w:b/>
                <w:sz w:val="18"/>
                <w:szCs w:val="18"/>
              </w:rPr>
              <w:t>2.45%</w:t>
            </w:r>
            <w:r>
              <w:rPr>
                <w:rFonts w:cs="宋体"/>
                <w:b/>
                <w:sz w:val="18"/>
                <w:szCs w:val="18"/>
              </w:rPr>
              <w:t>部分的</w:t>
            </w:r>
            <w:r>
              <w:rPr>
                <w:rFonts w:cs="宋体"/>
                <w:b/>
                <w:sz w:val="18"/>
                <w:szCs w:val="18"/>
              </w:rPr>
              <w:t>60%</w:t>
            </w:r>
            <w:r>
              <w:rPr>
                <w:rFonts w:cs="宋体"/>
                <w:b/>
                <w:sz w:val="18"/>
                <w:szCs w:val="18"/>
              </w:rPr>
              <w:t>收取业绩报酬。</w:t>
            </w:r>
          </w:p>
          <w:p w:rsidR="00A21956" w:rsidRDefault="00386273">
            <w:pPr>
              <w:spacing w:line="200" w:lineRule="exact"/>
            </w:pPr>
            <w:r>
              <w:rPr>
                <w:rFonts w:cs="宋体"/>
                <w:b/>
                <w:sz w:val="18"/>
                <w:szCs w:val="18"/>
              </w:rPr>
              <w:t>G</w:t>
            </w:r>
            <w:r>
              <w:rPr>
                <w:rFonts w:cs="宋体"/>
                <w:b/>
                <w:sz w:val="18"/>
                <w:szCs w:val="18"/>
              </w:rPr>
              <w:t>份额：到期兑付时，当期产品投资的实际资产组合收益（扣除销售费、固定管理费、托管费等相关费用）在</w:t>
            </w:r>
            <w:r>
              <w:rPr>
                <w:rFonts w:cs="宋体"/>
                <w:b/>
                <w:sz w:val="18"/>
                <w:szCs w:val="18"/>
              </w:rPr>
              <w:t>2.25%</w:t>
            </w:r>
            <w:r>
              <w:rPr>
                <w:rFonts w:cs="宋体"/>
                <w:b/>
                <w:sz w:val="18"/>
                <w:szCs w:val="18"/>
              </w:rPr>
              <w:t>（含）（年化，即产品该份额对应的业绩报酬计提基准）至</w:t>
            </w:r>
            <w:r>
              <w:rPr>
                <w:rFonts w:cs="宋体"/>
                <w:b/>
                <w:sz w:val="18"/>
                <w:szCs w:val="18"/>
              </w:rPr>
              <w:t>2.5%</w:t>
            </w:r>
            <w:r>
              <w:rPr>
                <w:rFonts w:cs="宋体"/>
                <w:b/>
                <w:sz w:val="18"/>
                <w:szCs w:val="18"/>
              </w:rPr>
              <w:t>（不含）之间的部分，管理人将按超过</w:t>
            </w:r>
            <w:r>
              <w:rPr>
                <w:rFonts w:cs="宋体"/>
                <w:b/>
                <w:sz w:val="18"/>
                <w:szCs w:val="18"/>
              </w:rPr>
              <w:t>2.25%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2.5%</w:t>
            </w:r>
            <w:r>
              <w:rPr>
                <w:rFonts w:cs="宋体"/>
                <w:b/>
                <w:sz w:val="18"/>
                <w:szCs w:val="18"/>
              </w:rPr>
              <w:t>（含）（年化，即产品该份额对应的业绩报酬计提基准）以上的部分，管理人将按超过</w:t>
            </w:r>
            <w:r>
              <w:rPr>
                <w:rFonts w:cs="宋体"/>
                <w:b/>
                <w:sz w:val="18"/>
                <w:szCs w:val="18"/>
              </w:rPr>
              <w:t>2.5%</w:t>
            </w:r>
            <w:r>
              <w:rPr>
                <w:rFonts w:cs="宋体"/>
                <w:b/>
                <w:sz w:val="18"/>
                <w:szCs w:val="18"/>
              </w:rPr>
              <w:t>部分的</w:t>
            </w:r>
            <w:r>
              <w:rPr>
                <w:rFonts w:cs="宋体"/>
                <w:b/>
                <w:sz w:val="18"/>
                <w:szCs w:val="18"/>
              </w:rPr>
              <w:t>60%</w:t>
            </w:r>
            <w:r>
              <w:rPr>
                <w:rFonts w:cs="宋体"/>
                <w:b/>
                <w:sz w:val="18"/>
                <w:szCs w:val="18"/>
              </w:rPr>
              <w:t>收取业绩报酬。</w:t>
            </w:r>
          </w:p>
          <w:p w:rsidR="00A21956" w:rsidRDefault="00386273">
            <w:pPr>
              <w:spacing w:line="200" w:lineRule="exact"/>
            </w:pPr>
            <w:r>
              <w:rPr>
                <w:rFonts w:cs="宋体"/>
                <w:b/>
                <w:sz w:val="18"/>
                <w:szCs w:val="18"/>
              </w:rPr>
              <w:t>K</w:t>
            </w:r>
            <w:r>
              <w:rPr>
                <w:rFonts w:cs="宋体"/>
                <w:b/>
                <w:sz w:val="18"/>
                <w:szCs w:val="18"/>
              </w:rPr>
              <w:t>份额：到期兑付时，当期产品投资的实际资产组合收益（扣除销售费、固定管理费、托管费等相关费用）在</w:t>
            </w:r>
            <w:r>
              <w:rPr>
                <w:rFonts w:cs="宋体"/>
                <w:b/>
                <w:sz w:val="18"/>
                <w:szCs w:val="18"/>
              </w:rPr>
              <w:t>2.3%</w:t>
            </w:r>
            <w:r>
              <w:rPr>
                <w:rFonts w:cs="宋体"/>
                <w:b/>
                <w:sz w:val="18"/>
                <w:szCs w:val="18"/>
              </w:rPr>
              <w:t>（含）（年化，即产品该份额对应的业绩报酬计提基准）至</w:t>
            </w:r>
            <w:r>
              <w:rPr>
                <w:rFonts w:cs="宋体"/>
                <w:b/>
                <w:sz w:val="18"/>
                <w:szCs w:val="18"/>
              </w:rPr>
              <w:t>2.55%</w:t>
            </w:r>
            <w:r>
              <w:rPr>
                <w:rFonts w:cs="宋体"/>
                <w:b/>
                <w:sz w:val="18"/>
                <w:szCs w:val="18"/>
              </w:rPr>
              <w:t>（不含）之间的部分，管理人将按超过</w:t>
            </w:r>
            <w:r>
              <w:rPr>
                <w:rFonts w:cs="宋体"/>
                <w:b/>
                <w:sz w:val="18"/>
                <w:szCs w:val="18"/>
              </w:rPr>
              <w:t>2.3%</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2.55%</w:t>
            </w:r>
            <w:r>
              <w:rPr>
                <w:rFonts w:cs="宋体"/>
                <w:b/>
                <w:sz w:val="18"/>
                <w:szCs w:val="18"/>
              </w:rPr>
              <w:t>（含）（年化，即产品该份额对应的业绩报酬计提基准）以上的部分，管理人将按超过</w:t>
            </w:r>
            <w:r>
              <w:rPr>
                <w:rFonts w:cs="宋体"/>
                <w:b/>
                <w:sz w:val="18"/>
                <w:szCs w:val="18"/>
              </w:rPr>
              <w:t>2.55%</w:t>
            </w:r>
            <w:r>
              <w:rPr>
                <w:rFonts w:cs="宋体"/>
                <w:b/>
                <w:sz w:val="18"/>
                <w:szCs w:val="18"/>
              </w:rPr>
              <w:t>部分的</w:t>
            </w:r>
            <w:r>
              <w:rPr>
                <w:rFonts w:cs="宋体"/>
                <w:b/>
                <w:sz w:val="18"/>
                <w:szCs w:val="18"/>
              </w:rPr>
              <w:t>60%</w:t>
            </w:r>
            <w:r>
              <w:rPr>
                <w:rFonts w:cs="宋体"/>
                <w:b/>
                <w:sz w:val="18"/>
                <w:szCs w:val="18"/>
              </w:rPr>
              <w:t>收取业绩报酬。</w:t>
            </w:r>
          </w:p>
          <w:p w:rsidR="00A21956" w:rsidRDefault="00386273">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份额：到期兑付时，当期产品投资的实际资产组合收益（扣除销售费、固定管理费、托管费等相关费用）在</w:t>
            </w:r>
            <w:r>
              <w:rPr>
                <w:rFonts w:cs="宋体"/>
                <w:b/>
                <w:sz w:val="18"/>
                <w:szCs w:val="18"/>
              </w:rPr>
              <w:t>2.4%</w:t>
            </w:r>
            <w:r>
              <w:rPr>
                <w:rFonts w:cs="宋体"/>
                <w:b/>
                <w:sz w:val="18"/>
                <w:szCs w:val="18"/>
              </w:rPr>
              <w:t>（含）（年化，即产品该份额对应的业绩报酬计提基准）至</w:t>
            </w:r>
            <w:r>
              <w:rPr>
                <w:rFonts w:cs="宋体"/>
                <w:b/>
                <w:sz w:val="18"/>
                <w:szCs w:val="18"/>
              </w:rPr>
              <w:t>2.65%</w:t>
            </w:r>
            <w:r>
              <w:rPr>
                <w:rFonts w:cs="宋体"/>
                <w:b/>
                <w:sz w:val="18"/>
                <w:szCs w:val="18"/>
              </w:rPr>
              <w:t>（不含）之间的部分，管理人将按超过</w:t>
            </w:r>
            <w:r>
              <w:rPr>
                <w:rFonts w:cs="宋体"/>
                <w:b/>
                <w:sz w:val="18"/>
                <w:szCs w:val="18"/>
              </w:rPr>
              <w:t>2.4%</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2.65%</w:t>
            </w:r>
            <w:r>
              <w:rPr>
                <w:rFonts w:cs="宋体"/>
                <w:b/>
                <w:sz w:val="18"/>
                <w:szCs w:val="18"/>
              </w:rPr>
              <w:t>（含）（年化，即产品该份额对应的业绩报酬计提基准）以上的部分，管理人将按超过</w:t>
            </w:r>
            <w:r>
              <w:rPr>
                <w:rFonts w:cs="宋体"/>
                <w:b/>
                <w:sz w:val="18"/>
                <w:szCs w:val="18"/>
              </w:rPr>
              <w:t>2.65%</w:t>
            </w:r>
            <w:r>
              <w:rPr>
                <w:rFonts w:cs="宋体"/>
                <w:b/>
                <w:sz w:val="18"/>
                <w:szCs w:val="18"/>
              </w:rPr>
              <w:t>部分的</w:t>
            </w:r>
            <w:r>
              <w:rPr>
                <w:rFonts w:cs="宋体"/>
                <w:b/>
                <w:sz w:val="18"/>
                <w:szCs w:val="18"/>
              </w:rPr>
              <w:t>60%</w:t>
            </w:r>
            <w:r>
              <w:rPr>
                <w:rFonts w:cs="宋体"/>
                <w:b/>
                <w:sz w:val="18"/>
                <w:szCs w:val="18"/>
              </w:rPr>
              <w:t>收取业绩报酬。</w:t>
            </w:r>
          </w:p>
          <w:p w:rsidR="00A21956" w:rsidRDefault="00386273">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A21956" w:rsidRDefault="00386273">
            <w:pPr>
              <w:spacing w:line="200" w:lineRule="exact"/>
            </w:pPr>
            <w:r>
              <w:rPr>
                <w:rFonts w:cs="宋体"/>
                <w:b/>
                <w:sz w:val="18"/>
                <w:szCs w:val="18"/>
              </w:rPr>
              <w:lastRenderedPageBreak/>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A21956" w:rsidRDefault="00386273">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A21956" w:rsidRDefault="00386273">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A21956" w:rsidRDefault="00386273">
            <w:pPr>
              <w:spacing w:line="200" w:lineRule="exact"/>
            </w:pPr>
            <w:r>
              <w:rPr>
                <w:rFonts w:cs="宋体"/>
                <w:b/>
                <w:sz w:val="18"/>
                <w:szCs w:val="18"/>
              </w:rPr>
              <w:t>计算本区间业绩报酬的公式如下：</w:t>
            </w:r>
          </w:p>
          <w:p w:rsidR="00A21956" w:rsidRDefault="00386273">
            <w:pPr>
              <w:spacing w:line="200" w:lineRule="exact"/>
            </w:pPr>
            <w:r>
              <w:rPr>
                <w:rFonts w:cs="宋体"/>
                <w:b/>
                <w:sz w:val="18"/>
                <w:szCs w:val="18"/>
              </w:rPr>
              <w:t>A={B-C*D*(1+E*F/365)}*G</w:t>
            </w:r>
            <w:r>
              <w:rPr>
                <w:rFonts w:cs="宋体"/>
                <w:b/>
                <w:sz w:val="18"/>
                <w:szCs w:val="18"/>
              </w:rPr>
              <w:t>。</w:t>
            </w:r>
          </w:p>
          <w:p w:rsidR="00A21956" w:rsidRDefault="00386273">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p w:rsidR="00A21956" w:rsidRDefault="00386273">
            <w:pPr>
              <w:spacing w:line="200" w:lineRule="exact"/>
            </w:pPr>
            <w:r>
              <w:rPr>
                <w:rFonts w:cs="宋体"/>
                <w:b/>
                <w:sz w:val="18"/>
                <w:szCs w:val="18"/>
              </w:rPr>
              <w:t>3.</w:t>
            </w:r>
            <w:r>
              <w:rPr>
                <w:rFonts w:cs="宋体"/>
                <w:b/>
                <w:sz w:val="18"/>
                <w:szCs w:val="18"/>
              </w:rPr>
              <w:t>本理财产品所有份额的固定管理费自本理财产品成立日（含）至</w:t>
            </w:r>
            <w:r>
              <w:rPr>
                <w:rFonts w:cs="宋体"/>
                <w:b/>
                <w:sz w:val="18"/>
                <w:szCs w:val="18"/>
              </w:rPr>
              <w:t>2025</w:t>
            </w:r>
            <w:r>
              <w:rPr>
                <w:rFonts w:cs="宋体"/>
                <w:b/>
                <w:sz w:val="18"/>
                <w:szCs w:val="18"/>
              </w:rPr>
              <w:t>年</w:t>
            </w:r>
            <w:r>
              <w:rPr>
                <w:rFonts w:cs="宋体"/>
                <w:b/>
                <w:sz w:val="18"/>
                <w:szCs w:val="18"/>
              </w:rPr>
              <w:t>12</w:t>
            </w:r>
            <w:r>
              <w:rPr>
                <w:rFonts w:cs="宋体"/>
                <w:b/>
                <w:sz w:val="18"/>
                <w:szCs w:val="18"/>
              </w:rPr>
              <w:t>月</w:t>
            </w:r>
            <w:r>
              <w:rPr>
                <w:rFonts w:cs="宋体"/>
                <w:b/>
                <w:sz w:val="18"/>
                <w:szCs w:val="18"/>
              </w:rPr>
              <w:t>31</w:t>
            </w:r>
            <w:r>
              <w:rPr>
                <w:rFonts w:cs="宋体"/>
                <w:b/>
                <w:sz w:val="18"/>
                <w:szCs w:val="18"/>
              </w:rPr>
              <w:t>日（含）期间优惠至</w:t>
            </w:r>
            <w:r>
              <w:rPr>
                <w:rFonts w:cs="宋体"/>
                <w:b/>
                <w:sz w:val="18"/>
                <w:szCs w:val="18"/>
              </w:rPr>
              <w:t>0.01%</w:t>
            </w:r>
            <w:r>
              <w:rPr>
                <w:rFonts w:cs="宋体"/>
                <w:b/>
                <w:sz w:val="18"/>
                <w:szCs w:val="18"/>
              </w:rPr>
              <w:t>。</w:t>
            </w:r>
          </w:p>
        </w:tc>
      </w:tr>
      <w:tr w:rsidR="00A21956">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cs="宋体"/>
                <w:sz w:val="18"/>
                <w:szCs w:val="18"/>
              </w:rPr>
              <w:t>具体详见本理财产品风险揭示书。</w:t>
            </w:r>
          </w:p>
        </w:tc>
      </w:tr>
      <w:tr w:rsidR="00A21956">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A21956" w:rsidRDefault="00386273">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A21956" w:rsidRDefault="00386273">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A21956" w:rsidRDefault="00386273">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A21956" w:rsidRDefault="00386273">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A21956" w:rsidRDefault="00386273">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A21956" w:rsidRDefault="00386273">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A21956" w:rsidRDefault="00386273">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A2195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jc w:val="left"/>
            </w:pPr>
            <w:r>
              <w:rPr>
                <w:rFonts w:cs="宋体"/>
                <w:sz w:val="18"/>
                <w:szCs w:val="18"/>
              </w:rPr>
              <w:t>本理财产品销售机构为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w:t>
            </w:r>
            <w:r>
              <w:rPr>
                <w:rFonts w:cs="宋体"/>
                <w:sz w:val="18"/>
                <w:szCs w:val="18"/>
              </w:rPr>
              <w:t>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w:t>
            </w:r>
            <w:r>
              <w:rPr>
                <w:rFonts w:cs="宋体"/>
                <w:sz w:val="18"/>
                <w:szCs w:val="18"/>
              </w:rPr>
              <w:lastRenderedPageBreak/>
              <w:t>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w:t>
            </w:r>
            <w:r>
              <w:rPr>
                <w:rFonts w:cs="宋体"/>
                <w:sz w:val="18"/>
                <w:szCs w:val="18"/>
              </w:rPr>
              <w:t>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北京农村商业银行股份有限公司、江苏沭阳农村商业银行股份有限公司、湖州银行股份有限公司、江苏灌云农村商业银行股份有限公司。管理人有权调整本理财产品的销售机构并进行信息披露。</w:t>
            </w:r>
          </w:p>
          <w:p w:rsidR="00A21956" w:rsidRDefault="00386273">
            <w:pPr>
              <w:spacing w:line="200" w:lineRule="exact"/>
              <w:jc w:val="left"/>
            </w:pPr>
            <w:r>
              <w:rPr>
                <w:rFonts w:cs="宋体"/>
                <w:sz w:val="18"/>
                <w:szCs w:val="18"/>
              </w:rPr>
              <w:t>销售机构主要职责如下：</w:t>
            </w:r>
          </w:p>
          <w:p w:rsidR="00A21956" w:rsidRDefault="00386273">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A21956" w:rsidRDefault="00386273">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A21956" w:rsidRDefault="00386273">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A21956" w:rsidRDefault="00386273">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A21956" w:rsidRDefault="00386273">
            <w:pPr>
              <w:spacing w:line="200" w:lineRule="exact"/>
              <w:jc w:val="left"/>
            </w:pPr>
            <w:r>
              <w:rPr>
                <w:rFonts w:cs="宋体"/>
                <w:sz w:val="18"/>
                <w:szCs w:val="18"/>
              </w:rPr>
              <w:t>5.</w:t>
            </w:r>
            <w:r>
              <w:rPr>
                <w:rFonts w:cs="宋体"/>
                <w:sz w:val="18"/>
                <w:szCs w:val="18"/>
              </w:rPr>
              <w:t>建立健全投资者权益保护管理体系，加强投资者适当性管理；</w:t>
            </w:r>
          </w:p>
          <w:p w:rsidR="00A21956" w:rsidRDefault="00386273">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A21956">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cs="宋体"/>
                <w:sz w:val="18"/>
                <w:szCs w:val="18"/>
              </w:rPr>
              <w:t>本理财产品托管人为南京银行股份有限公司，主要职责如下：</w:t>
            </w:r>
          </w:p>
          <w:p w:rsidR="00A21956" w:rsidRDefault="00386273">
            <w:pPr>
              <w:spacing w:line="200" w:lineRule="exact"/>
            </w:pPr>
            <w:r>
              <w:rPr>
                <w:rFonts w:cs="宋体"/>
                <w:sz w:val="18"/>
                <w:szCs w:val="18"/>
              </w:rPr>
              <w:t>1.</w:t>
            </w:r>
            <w:r>
              <w:rPr>
                <w:rFonts w:cs="宋体"/>
                <w:sz w:val="18"/>
                <w:szCs w:val="18"/>
              </w:rPr>
              <w:t>安全保管理财产品财产；</w:t>
            </w:r>
          </w:p>
          <w:p w:rsidR="00A21956" w:rsidRDefault="00386273">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A21956" w:rsidRDefault="00386273">
            <w:pPr>
              <w:spacing w:line="200" w:lineRule="exact"/>
            </w:pPr>
            <w:r>
              <w:rPr>
                <w:rFonts w:cs="宋体"/>
                <w:sz w:val="18"/>
                <w:szCs w:val="18"/>
              </w:rPr>
              <w:t>3.</w:t>
            </w:r>
            <w:r>
              <w:rPr>
                <w:rFonts w:cs="宋体"/>
                <w:sz w:val="18"/>
                <w:szCs w:val="18"/>
              </w:rPr>
              <w:t>按照托管协议约定和管理人的投资指令，及时办理清算、交割事宜；</w:t>
            </w:r>
          </w:p>
          <w:p w:rsidR="00A21956" w:rsidRDefault="00386273">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A21956" w:rsidRDefault="00386273">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A21956" w:rsidRDefault="00386273">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A21956" w:rsidRDefault="00386273">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A21956" w:rsidRDefault="00386273">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A21956" w:rsidRDefault="00386273">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A21956">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A21956" w:rsidRDefault="00386273">
            <w:pPr>
              <w:spacing w:line="200" w:lineRule="exact"/>
            </w:pP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w:t>
            </w:r>
            <w:r>
              <w:rPr>
                <w:rFonts w:cs="宋体"/>
                <w:sz w:val="18"/>
                <w:szCs w:val="18"/>
              </w:rPr>
              <w:lastRenderedPageBreak/>
              <w:t>信托有限公司、建信保险资产管理有限公司、江苏省国际信托有限责任公司、泰康资产管理有限责任公司、天津信托有限责任公司、中国对外经济贸易信托有限公司、中信信托有限责任公司、鑫元基金管理有限公司。</w:t>
            </w:r>
          </w:p>
          <w:p w:rsidR="00A21956" w:rsidRDefault="00386273">
            <w:pPr>
              <w:spacing w:line="200" w:lineRule="exact"/>
            </w:pPr>
            <w:r>
              <w:rPr>
                <w:rFonts w:cs="宋体"/>
                <w:sz w:val="18"/>
                <w:szCs w:val="18"/>
              </w:rPr>
              <w:t>若上述合作机构及其职责发生调整，管理人将在本理财产品的定期报告中进行信息披露。</w:t>
            </w:r>
          </w:p>
          <w:p w:rsidR="00A21956" w:rsidRDefault="00386273">
            <w:pPr>
              <w:spacing w:line="200" w:lineRule="exact"/>
            </w:pPr>
            <w:r>
              <w:rPr>
                <w:rFonts w:cs="宋体"/>
                <w:sz w:val="18"/>
                <w:szCs w:val="18"/>
              </w:rPr>
              <w:t>上述投资合作机构简介：</w:t>
            </w:r>
          </w:p>
          <w:p w:rsidR="00A21956" w:rsidRDefault="00386273">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A21956" w:rsidRDefault="00386273">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A21956" w:rsidRDefault="00386273">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A21956" w:rsidRDefault="00386273">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A21956" w:rsidRDefault="00386273">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A21956" w:rsidRDefault="00386273">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A21956" w:rsidRDefault="00386273">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A21956" w:rsidRDefault="00386273">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A21956" w:rsidRDefault="00386273">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A21956" w:rsidRDefault="00386273">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A21956" w:rsidRDefault="00386273">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A21956" w:rsidRDefault="00386273">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A21956" w:rsidRDefault="00386273">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A21956" w:rsidRDefault="00386273">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A2195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A21956" w:rsidRDefault="00386273">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A21956" w:rsidRDefault="00386273">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A21956" w:rsidRDefault="00386273">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A2195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21956" w:rsidRDefault="00386273">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A21956" w:rsidRDefault="00386273">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A21956" w:rsidRDefault="00386273">
      <w:pPr>
        <w:pStyle w:val="Normal9da23eb9"/>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A21956" w:rsidRDefault="00386273">
      <w:pPr>
        <w:pStyle w:val="Normalf42a7b4ff42a7b4f"/>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A21956" w:rsidRDefault="00386273">
      <w:pPr>
        <w:pStyle w:val="Normalf42a7b4ff42a7b4f"/>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A21956" w:rsidRDefault="00386273">
      <w:pPr>
        <w:pStyle w:val="Normalf42a7b4ff42a7b4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A21956" w:rsidRDefault="00386273">
      <w:pPr>
        <w:pStyle w:val="Normalf42a7b4ff42a7b4f"/>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A21956" w:rsidRDefault="00386273">
      <w:pPr>
        <w:pStyle w:val="Normalf42a7b4ff42a7b4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A21956" w:rsidRDefault="00386273">
      <w:pPr>
        <w:pStyle w:val="Normalf42a7b4ff42a7b4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A21956" w:rsidRDefault="00386273">
      <w:pPr>
        <w:pStyle w:val="Normalf42a7b4ff42a7b4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A21956" w:rsidRDefault="00386273">
      <w:pPr>
        <w:pStyle w:val="Normalf42a7b4ff42a7b4f"/>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南银理财珠联璧合鑫逸稳一年</w:t>
      </w:r>
      <w:r>
        <w:rPr>
          <w:b/>
          <w:bCs/>
          <w:color w:val="3D3D3D"/>
          <w:kern w:val="0"/>
          <w:sz w:val="15"/>
          <w:szCs w:val="15"/>
        </w:rPr>
        <w:t>247</w:t>
      </w:r>
      <w:r>
        <w:rPr>
          <w:b/>
          <w:bCs/>
          <w:color w:val="3D3D3D"/>
          <w:kern w:val="0"/>
          <w:sz w:val="15"/>
          <w:szCs w:val="15"/>
        </w:rPr>
        <w:t>期封闭式公募人民币理财产品</w:t>
      </w:r>
      <w:r>
        <w:rPr>
          <w:rFonts w:hint="eastAsia"/>
          <w:color w:val="3D3D3D"/>
          <w:kern w:val="0"/>
          <w:sz w:val="15"/>
          <w:szCs w:val="15"/>
        </w:rPr>
        <w:t>。</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A21956" w:rsidRDefault="00386273">
      <w:pPr>
        <w:pStyle w:val="Normalf42a7b4ff42a7b4f"/>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A21956" w:rsidRDefault="00386273">
      <w:pPr>
        <w:pStyle w:val="Normalf42a7b4ff42a7b4f"/>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A21956" w:rsidRDefault="00386273">
      <w:pPr>
        <w:pStyle w:val="Normalf42a7b4ff42a7b4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A21956" w:rsidRDefault="00386273">
      <w:pPr>
        <w:pStyle w:val="Normalf42a7b4ff42a7b4f"/>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A21956" w:rsidRDefault="00386273">
      <w:pPr>
        <w:pStyle w:val="131bc259c31bc259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A21956" w:rsidRDefault="00386273">
      <w:pPr>
        <w:pStyle w:val="131bc259c31bc259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A21956" w:rsidRDefault="00386273">
      <w:pPr>
        <w:pStyle w:val="131bc259c31bc259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A21956" w:rsidRDefault="00386273">
      <w:pPr>
        <w:pStyle w:val="131bc259c31bc259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A21956" w:rsidRDefault="00386273">
      <w:pPr>
        <w:pStyle w:val="131bc259c31bc259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A21956" w:rsidRDefault="00386273">
      <w:pPr>
        <w:pStyle w:val="131bc259c31bc259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A21956" w:rsidRDefault="00386273">
      <w:pPr>
        <w:pStyle w:val="Normalf42a7b4ff42a7b4f"/>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A21956" w:rsidRDefault="00386273">
      <w:pPr>
        <w:pStyle w:val="Normalf42a7b4ff42a7b4f"/>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A21956" w:rsidRDefault="00386273">
      <w:pPr>
        <w:pStyle w:val="Normalf42a7b4ff42a7b4f"/>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A21956" w:rsidRDefault="00386273">
      <w:pPr>
        <w:pStyle w:val="Normal9da23eb9"/>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A21956" w:rsidRDefault="00386273">
      <w:pPr>
        <w:spacing w:line="200" w:lineRule="exact"/>
        <w:ind w:firstLine="280"/>
        <w:jc w:val="left"/>
      </w:pPr>
      <w:r>
        <w:rPr>
          <w:rFonts w:cs="宋体"/>
          <w:sz w:val="15"/>
          <w:szCs w:val="20"/>
        </w:rPr>
        <w:lastRenderedPageBreak/>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A21956" w:rsidRDefault="00386273">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A21956" w:rsidRDefault="00386273">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A21956" w:rsidRDefault="00386273">
      <w:pPr>
        <w:pStyle w:val="Normal9da23eb9"/>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A21956" w:rsidRDefault="00386273">
      <w:pPr>
        <w:pStyle w:val="Normal9da23eb9"/>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A21956" w:rsidRDefault="00386273">
      <w:pPr>
        <w:pStyle w:val="Normal9da23eb9"/>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A21956" w:rsidRDefault="00386273">
      <w:pPr>
        <w:spacing w:line="200" w:lineRule="exact"/>
        <w:ind w:firstLine="300"/>
      </w:pPr>
      <w:r>
        <w:rPr>
          <w:rFonts w:cs="宋体"/>
          <w:sz w:val="15"/>
          <w:szCs w:val="20"/>
        </w:rPr>
        <w:t>（一）估值日</w:t>
      </w:r>
    </w:p>
    <w:p w:rsidR="00A21956" w:rsidRDefault="00386273">
      <w:pPr>
        <w:spacing w:line="200" w:lineRule="exact"/>
        <w:ind w:firstLine="300"/>
      </w:pPr>
      <w:r>
        <w:rPr>
          <w:rFonts w:cs="宋体"/>
          <w:sz w:val="15"/>
          <w:szCs w:val="20"/>
        </w:rPr>
        <w:t>本理财产品每个工作日进行估值。</w:t>
      </w:r>
    </w:p>
    <w:p w:rsidR="00A21956" w:rsidRDefault="00386273">
      <w:pPr>
        <w:spacing w:line="200" w:lineRule="exact"/>
        <w:ind w:firstLine="300"/>
      </w:pPr>
      <w:r>
        <w:rPr>
          <w:rFonts w:cs="宋体"/>
          <w:sz w:val="15"/>
          <w:szCs w:val="20"/>
        </w:rPr>
        <w:t>（二）估值对象</w:t>
      </w:r>
    </w:p>
    <w:p w:rsidR="00A21956" w:rsidRDefault="00386273">
      <w:pPr>
        <w:spacing w:line="200" w:lineRule="exact"/>
        <w:ind w:firstLine="300"/>
      </w:pPr>
      <w:r>
        <w:rPr>
          <w:rFonts w:cs="宋体"/>
          <w:sz w:val="15"/>
          <w:szCs w:val="20"/>
        </w:rPr>
        <w:t>本理财产品所拥有的所有资产及负债。</w:t>
      </w:r>
    </w:p>
    <w:p w:rsidR="00A21956" w:rsidRDefault="00386273">
      <w:pPr>
        <w:spacing w:line="200" w:lineRule="exact"/>
        <w:ind w:firstLine="300"/>
      </w:pPr>
      <w:r>
        <w:rPr>
          <w:rFonts w:cs="宋体"/>
          <w:sz w:val="15"/>
          <w:szCs w:val="20"/>
        </w:rPr>
        <w:t>（三）估值目的</w:t>
      </w:r>
    </w:p>
    <w:p w:rsidR="00A21956" w:rsidRDefault="00386273">
      <w:pPr>
        <w:spacing w:line="200" w:lineRule="exact"/>
        <w:ind w:firstLine="300"/>
      </w:pPr>
      <w:r>
        <w:rPr>
          <w:rFonts w:cs="宋体"/>
          <w:sz w:val="15"/>
          <w:szCs w:val="20"/>
        </w:rPr>
        <w:t>客观、准确反映理财产品的价值。</w:t>
      </w:r>
    </w:p>
    <w:p w:rsidR="00A21956" w:rsidRDefault="00386273">
      <w:pPr>
        <w:spacing w:line="200" w:lineRule="exact"/>
        <w:ind w:firstLine="300"/>
      </w:pPr>
      <w:r>
        <w:rPr>
          <w:rFonts w:cs="宋体"/>
          <w:sz w:val="15"/>
          <w:szCs w:val="20"/>
        </w:rPr>
        <w:t>（四）估值原则</w:t>
      </w:r>
    </w:p>
    <w:p w:rsidR="00A21956" w:rsidRDefault="00386273">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A21956" w:rsidRDefault="00386273">
      <w:pPr>
        <w:spacing w:line="200" w:lineRule="exact"/>
        <w:ind w:firstLine="300"/>
      </w:pPr>
      <w:r>
        <w:rPr>
          <w:rFonts w:cs="宋体"/>
          <w:sz w:val="15"/>
          <w:szCs w:val="20"/>
        </w:rPr>
        <w:t>（五）估值方法</w:t>
      </w:r>
    </w:p>
    <w:p w:rsidR="00A21956" w:rsidRDefault="00386273">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A21956" w:rsidRDefault="00386273">
      <w:pPr>
        <w:spacing w:line="200" w:lineRule="exact"/>
        <w:ind w:firstLine="440"/>
      </w:pPr>
      <w:r>
        <w:rPr>
          <w:rFonts w:cs="宋体"/>
          <w:sz w:val="18"/>
          <w:szCs w:val="20"/>
        </w:rPr>
        <w:t>1.</w:t>
      </w:r>
      <w:r>
        <w:rPr>
          <w:rFonts w:cs="宋体"/>
          <w:sz w:val="18"/>
          <w:szCs w:val="20"/>
        </w:rPr>
        <w:t>银行存款、回购等货币市场工具</w:t>
      </w:r>
    </w:p>
    <w:p w:rsidR="00A21956" w:rsidRDefault="00386273">
      <w:pPr>
        <w:spacing w:line="200" w:lineRule="exact"/>
        <w:ind w:firstLine="440"/>
      </w:pPr>
      <w:r>
        <w:rPr>
          <w:rFonts w:cs="宋体"/>
          <w:sz w:val="18"/>
          <w:szCs w:val="20"/>
        </w:rPr>
        <w:t>以本金列示，逐日计提利息。</w:t>
      </w:r>
    </w:p>
    <w:p w:rsidR="00A21956" w:rsidRDefault="00386273">
      <w:pPr>
        <w:spacing w:line="200" w:lineRule="exact"/>
        <w:ind w:firstLine="440"/>
      </w:pPr>
      <w:r>
        <w:rPr>
          <w:rFonts w:cs="宋体"/>
          <w:sz w:val="18"/>
          <w:szCs w:val="20"/>
        </w:rPr>
        <w:t>2.</w:t>
      </w:r>
      <w:r>
        <w:rPr>
          <w:rFonts w:cs="宋体"/>
          <w:sz w:val="18"/>
          <w:szCs w:val="20"/>
        </w:rPr>
        <w:t>债券类资产</w:t>
      </w:r>
    </w:p>
    <w:p w:rsidR="00A21956" w:rsidRDefault="00386273">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A21956" w:rsidRDefault="00386273">
      <w:pPr>
        <w:spacing w:line="200" w:lineRule="exact"/>
        <w:ind w:firstLine="440"/>
      </w:pPr>
      <w:r>
        <w:rPr>
          <w:rFonts w:cs="宋体"/>
          <w:sz w:val="18"/>
          <w:szCs w:val="20"/>
        </w:rPr>
        <w:t>3.</w:t>
      </w:r>
      <w:r>
        <w:rPr>
          <w:rFonts w:cs="宋体"/>
          <w:sz w:val="18"/>
          <w:szCs w:val="20"/>
        </w:rPr>
        <w:t>非标准化债权类资产</w:t>
      </w:r>
    </w:p>
    <w:p w:rsidR="00A21956" w:rsidRDefault="00386273">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A21956" w:rsidRDefault="00386273">
      <w:pPr>
        <w:spacing w:line="200" w:lineRule="exact"/>
        <w:ind w:firstLine="440"/>
      </w:pPr>
      <w:r>
        <w:rPr>
          <w:rFonts w:cs="宋体"/>
          <w:sz w:val="18"/>
          <w:szCs w:val="20"/>
        </w:rPr>
        <w:t>4.</w:t>
      </w:r>
      <w:r>
        <w:rPr>
          <w:rFonts w:cs="宋体"/>
          <w:sz w:val="18"/>
          <w:szCs w:val="20"/>
        </w:rPr>
        <w:t>证券投资基金、资管计划、信托计划等资产</w:t>
      </w:r>
    </w:p>
    <w:p w:rsidR="00A21956" w:rsidRDefault="00386273">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A21956" w:rsidRDefault="00386273">
      <w:pPr>
        <w:spacing w:line="200" w:lineRule="exact"/>
        <w:ind w:firstLine="440"/>
      </w:pPr>
      <w:r>
        <w:rPr>
          <w:rFonts w:cs="宋体"/>
          <w:sz w:val="18"/>
          <w:szCs w:val="20"/>
        </w:rPr>
        <w:t>5.</w:t>
      </w:r>
      <w:r>
        <w:rPr>
          <w:rFonts w:cs="宋体"/>
          <w:sz w:val="18"/>
          <w:szCs w:val="20"/>
        </w:rPr>
        <w:t>股权类及其他资产</w:t>
      </w:r>
    </w:p>
    <w:p w:rsidR="00A21956" w:rsidRDefault="00386273">
      <w:pPr>
        <w:spacing w:line="200" w:lineRule="exact"/>
        <w:ind w:firstLine="440"/>
      </w:pPr>
      <w:r>
        <w:rPr>
          <w:rFonts w:cs="宋体"/>
          <w:sz w:val="18"/>
          <w:szCs w:val="20"/>
        </w:rPr>
        <w:t>按照公允价值估值，优先采用市值法估值。</w:t>
      </w:r>
    </w:p>
    <w:p w:rsidR="00A21956" w:rsidRDefault="00386273">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A21956" w:rsidRDefault="00386273">
      <w:pPr>
        <w:spacing w:line="200" w:lineRule="exact"/>
        <w:ind w:firstLine="300"/>
      </w:pPr>
      <w:r>
        <w:rPr>
          <w:rFonts w:cs="宋体"/>
          <w:sz w:val="15"/>
          <w:szCs w:val="20"/>
        </w:rPr>
        <w:t>（六）估值错误及暂停估值</w:t>
      </w:r>
    </w:p>
    <w:p w:rsidR="00A21956" w:rsidRDefault="00386273">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A21956" w:rsidRDefault="00386273">
      <w:pPr>
        <w:pStyle w:val="Normal9da23eb9"/>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A21956" w:rsidRDefault="00386273">
      <w:pPr>
        <w:pStyle w:val="Normal9da23eb9"/>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A21956" w:rsidRDefault="00386273">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A21956" w:rsidRDefault="00386273">
      <w:pPr>
        <w:pStyle w:val="Normal9da23eb9"/>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A21956" w:rsidRDefault="00386273">
      <w:pPr>
        <w:pStyle w:val="Normal9da23eb9"/>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A21956" w:rsidRDefault="00386273">
      <w:pPr>
        <w:pStyle w:val="Normal9da23eb9"/>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A21956" w:rsidRDefault="00386273">
      <w:pPr>
        <w:pStyle w:val="Normal9da23eb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A21956" w:rsidRDefault="00386273">
      <w:pPr>
        <w:pStyle w:val="Normal9da23eb9"/>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A21956" w:rsidRDefault="00386273">
      <w:pPr>
        <w:pStyle w:val="Normal9da23eb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A21956" w:rsidRDefault="00386273">
      <w:pPr>
        <w:pStyle w:val="Normal9da23eb9"/>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A21956" w:rsidRDefault="00386273">
      <w:pPr>
        <w:pStyle w:val="Normal9da23eb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A21956" w:rsidRDefault="00386273">
      <w:pPr>
        <w:pStyle w:val="Normal9da23eb9"/>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A21956" w:rsidRDefault="00386273">
      <w:pPr>
        <w:pStyle w:val="Normal9da23eb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A21956" w:rsidRDefault="00386273">
      <w:pPr>
        <w:pStyle w:val="Normal9da23eb9"/>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A21956" w:rsidRDefault="00386273">
      <w:pPr>
        <w:pStyle w:val="Normal9da23eb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A21956" w:rsidRDefault="00386273">
      <w:pPr>
        <w:pStyle w:val="Normal9da23eb9"/>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A21956" w:rsidRDefault="00386273">
      <w:pPr>
        <w:pStyle w:val="Normal9da23eb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A21956" w:rsidRDefault="00386273">
      <w:pPr>
        <w:pStyle w:val="Normal9da23eb9"/>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w:t>
      </w:r>
      <w:r>
        <w:rPr>
          <w:rFonts w:hint="eastAsia"/>
          <w:color w:val="3D3D3D"/>
          <w:kern w:val="0"/>
          <w:sz w:val="15"/>
          <w:szCs w:val="15"/>
        </w:rPr>
        <w:lastRenderedPageBreak/>
        <w:t>财产品投资目标、投资策略和投资者利益优先原则，按照商业原则，以不优于对非关联方同类交易的条件进行，并向投资者及时披露信息</w:t>
      </w:r>
      <w:r>
        <w:rPr>
          <w:rFonts w:hint="eastAsia"/>
          <w:color w:val="3D3D3D"/>
          <w:kern w:val="0"/>
          <w:sz w:val="15"/>
          <w:szCs w:val="15"/>
        </w:rPr>
        <w:t>。</w:t>
      </w:r>
    </w:p>
    <w:p w:rsidR="00A21956" w:rsidRDefault="00386273">
      <w:pPr>
        <w:pStyle w:val="Normal9da23eb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A21956" w:rsidRDefault="00386273">
      <w:pPr>
        <w:pStyle w:val="Normal9da23eb9"/>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A21956" w:rsidRDefault="00386273">
      <w:pPr>
        <w:pStyle w:val="Normal9da23eb9"/>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A21956" w:rsidRDefault="00386273">
      <w:pPr>
        <w:pStyle w:val="Normal9da23eb9"/>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A21956" w:rsidRDefault="00386273">
      <w:pPr>
        <w:pStyle w:val="Normal9da23eb9"/>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A21956" w:rsidRDefault="00386273">
      <w:pPr>
        <w:pStyle w:val="Normal9da23eb9"/>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A21956" w:rsidRDefault="00386273">
      <w:pPr>
        <w:pStyle w:val="Normal9da23eb9"/>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A21956" w:rsidRDefault="00386273">
      <w:pPr>
        <w:pStyle w:val="Normal9da23eb9"/>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A21956" w:rsidRDefault="00386273">
      <w:pPr>
        <w:pStyle w:val="Normal9da23eb9"/>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A21956" w:rsidRDefault="00386273">
      <w:pPr>
        <w:pStyle w:val="Normal9da23eb9"/>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A21956" w:rsidRDefault="00386273">
      <w:pPr>
        <w:pStyle w:val="Normal9da23eb9"/>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A21956" w:rsidRDefault="00386273">
      <w:pPr>
        <w:pStyle w:val="Normal9da23eb9"/>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A21956" w:rsidRDefault="00386273">
      <w:pPr>
        <w:pStyle w:val="Normal9da23eb9"/>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A21956" w:rsidRDefault="00386273">
      <w:pPr>
        <w:pStyle w:val="Normal9da23eb9"/>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A21956" w:rsidRDefault="00386273">
      <w:pPr>
        <w:pStyle w:val="Normal9da23eb9"/>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A21956" w:rsidRDefault="00386273">
      <w:pPr>
        <w:pStyle w:val="Normal9da23eb9"/>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A21956" w:rsidRDefault="00386273">
      <w:pPr>
        <w:pStyle w:val="Normal9da23eb9"/>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A21956" w:rsidRDefault="00A21956">
      <w:pPr>
        <w:pStyle w:val="Normal9da23eb9"/>
        <w:widowControl/>
        <w:rPr>
          <w:b/>
          <w:bCs/>
          <w:color w:val="3D3D3D"/>
          <w:kern w:val="0"/>
          <w:sz w:val="15"/>
          <w:szCs w:val="15"/>
        </w:rPr>
      </w:pPr>
    </w:p>
    <w:p w:rsidR="00A21956" w:rsidRDefault="00386273">
      <w:pPr>
        <w:pStyle w:val="Normal9da23eb9"/>
        <w:widowControl/>
        <w:rPr>
          <w:b/>
          <w:bCs/>
          <w:color w:val="3D3D3D"/>
          <w:kern w:val="0"/>
          <w:sz w:val="15"/>
          <w:szCs w:val="15"/>
        </w:rPr>
      </w:pPr>
      <w:r>
        <w:rPr>
          <w:rFonts w:hint="eastAsia"/>
          <w:b/>
          <w:bCs/>
          <w:color w:val="3D3D3D"/>
          <w:kern w:val="0"/>
          <w:sz w:val="15"/>
          <w:szCs w:val="15"/>
        </w:rPr>
        <w:t>风险提示：</w:t>
      </w:r>
    </w:p>
    <w:p w:rsidR="00A21956" w:rsidRDefault="00386273">
      <w:pPr>
        <w:pStyle w:val="Normal9da23eb9"/>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14:paraId="157B085A" w14:textId="77777777" w:rsidR="005C13D8" w:rsidRDefault="005C13D8">
      <w:pPr>
        <w:spacing w:line="0" w:lineRule="atLeast"/>
        <w:jc w:val="center"/>
        <w:rPr>
          <w:rFonts w:ascii="方正黑体_GBK" w:eastAsia="方正黑体_GBK" w:hAnsi="Times New Roman"/>
          <w:b/>
          <w:bCs/>
          <w:sz w:val="24"/>
          <w:szCs w:val="15"/>
        </w:rPr>
      </w:pPr>
    </w:p>
    <w:p w14:paraId="3436DEA4" w14:textId="77777777" w:rsidR="005C13D8" w:rsidRDefault="005C13D8">
      <w:pPr>
        <w:spacing w:line="0" w:lineRule="atLeast"/>
        <w:jc w:val="center"/>
        <w:rPr>
          <w:rFonts w:ascii="方正黑体_GBK" w:eastAsia="方正黑体_GBK" w:hAnsi="Times New Roman"/>
          <w:b/>
          <w:bCs/>
          <w:sz w:val="24"/>
          <w:szCs w:val="15"/>
        </w:rPr>
      </w:pPr>
    </w:p>
    <w:p w14:paraId="0FA2726F" w14:textId="77777777" w:rsidR="005C13D8" w:rsidRDefault="005C13D8">
      <w:pPr>
        <w:spacing w:line="0" w:lineRule="atLeast"/>
        <w:jc w:val="center"/>
        <w:rPr>
          <w:rFonts w:ascii="方正黑体_GBK" w:eastAsia="方正黑体_GBK" w:hAnsi="Times New Roman"/>
          <w:b/>
          <w:bCs/>
          <w:sz w:val="24"/>
          <w:szCs w:val="15"/>
        </w:rPr>
      </w:pPr>
    </w:p>
    <w:p w14:paraId="05E11E65" w14:textId="77777777" w:rsidR="005C13D8" w:rsidRDefault="005C13D8">
      <w:pPr>
        <w:spacing w:line="0" w:lineRule="atLeast"/>
        <w:jc w:val="center"/>
        <w:rPr>
          <w:rFonts w:ascii="方正黑体_GBK" w:eastAsia="方正黑体_GBK" w:hAnsi="Times New Roman"/>
          <w:b/>
          <w:bCs/>
          <w:sz w:val="24"/>
          <w:szCs w:val="15"/>
        </w:rPr>
      </w:pPr>
    </w:p>
    <w:p w14:paraId="7D4A08DB" w14:textId="77777777" w:rsidR="005C13D8" w:rsidRDefault="005C13D8">
      <w:pPr>
        <w:spacing w:line="0" w:lineRule="atLeast"/>
        <w:jc w:val="center"/>
        <w:rPr>
          <w:rFonts w:ascii="方正黑体_GBK" w:eastAsia="方正黑体_GBK" w:hAnsi="Times New Roman"/>
          <w:b/>
          <w:bCs/>
          <w:sz w:val="24"/>
          <w:szCs w:val="15"/>
        </w:rPr>
      </w:pPr>
    </w:p>
    <w:p w14:paraId="3A298E25" w14:textId="77777777" w:rsidR="005C13D8" w:rsidRDefault="005C13D8">
      <w:pPr>
        <w:spacing w:line="0" w:lineRule="atLeast"/>
        <w:jc w:val="center"/>
        <w:rPr>
          <w:rFonts w:ascii="方正黑体_GBK" w:eastAsia="方正黑体_GBK" w:hAnsi="Times New Roman"/>
          <w:b/>
          <w:bCs/>
          <w:sz w:val="24"/>
          <w:szCs w:val="15"/>
        </w:rPr>
      </w:pPr>
    </w:p>
    <w:p w14:paraId="09329E85" w14:textId="77777777" w:rsidR="005C13D8" w:rsidRDefault="005C13D8">
      <w:pPr>
        <w:spacing w:line="0" w:lineRule="atLeast"/>
        <w:jc w:val="center"/>
        <w:rPr>
          <w:rFonts w:ascii="方正黑体_GBK" w:eastAsia="方正黑体_GBK" w:hAnsi="Times New Roman"/>
          <w:b/>
          <w:bCs/>
          <w:sz w:val="24"/>
          <w:szCs w:val="15"/>
        </w:rPr>
      </w:pPr>
    </w:p>
    <w:p w14:paraId="143FA78C" w14:textId="77777777" w:rsidR="005C13D8" w:rsidRDefault="005C13D8">
      <w:pPr>
        <w:spacing w:line="0" w:lineRule="atLeast"/>
        <w:jc w:val="center"/>
        <w:rPr>
          <w:rFonts w:ascii="方正黑体_GBK" w:eastAsia="方正黑体_GBK" w:hAnsi="Times New Roman"/>
          <w:b/>
          <w:bCs/>
          <w:sz w:val="24"/>
          <w:szCs w:val="15"/>
        </w:rPr>
      </w:pPr>
    </w:p>
    <w:p w14:paraId="515CFE60" w14:textId="77777777" w:rsidR="005C13D8" w:rsidRDefault="005C13D8">
      <w:pPr>
        <w:spacing w:line="0" w:lineRule="atLeast"/>
        <w:jc w:val="center"/>
        <w:rPr>
          <w:rFonts w:ascii="方正黑体_GBK" w:eastAsia="方正黑体_GBK" w:hAnsi="Times New Roman"/>
          <w:b/>
          <w:bCs/>
          <w:sz w:val="24"/>
          <w:szCs w:val="15"/>
        </w:rPr>
      </w:pPr>
    </w:p>
    <w:p w14:paraId="2FC10E02" w14:textId="77777777" w:rsidR="005C13D8" w:rsidRDefault="00553A62">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2E91640B" w14:textId="77777777" w:rsidR="005C13D8" w:rsidRDefault="005C13D8">
      <w:pPr>
        <w:tabs>
          <w:tab w:val="left" w:pos="0"/>
        </w:tabs>
        <w:jc w:val="center"/>
        <w:rPr>
          <w:rFonts w:ascii="方正黑体_GBK" w:eastAsia="方正黑体_GBK" w:hAnsi="Times New Roman"/>
          <w:szCs w:val="21"/>
        </w:rPr>
      </w:pPr>
    </w:p>
    <w:p w14:paraId="71E79509" w14:textId="77777777" w:rsidR="005C13D8" w:rsidRDefault="005C13D8">
      <w:pPr>
        <w:tabs>
          <w:tab w:val="left" w:pos="0"/>
        </w:tabs>
        <w:jc w:val="center"/>
        <w:rPr>
          <w:rFonts w:ascii="方正黑体_GBK" w:eastAsia="方正黑体_GBK" w:hAnsi="Times New Roman"/>
          <w:szCs w:val="21"/>
        </w:rPr>
      </w:pPr>
    </w:p>
    <w:p w14:paraId="697BCF88" w14:textId="77777777" w:rsidR="005C13D8" w:rsidRDefault="005C13D8">
      <w:pPr>
        <w:tabs>
          <w:tab w:val="left" w:pos="0"/>
        </w:tabs>
        <w:jc w:val="center"/>
        <w:rPr>
          <w:rFonts w:ascii="方正黑体_GBK" w:eastAsia="方正黑体_GBK" w:hAnsi="Times New Roman"/>
          <w:szCs w:val="21"/>
        </w:rPr>
      </w:pPr>
    </w:p>
    <w:p w14:paraId="141B1B9A" w14:textId="77777777" w:rsidR="005C13D8" w:rsidRDefault="005C13D8">
      <w:pPr>
        <w:tabs>
          <w:tab w:val="left" w:pos="0"/>
        </w:tabs>
        <w:jc w:val="center"/>
        <w:rPr>
          <w:rFonts w:ascii="方正黑体_GBK" w:eastAsia="方正黑体_GBK" w:hAnsi="Times New Roman"/>
          <w:szCs w:val="21"/>
        </w:rPr>
      </w:pPr>
    </w:p>
    <w:p w14:paraId="7FCB0189" w14:textId="77777777" w:rsidR="005C13D8" w:rsidRDefault="005C13D8">
      <w:pPr>
        <w:tabs>
          <w:tab w:val="left" w:pos="0"/>
        </w:tabs>
        <w:jc w:val="center"/>
        <w:rPr>
          <w:rFonts w:ascii="方正黑体_GBK" w:eastAsia="方正黑体_GBK" w:hAnsi="Times New Roman"/>
          <w:szCs w:val="21"/>
        </w:rPr>
      </w:pPr>
    </w:p>
    <w:p w14:paraId="3D825ECA" w14:textId="77777777" w:rsidR="005C13D8" w:rsidRDefault="005C13D8">
      <w:pPr>
        <w:tabs>
          <w:tab w:val="left" w:pos="0"/>
        </w:tabs>
        <w:jc w:val="center"/>
        <w:rPr>
          <w:rFonts w:ascii="方正黑体_GBK" w:eastAsia="方正黑体_GBK" w:hAnsi="Times New Roman"/>
          <w:szCs w:val="21"/>
        </w:rPr>
      </w:pPr>
    </w:p>
    <w:p w14:paraId="30E393DD" w14:textId="77777777" w:rsidR="005C13D8" w:rsidRDefault="005C13D8">
      <w:pPr>
        <w:tabs>
          <w:tab w:val="left" w:pos="0"/>
        </w:tabs>
        <w:jc w:val="center"/>
        <w:rPr>
          <w:rFonts w:ascii="方正黑体_GBK" w:eastAsia="方正黑体_GBK" w:hAnsi="Times New Roman"/>
          <w:szCs w:val="21"/>
        </w:rPr>
      </w:pPr>
    </w:p>
    <w:p w14:paraId="2F9F9337" w14:textId="77777777" w:rsidR="005C13D8" w:rsidRDefault="005C13D8">
      <w:pPr>
        <w:tabs>
          <w:tab w:val="left" w:pos="0"/>
        </w:tabs>
        <w:jc w:val="center"/>
        <w:rPr>
          <w:rFonts w:ascii="方正黑体_GBK" w:eastAsia="方正黑体_GBK" w:hAnsi="Times New Roman"/>
          <w:szCs w:val="21"/>
        </w:rPr>
      </w:pPr>
    </w:p>
    <w:p w14:paraId="7EB665FB" w14:textId="77777777" w:rsidR="005C13D8" w:rsidRDefault="00553A62">
      <w:pPr>
        <w:tabs>
          <w:tab w:val="left" w:pos="0"/>
        </w:tabs>
        <w:jc w:val="center"/>
        <w:rPr>
          <w:rFonts w:ascii="方正黑体_GBK" w:eastAsia="方正黑体_GBK" w:hAnsi="Times New Roman"/>
          <w:szCs w:val="21"/>
          <w:u w:val="single"/>
        </w:rPr>
      </w:pPr>
      <w:r>
        <w:rPr>
          <w:rFonts w:ascii="方正黑体_GBK" w:eastAsia="方正黑体_GBK" w:hAnsi="Times New Roman" w:hint="eastAsia"/>
          <w:szCs w:val="21"/>
        </w:rPr>
        <w:t>编制单位：</w:t>
      </w:r>
      <w:r>
        <w:rPr>
          <w:rFonts w:ascii="方正黑体_GBK" w:eastAsia="方正黑体_GBK" w:hAnsi="Times New Roman" w:hint="eastAsia"/>
          <w:szCs w:val="21"/>
          <w:u w:val="single"/>
        </w:rPr>
        <w:t>南银理财有限责任公司</w:t>
      </w:r>
    </w:p>
    <w:p w14:paraId="497DA317" w14:textId="77777777" w:rsidR="005C13D8" w:rsidRDefault="00553A62">
      <w:pPr>
        <w:tabs>
          <w:tab w:val="left" w:pos="0"/>
        </w:tabs>
        <w:jc w:val="center"/>
        <w:rPr>
          <w:rFonts w:ascii="方正黑体_GBK" w:eastAsia="方正黑体_GBK" w:hAnsi="Times New Roman"/>
          <w:szCs w:val="21"/>
          <w:u w:val="single"/>
        </w:rPr>
        <w:sectPr w:rsidR="005C13D8">
          <w:headerReference w:type="default" r:id="rId7"/>
          <w:pgSz w:w="11906" w:h="16838"/>
          <w:pgMar w:top="720" w:right="720" w:bottom="720" w:left="720" w:header="510" w:footer="624" w:gutter="0"/>
          <w:cols w:space="720"/>
          <w:docGrid w:type="lines" w:linePitch="312"/>
        </w:sectPr>
      </w:pPr>
      <w:r>
        <w:rPr>
          <w:rFonts w:ascii="方正黑体_GBK" w:eastAsia="方正黑体_GBK" w:hAnsi="Times New Roman" w:hint="eastAsia"/>
          <w:szCs w:val="21"/>
        </w:rPr>
        <w:t>版次号：</w:t>
      </w:r>
      <w:r>
        <w:rPr>
          <w:rFonts w:ascii="方正黑体_GBK" w:eastAsia="方正黑体_GBK" w:hAnsi="Times New Roman" w:hint="eastAsia"/>
          <w:szCs w:val="21"/>
          <w:u w:val="single"/>
        </w:rPr>
        <w:t>2021</w:t>
      </w:r>
      <w:r>
        <w:rPr>
          <w:rFonts w:ascii="方正黑体_GBK" w:eastAsia="方正黑体_GBK" w:hAnsi="Times New Roman" w:hint="eastAsia"/>
          <w:szCs w:val="21"/>
          <w:u w:val="single"/>
        </w:rPr>
        <w:t>第</w:t>
      </w:r>
      <w:r>
        <w:rPr>
          <w:rFonts w:ascii="方正黑体_GBK" w:eastAsia="方正黑体_GBK" w:hAnsi="Times New Roman" w:hint="eastAsia"/>
          <w:szCs w:val="21"/>
          <w:u w:val="single"/>
        </w:rPr>
        <w:t>2</w:t>
      </w:r>
      <w:r>
        <w:rPr>
          <w:rFonts w:ascii="方正黑体_GBK" w:eastAsia="方正黑体_GBK" w:hAnsi="Times New Roman" w:hint="eastAsia"/>
          <w:szCs w:val="21"/>
          <w:u w:val="single"/>
        </w:rPr>
        <w:t>版</w:t>
      </w:r>
    </w:p>
    <w:p w14:paraId="78288497" w14:textId="77777777" w:rsidR="005C13D8" w:rsidRDefault="005C13D8">
      <w:pPr>
        <w:rPr>
          <w:rFonts w:ascii="方正黑体_GBK" w:eastAsia="方正黑体_GBK" w:hAnsi="Times New Roman"/>
          <w:b/>
          <w:bCs/>
          <w:szCs w:val="21"/>
        </w:rPr>
      </w:pPr>
    </w:p>
    <w:p w14:paraId="1B1E6BA8" w14:textId="77777777" w:rsidR="005C13D8" w:rsidRDefault="00553A62">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风险提示：</w:t>
      </w:r>
    </w:p>
    <w:p w14:paraId="56268CBB" w14:textId="77777777" w:rsidR="005C13D8" w:rsidRDefault="00553A62">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本理财产品是净值型理财产品，不保证本金和收益，投资者的本金与收益可能会因市场变动而蒙受重大损失，投资者应仔细阅读本理财产品销售协议书条款和对应期次的《理财产品说明书》《理财产品风险揭示书》</w:t>
      </w:r>
      <w:bookmarkStart w:id="0" w:name="_Hlk41679176"/>
      <w:r>
        <w:rPr>
          <w:rFonts w:ascii="方正黑体_GBK" w:eastAsia="方正黑体_GBK" w:hAnsi="Times New Roman" w:hint="eastAsia"/>
          <w:b/>
          <w:bCs/>
          <w:szCs w:val="21"/>
        </w:rPr>
        <w:t>《投资者权益须知》</w:t>
      </w:r>
      <w:bookmarkEnd w:id="0"/>
      <w:r>
        <w:rPr>
          <w:rFonts w:ascii="方正黑体_GBK" w:eastAsia="方正黑体_GBK" w:hAnsi="Times New Roman" w:hint="eastAsia"/>
          <w:b/>
          <w:bCs/>
          <w:szCs w:val="21"/>
        </w:rPr>
        <w:t>《理财产品投资协议书》，充分认识投资风险，谨慎投资。</w:t>
      </w:r>
    </w:p>
    <w:p w14:paraId="08718261" w14:textId="77777777" w:rsidR="005C13D8" w:rsidRDefault="005C13D8">
      <w:pPr>
        <w:tabs>
          <w:tab w:val="left" w:pos="7920"/>
          <w:tab w:val="left" w:pos="8100"/>
        </w:tabs>
        <w:spacing w:line="0" w:lineRule="atLeast"/>
        <w:rPr>
          <w:rFonts w:ascii="方正黑体_GBK" w:eastAsia="方正黑体_GBK" w:hAnsi="Times New Roman"/>
          <w:b/>
          <w:bCs/>
        </w:rPr>
      </w:pPr>
    </w:p>
    <w:p w14:paraId="6D1AF41A" w14:textId="77777777" w:rsidR="005C13D8" w:rsidRDefault="005C13D8">
      <w:pPr>
        <w:spacing w:line="0" w:lineRule="atLeast"/>
        <w:jc w:val="center"/>
        <w:rPr>
          <w:rFonts w:ascii="方正黑体_GBK" w:eastAsia="方正黑体_GBK" w:hAnsi="Times New Roman"/>
          <w:b/>
          <w:bCs/>
          <w:sz w:val="24"/>
          <w:szCs w:val="15"/>
        </w:rPr>
      </w:pPr>
    </w:p>
    <w:p w14:paraId="72B3157C" w14:textId="77777777" w:rsidR="005C13D8" w:rsidRDefault="00553A62">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53431CCE" w14:textId="77777777" w:rsidR="005C13D8" w:rsidRDefault="005C13D8">
      <w:pPr>
        <w:spacing w:line="200" w:lineRule="exact"/>
        <w:ind w:firstLineChars="200" w:firstLine="300"/>
        <w:rPr>
          <w:rFonts w:ascii="方正黑体_GBK" w:eastAsia="方正黑体_GBK" w:hAnsi="Times New Roman"/>
          <w:sz w:val="15"/>
          <w:szCs w:val="15"/>
        </w:rPr>
      </w:pPr>
    </w:p>
    <w:p w14:paraId="4BAD9FDC" w14:textId="77777777" w:rsidR="005C13D8" w:rsidRDefault="00553A62">
      <w:pPr>
        <w:spacing w:line="200" w:lineRule="exact"/>
        <w:ind w:firstLineChars="200" w:firstLine="300"/>
        <w:rPr>
          <w:rFonts w:ascii="方正黑体_GBK" w:eastAsia="方正黑体_GBK" w:hAnsi="Times New Roman"/>
          <w:sz w:val="15"/>
          <w:szCs w:val="15"/>
        </w:rPr>
      </w:pPr>
      <w:r>
        <w:rPr>
          <w:rFonts w:ascii="方正黑体_GBK" w:eastAsia="方正黑体_GBK" w:hAnsi="Times New Roman" w:hint="eastAsia"/>
          <w:sz w:val="15"/>
          <w:szCs w:val="15"/>
        </w:rPr>
        <w:t>经甲方（南银理财有限责任公司，以下简称“南银理财”、“</w:t>
      </w:r>
      <w:r>
        <w:rPr>
          <w:rFonts w:ascii="方正黑体_GBK" w:eastAsia="方正黑体_GBK" w:hAnsi="Times New Roman" w:hint="eastAsia"/>
          <w:color w:val="3D3D3D"/>
          <w:sz w:val="15"/>
          <w:szCs w:val="15"/>
        </w:rPr>
        <w:t>管理人”、“产品管理人”或“理财产品管理人</w:t>
      </w:r>
      <w:r>
        <w:rPr>
          <w:rFonts w:ascii="方正黑体_GBK" w:eastAsia="方正黑体_GBK" w:hAnsi="Times New Roman" w:hint="eastAsia"/>
          <w:sz w:val="15"/>
          <w:szCs w:val="15"/>
        </w:rPr>
        <w:t>”）与乙方（以下简称“投资者”）双方平等友好协商，本着平等自愿、诚实守信的原则，就乙方购买甲方管理的理财产品的有关事宜达成协议如下：</w:t>
      </w:r>
    </w:p>
    <w:p w14:paraId="174647E0" w14:textId="77777777" w:rsidR="005C13D8" w:rsidRDefault="00553A62">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名词释义</w:t>
      </w:r>
    </w:p>
    <w:p w14:paraId="5E55ED34" w14:textId="77777777" w:rsidR="005C13D8" w:rsidRDefault="00553A62">
      <w:pPr>
        <w:pStyle w:val="10"/>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本协议项下用词与对应期次的《理财产品说明书》中相关用词含义一致，本协议另有说明的除外。</w:t>
      </w:r>
    </w:p>
    <w:p w14:paraId="1CAF1926" w14:textId="77777777" w:rsidR="005C13D8" w:rsidRDefault="00553A62">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w:t>
      </w:r>
    </w:p>
    <w:p w14:paraId="23FCE534" w14:textId="77777777" w:rsidR="005C13D8" w:rsidRDefault="00553A6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w:t>
      </w:r>
      <w:r>
        <w:rPr>
          <w:rFonts w:ascii="Times New Roman" w:hAnsi="Times New Roman" w:hint="eastAsia"/>
          <w:spacing w:val="10"/>
          <w:sz w:val="15"/>
          <w:szCs w:val="15"/>
        </w:rPr>
        <w:t>张家港农村商业银行股份有限公司</w:t>
      </w:r>
      <w:r>
        <w:rPr>
          <w:rFonts w:ascii="方正黑体_GBK" w:eastAsia="方正黑体_GBK" w:hAnsi="Times New Roman" w:hint="eastAsia"/>
          <w:spacing w:val="10"/>
          <w:sz w:val="15"/>
          <w:szCs w:val="15"/>
        </w:rPr>
        <w:t>】作为本理财产品的销售机构，负责本理财产品的销售。</w:t>
      </w:r>
    </w:p>
    <w:p w14:paraId="4C9F21AB" w14:textId="77777777" w:rsidR="005C13D8" w:rsidRDefault="00553A62">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甲方的权利与义务：</w:t>
      </w:r>
    </w:p>
    <w:p w14:paraId="3D62B843" w14:textId="77777777" w:rsidR="005C13D8" w:rsidRDefault="00553A6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甲方应当履行恪尽职守、勤勉尽责、诚实守信、有效管理的义务。</w:t>
      </w:r>
    </w:p>
    <w:p w14:paraId="675BDEF4" w14:textId="77777777" w:rsidR="005C13D8" w:rsidRDefault="00553A6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甲方应当按照理财产品销售文件的约定向投资者分配收益。</w:t>
      </w:r>
    </w:p>
    <w:p w14:paraId="0A045FFC" w14:textId="77777777" w:rsidR="005C13D8" w:rsidRDefault="00553A6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甲方应当按照法律法规、理财产品销售文件的约定履行信息披露义务。</w:t>
      </w:r>
    </w:p>
    <w:p w14:paraId="32B4C4D3" w14:textId="77777777" w:rsidR="005C13D8" w:rsidRDefault="00553A6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甲方应当确保理财业务与其他业务相分离，理财产品之间相分离，理财业务操作与其他业务操作相分离。</w:t>
      </w:r>
    </w:p>
    <w:p w14:paraId="5F3D4D89" w14:textId="77777777" w:rsidR="005C13D8" w:rsidRDefault="00553A6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甲方应当遵守市场交易和公平交易原则，不得在理财产品之间、理财产品投资者之间或者理财产品投资者与其他市场主体之间进行利益输送。</w:t>
      </w:r>
    </w:p>
    <w:p w14:paraId="305BD8E5" w14:textId="77777777" w:rsidR="005C13D8" w:rsidRDefault="00553A6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甲方应当选择具有证券投资基金托管业务资格的金融机构、银行业理财登记托管机构或者国务院银行业监督管理机构认可的其他机构托管理财产品。</w:t>
      </w:r>
    </w:p>
    <w:p w14:paraId="271392A4" w14:textId="77777777" w:rsidR="005C13D8" w:rsidRDefault="00553A6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在本协议约定的投资范围和权限内，甲方拥有管理和运用理财资金的权利，并有权按照对应期次《理财产品说明书》的约定收取相应费用、业绩报酬。</w:t>
      </w:r>
    </w:p>
    <w:p w14:paraId="53393C87" w14:textId="77777777" w:rsidR="005C13D8" w:rsidRDefault="00553A6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4D77D3C1" w14:textId="77777777" w:rsidR="005C13D8" w:rsidRDefault="00553A6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仲裁、申请保全</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执行等，由此产生的费用由理财产品承担，在实际发生时列支。</w:t>
      </w:r>
    </w:p>
    <w:p w14:paraId="418443DF" w14:textId="77777777" w:rsidR="005C13D8" w:rsidRDefault="00553A6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甲方有权根据产品运作的需要选任必要的业务合作机构。</w:t>
      </w:r>
    </w:p>
    <w:p w14:paraId="2D4DAFB3" w14:textId="77777777" w:rsidR="005C13D8" w:rsidRDefault="00553A62">
      <w:pPr>
        <w:numPr>
          <w:ilvl w:val="0"/>
          <w:numId w:val="6"/>
        </w:numPr>
        <w:spacing w:line="200" w:lineRule="exact"/>
        <w:ind w:firstLineChars="200" w:firstLine="301"/>
        <w:rPr>
          <w:rFonts w:ascii="方正黑体_GBK" w:eastAsia="方正黑体_GBK" w:hAnsi="Times New Roman"/>
          <w:b/>
          <w:bCs/>
          <w:spacing w:val="10"/>
          <w:sz w:val="15"/>
          <w:szCs w:val="15"/>
        </w:rPr>
      </w:pPr>
      <w:r>
        <w:rPr>
          <w:rFonts w:ascii="方正黑体_GBK" w:eastAsia="方正黑体_GBK" w:hint="eastAsia"/>
          <w:b/>
          <w:bCs/>
          <w:color w:val="000000"/>
          <w:kern w:val="0"/>
          <w:sz w:val="15"/>
          <w:szCs w:val="11"/>
        </w:rPr>
        <w:t>投资者特此同意并授权</w:t>
      </w:r>
      <w:r>
        <w:rPr>
          <w:rFonts w:ascii="方正黑体_GBK" w:eastAsia="方正黑体_GBK" w:hAnsi="Times New Roman" w:hint="eastAsia"/>
          <w:b/>
          <w:bCs/>
          <w:spacing w:val="10"/>
          <w:sz w:val="15"/>
          <w:szCs w:val="15"/>
        </w:rPr>
        <w:t>甲方及销售机构</w:t>
      </w:r>
      <w:r>
        <w:rPr>
          <w:rFonts w:ascii="方正黑体_GBK" w:eastAsia="方正黑体_GBK" w:hint="eastAsia"/>
          <w:b/>
          <w:bCs/>
          <w:color w:val="000000"/>
          <w:kern w:val="0"/>
          <w:sz w:val="15"/>
          <w:szCs w:val="11"/>
        </w:rPr>
        <w:t>有权按照法律法规规定，遵循正当、必要的原则，收集、使用投资者个人信息，包括但不限于根据法律法规规定、监管或有权机关要求、理财业务需要等采集、处理及使用投资者身份、持有理财产品、理财产品交易等信息，以及</w:t>
      </w:r>
      <w:r>
        <w:rPr>
          <w:rFonts w:ascii="方正黑体_GBK" w:eastAsia="方正黑体_GBK" w:hAnsi="Times New Roman" w:hint="eastAsia"/>
          <w:b/>
          <w:bCs/>
          <w:color w:val="000000"/>
          <w:kern w:val="0"/>
          <w:sz w:val="15"/>
          <w:szCs w:val="11"/>
        </w:rPr>
        <w:t>在办理与理财产品相关事项</w:t>
      </w:r>
      <w:r>
        <w:rPr>
          <w:rFonts w:ascii="方正黑体_GBK" w:eastAsia="方正黑体_GBK" w:hint="eastAsia"/>
          <w:b/>
          <w:bCs/>
          <w:color w:val="000000"/>
          <w:kern w:val="0"/>
          <w:sz w:val="15"/>
          <w:szCs w:val="11"/>
        </w:rPr>
        <w:t>需要</w:t>
      </w:r>
      <w:r>
        <w:rPr>
          <w:rFonts w:ascii="方正黑体_GBK" w:eastAsia="方正黑体_GBK" w:hAnsi="Times New Roman" w:hint="eastAsia"/>
          <w:b/>
          <w:bCs/>
          <w:color w:val="000000"/>
          <w:kern w:val="0"/>
          <w:sz w:val="15"/>
          <w:szCs w:val="11"/>
        </w:rPr>
        <w:t>的情况下向服务机构及其他</w:t>
      </w:r>
      <w:r>
        <w:rPr>
          <w:rFonts w:ascii="方正黑体_GBK" w:eastAsia="方正黑体_GBK" w:hint="eastAsia"/>
          <w:b/>
          <w:bCs/>
          <w:color w:val="000000"/>
          <w:kern w:val="0"/>
          <w:sz w:val="15"/>
          <w:szCs w:val="11"/>
        </w:rPr>
        <w:t>管理人或销售机构</w:t>
      </w:r>
      <w:r>
        <w:rPr>
          <w:rFonts w:ascii="方正黑体_GBK" w:eastAsia="方正黑体_GBK" w:hAnsi="Times New Roman" w:hint="eastAsia"/>
          <w:b/>
          <w:bCs/>
          <w:color w:val="000000"/>
          <w:kern w:val="0"/>
          <w:sz w:val="15"/>
          <w:szCs w:val="11"/>
        </w:rPr>
        <w:t>认为必要的业务合作机构提供</w:t>
      </w:r>
      <w:r>
        <w:rPr>
          <w:rFonts w:ascii="方正黑体_GBK" w:eastAsia="方正黑体_GBK" w:hint="eastAsia"/>
          <w:b/>
          <w:bCs/>
          <w:color w:val="000000"/>
          <w:kern w:val="0"/>
          <w:sz w:val="15"/>
          <w:szCs w:val="11"/>
        </w:rPr>
        <w:t>投资者相关</w:t>
      </w:r>
      <w:r>
        <w:rPr>
          <w:rFonts w:ascii="方正黑体_GBK" w:eastAsia="方正黑体_GBK" w:hAnsi="Times New Roman" w:hint="eastAsia"/>
          <w:b/>
          <w:bCs/>
          <w:color w:val="000000"/>
          <w:kern w:val="0"/>
          <w:sz w:val="15"/>
          <w:szCs w:val="11"/>
        </w:rPr>
        <w:t>信息</w:t>
      </w:r>
      <w:r>
        <w:rPr>
          <w:rFonts w:ascii="方正黑体_GBK" w:eastAsia="方正黑体_GBK" w:hint="eastAsia"/>
          <w:b/>
          <w:bCs/>
          <w:color w:val="000000"/>
          <w:kern w:val="0"/>
          <w:sz w:val="15"/>
          <w:szCs w:val="11"/>
        </w:rPr>
        <w:t>。甲方及销售机构保证信息采集、处理及使用的安全性和合法性</w:t>
      </w:r>
      <w:r>
        <w:rPr>
          <w:rFonts w:ascii="方正黑体_GBK" w:eastAsia="方正黑体_GBK" w:hAnsi="Times New Roman" w:hint="eastAsia"/>
          <w:b/>
          <w:bCs/>
          <w:color w:val="000000"/>
          <w:kern w:val="0"/>
          <w:sz w:val="15"/>
          <w:szCs w:val="11"/>
        </w:rPr>
        <w:t>。</w:t>
      </w:r>
    </w:p>
    <w:p w14:paraId="69447281" w14:textId="77777777" w:rsidR="005C13D8" w:rsidRDefault="00553A6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甲方无义务对第三人支付本理财产品清算分配金额及相关权益，法律法规另有规定的除外。</w:t>
      </w:r>
    </w:p>
    <w:p w14:paraId="12027BF1" w14:textId="77777777" w:rsidR="005C13D8" w:rsidRDefault="00553A6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甲方以其固有财产先行垫付因处理本理财产品相关事务所支出的理财产品费用及税费的，对理财产品资金享有优先受偿的权利。</w:t>
      </w:r>
    </w:p>
    <w:p w14:paraId="5B85EB82" w14:textId="77777777" w:rsidR="005C13D8" w:rsidRDefault="00553A6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甲方有权根据本理财产品销售文件的约定提前终止或延长本理财产品的存续期限。</w:t>
      </w:r>
    </w:p>
    <w:p w14:paraId="1591B84C" w14:textId="77777777" w:rsidR="005C13D8" w:rsidRDefault="00553A6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甲方有权调整本理财产品的认购或申购起点、单笔认购或申购上限等要素。</w:t>
      </w:r>
    </w:p>
    <w:p w14:paraId="6611F1EC" w14:textId="77777777" w:rsidR="005C13D8" w:rsidRDefault="00553A6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甲方有权根据相关规定及销售文件的约定，变更销售文件内容。</w:t>
      </w:r>
    </w:p>
    <w:p w14:paraId="0C1E78E4" w14:textId="77777777" w:rsidR="005C13D8" w:rsidRDefault="00553A62">
      <w:pPr>
        <w:numPr>
          <w:ilvl w:val="0"/>
          <w:numId w:val="6"/>
        </w:numPr>
        <w:spacing w:line="200" w:lineRule="exact"/>
        <w:ind w:firstLineChars="200" w:firstLine="341"/>
        <w:rPr>
          <w:rFonts w:ascii="方正黑体_GBK" w:eastAsia="方正黑体_GBK" w:hAnsi="Times New Roman"/>
          <w:b/>
          <w:bCs/>
          <w:spacing w:val="10"/>
          <w:sz w:val="15"/>
          <w:szCs w:val="15"/>
        </w:rPr>
      </w:pPr>
      <w:bookmarkStart w:id="1" w:name="_Hlk41902117"/>
      <w:r>
        <w:rPr>
          <w:rFonts w:ascii="方正黑体_GBK" w:eastAsia="方正黑体_GBK"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甲方或销售机构有权根据实际情况采取任何措施配合，包括但不限于全部或部分终止理财交易、停止向投资者支付投资本金及投资收益</w:t>
      </w:r>
      <w:r>
        <w:rPr>
          <w:rFonts w:ascii="方正黑体_GBK" w:eastAsia="方正黑体_GBK" w:hAnsi="Times New Roman" w:hint="eastAsia"/>
          <w:b/>
          <w:spacing w:val="10"/>
          <w:sz w:val="15"/>
        </w:rPr>
        <w:t>，由此产生的一切损失及费用将由乙方承担，甲方或销售机构有权将此损失及费用从乙方的授权指定账户、理财本金及收益中扣除</w:t>
      </w:r>
      <w:r>
        <w:rPr>
          <w:rFonts w:ascii="方正黑体_GBK" w:eastAsia="方正黑体_GBK" w:hAnsi="Times New Roman" w:hint="eastAsia"/>
          <w:b/>
          <w:bCs/>
          <w:spacing w:val="10"/>
          <w:sz w:val="15"/>
          <w:szCs w:val="15"/>
        </w:rPr>
        <w:t>。</w:t>
      </w:r>
    </w:p>
    <w:p w14:paraId="6D95C3F3" w14:textId="77777777" w:rsidR="005C13D8" w:rsidRDefault="00553A62">
      <w:pPr>
        <w:numPr>
          <w:ilvl w:val="0"/>
          <w:numId w:val="6"/>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销售机构未及时足额划付资金，或销售机构清算账户内资金被依法冻结或扣划，或销售机构清算账户处于被挂失、冻结、注销或其他非正常状态等原因而导致交易失败，由销售机构与投资者依法协商解决。</w:t>
      </w:r>
    </w:p>
    <w:p w14:paraId="2359338A" w14:textId="77777777" w:rsidR="005C13D8" w:rsidRDefault="00553A6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甲方或销售机构发现或有合理理由怀疑乙方或其资金存在洗钱、恐怖融资、逃税等嫌疑，甲方有权提前终止本协议。</w:t>
      </w:r>
    </w:p>
    <w:p w14:paraId="3E5E0315" w14:textId="77777777" w:rsidR="005C13D8" w:rsidRDefault="00553A6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甲方在此特别披露：</w:t>
      </w:r>
      <w:r>
        <w:rPr>
          <w:rFonts w:ascii="方正黑体_GBK" w:eastAsia="方正黑体_GBK" w:hAnsi="Times New Roman" w:hint="eastAsia"/>
          <w:b/>
          <w:bCs/>
          <w:spacing w:val="10"/>
          <w:sz w:val="15"/>
          <w:szCs w:val="15"/>
        </w:rPr>
        <w:t>若产品管理人的关联方担任理财产品的销售机构、托管人、合作机构的，产品管理人将按照法律法规和监管要求履行相应程序，乙方认购或申购理财产品即视为同意该等安排。</w:t>
      </w:r>
    </w:p>
    <w:bookmarkEnd w:id="1"/>
    <w:p w14:paraId="2A9B7E59" w14:textId="77777777" w:rsidR="005C13D8" w:rsidRDefault="00553A6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w:t>
      </w:r>
      <w:bookmarkStart w:id="2" w:name="_Hlk41902131"/>
      <w:r>
        <w:rPr>
          <w:rFonts w:ascii="方正黑体_GBK" w:eastAsia="方正黑体_GBK" w:hAnsi="Times New Roman" w:hint="eastAsia"/>
          <w:spacing w:val="10"/>
          <w:sz w:val="15"/>
          <w:szCs w:val="15"/>
        </w:rPr>
        <w:t>理财产品</w:t>
      </w:r>
      <w:bookmarkEnd w:id="2"/>
      <w:r>
        <w:rPr>
          <w:rFonts w:ascii="方正黑体_GBK" w:eastAsia="方正黑体_GBK" w:hAnsi="Times New Roman" w:hint="eastAsia"/>
          <w:spacing w:val="10"/>
          <w:sz w:val="15"/>
          <w:szCs w:val="15"/>
        </w:rPr>
        <w:t>销售文件约定的其他权利与义务。</w:t>
      </w:r>
    </w:p>
    <w:p w14:paraId="6F34A2BD" w14:textId="77777777" w:rsidR="005C13D8" w:rsidRDefault="00553A62">
      <w:pPr>
        <w:spacing w:line="200" w:lineRule="exact"/>
        <w:ind w:left="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4.</w:t>
      </w:r>
      <w:r>
        <w:rPr>
          <w:rFonts w:ascii="方正黑体_GBK" w:eastAsia="方正黑体_GBK" w:hAnsi="Times New Roman" w:hint="eastAsia"/>
          <w:b/>
          <w:bCs/>
          <w:spacing w:val="10"/>
          <w:sz w:val="15"/>
          <w:szCs w:val="15"/>
        </w:rPr>
        <w:t>乙方的权利与义务：</w:t>
      </w:r>
    </w:p>
    <w:p w14:paraId="03F61B62" w14:textId="77777777" w:rsidR="005C13D8" w:rsidRDefault="00553A6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乙方应当保证其理财资金为合法拥有的自有资金，不存在涉嫌洗钱、恶意逃避税收征收管理等违法违规行为，保证可提供资金来源合法的证明文件</w:t>
      </w:r>
      <w:bookmarkStart w:id="3" w:name="_Hlk41902537"/>
      <w:r>
        <w:rPr>
          <w:rFonts w:ascii="方正黑体_GBK" w:eastAsia="方正黑体_GBK" w:hAnsi="Times New Roman" w:hint="eastAsia"/>
          <w:spacing w:val="10"/>
          <w:sz w:val="15"/>
          <w:szCs w:val="15"/>
        </w:rPr>
        <w:t>，配合甲方或销售机构为识别合格投资者等目的进行的尽职调查。</w:t>
      </w:r>
    </w:p>
    <w:bookmarkEnd w:id="3"/>
    <w:p w14:paraId="14293B3F" w14:textId="77777777" w:rsidR="005C13D8" w:rsidRDefault="00553A6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14:paraId="070F6DBF" w14:textId="77777777" w:rsidR="005C13D8" w:rsidRDefault="00553A6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乙方保证具有完全民事行为能力，有完全适当的资格与能力订立并履行本协议。</w:t>
      </w:r>
    </w:p>
    <w:p w14:paraId="4543F6DF" w14:textId="77777777" w:rsidR="005C13D8" w:rsidRDefault="00553A6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乙方应接受销售机构对其投资风险承受能力进行的测评。（个人投资者适用）</w:t>
      </w:r>
    </w:p>
    <w:p w14:paraId="5E239E92" w14:textId="77777777" w:rsidR="005C13D8" w:rsidRDefault="00553A6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乙方是一家按照中国法律正式注册并有效存续的法人或其他组织，具有拥有和支配其财产以及继续进行其正在进行之业务的全部权力和授权。（机构投资者适用）</w:t>
      </w:r>
    </w:p>
    <w:p w14:paraId="0389F203" w14:textId="77777777" w:rsidR="005C13D8" w:rsidRDefault="00553A6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乙方能够自行识别、判断和承担理财产品的相关风险；不存在法律法规、有权机关或主管机关禁止或限制购买理财产品的各种情形。乙方按其投资金额在本理财协议中享有相应的权利，承担相应的义务和风险。</w:t>
      </w:r>
    </w:p>
    <w:p w14:paraId="122190DC" w14:textId="77777777" w:rsidR="005C13D8" w:rsidRDefault="00553A6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乙方保证，乙方系符合监管规定要求的合格投资者。（私募产品投资者适用）</w:t>
      </w:r>
    </w:p>
    <w:p w14:paraId="4A45036E" w14:textId="77777777" w:rsidR="005C13D8" w:rsidRDefault="00553A62">
      <w:pPr>
        <w:numPr>
          <w:ilvl w:val="0"/>
          <w:numId w:val="7"/>
        </w:numPr>
        <w:spacing w:line="200" w:lineRule="exact"/>
        <w:ind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乙方保证其已知悉甲方并非乙方的投资顾问或其他顾问，乙方并未依赖于甲方和</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或甲方的雇员、代理人或关联机构对其所作的任何陈述（不论口头或书面）而决定投资于理财产品。</w:t>
      </w:r>
    </w:p>
    <w:p w14:paraId="79998958" w14:textId="77777777" w:rsidR="005C13D8" w:rsidRDefault="00553A6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乙方保证签署和履行理财产品销售文件系其真实意思表示，其有权利签署本协议和履行本协议所述的义务，并已为此采取一切所需</w:t>
      </w:r>
      <w:r>
        <w:rPr>
          <w:rFonts w:ascii="方正黑体_GBK" w:eastAsia="方正黑体_GBK" w:hAnsi="Times New Roman" w:hint="eastAsia"/>
          <w:spacing w:val="10"/>
          <w:sz w:val="15"/>
          <w:szCs w:val="15"/>
        </w:rPr>
        <w:lastRenderedPageBreak/>
        <w:t>的行为。</w:t>
      </w:r>
    </w:p>
    <w:p w14:paraId="49E8187C" w14:textId="77777777" w:rsidR="005C13D8" w:rsidRDefault="00553A62">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乙方保证执行及交付任何文件或履行本协议项下的义务，均不会违反</w:t>
      </w:r>
      <w:r>
        <w:rPr>
          <w:rFonts w:ascii="方正黑体_GBK" w:eastAsia="方正黑体_GBK" w:hAnsi="Times New Roman" w:hint="eastAsia"/>
          <w:spacing w:val="10"/>
          <w:sz w:val="15"/>
          <w:szCs w:val="15"/>
        </w:rPr>
        <w:t>(i)</w:t>
      </w:r>
      <w:r>
        <w:rPr>
          <w:rFonts w:ascii="方正黑体_GBK" w:eastAsia="方正黑体_GBK" w:hAnsi="Times New Roman" w:hint="eastAsia"/>
          <w:spacing w:val="10"/>
          <w:sz w:val="15"/>
          <w:szCs w:val="15"/>
        </w:rPr>
        <w:t>任何适用法律、法规、法令或法律限制，任何法院或其他政府机关所作出的适用于乙方或乙方任何资产的指令或判决；</w:t>
      </w:r>
      <w:r>
        <w:rPr>
          <w:rFonts w:ascii="方正黑体_GBK" w:eastAsia="方正黑体_GBK" w:hAnsi="Times New Roman" w:hint="eastAsia"/>
          <w:spacing w:val="10"/>
          <w:sz w:val="15"/>
          <w:szCs w:val="15"/>
        </w:rPr>
        <w:t>(ii)</w:t>
      </w:r>
      <w:r>
        <w:rPr>
          <w:rFonts w:ascii="方正黑体_GBK" w:eastAsia="方正黑体_GBK" w:hAnsi="Times New Roman" w:hint="eastAsia"/>
          <w:spacing w:val="10"/>
          <w:sz w:val="15"/>
          <w:szCs w:val="15"/>
        </w:rPr>
        <w:t>对乙方或乙方任何资产有约束力的任何协议条款</w:t>
      </w:r>
      <w:bookmarkStart w:id="4" w:name="_Hlk41902655"/>
      <w:r>
        <w:rPr>
          <w:rFonts w:ascii="方正黑体_GBK" w:eastAsia="方正黑体_GBK" w:hAnsi="Times New Roman" w:hint="eastAsia"/>
          <w:spacing w:val="10"/>
          <w:sz w:val="15"/>
          <w:szCs w:val="15"/>
        </w:rPr>
        <w:t>或其他法律文件</w:t>
      </w:r>
      <w:bookmarkEnd w:id="4"/>
      <w:r>
        <w:rPr>
          <w:rFonts w:ascii="方正黑体_GBK" w:eastAsia="方正黑体_GBK" w:hAnsi="Times New Roman" w:hint="eastAsia"/>
          <w:spacing w:val="10"/>
          <w:sz w:val="15"/>
          <w:szCs w:val="15"/>
        </w:rPr>
        <w:t>。乙方应在签署本协议的同时按照对应期次的《理财产品说明书》的约定在授权指定账户存入足额的资金以确保账户余额大于或等于认购或申购金额。</w:t>
      </w:r>
    </w:p>
    <w:p w14:paraId="33D407D1" w14:textId="77777777" w:rsidR="005C13D8" w:rsidRDefault="00553A62">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乙方应按要求确定授权指定账户，用于本理财产品的理财资金划转及理财收益、到期清算分配资金的分配。</w:t>
      </w:r>
      <w:r>
        <w:rPr>
          <w:rFonts w:ascii="方正黑体_GBK" w:eastAsia="方正黑体_GBK" w:hAnsi="Times New Roman" w:hint="eastAsia"/>
          <w:b/>
          <w:spacing w:val="10"/>
          <w:sz w:val="15"/>
        </w:rPr>
        <w:t>本协议终止前，乙方不得将授权指定账户销户。若发生因乙方注销授权指定账户造成理财产品无法正常分配的，乙方承担由此产生的损失。</w:t>
      </w:r>
    </w:p>
    <w:p w14:paraId="7CAD71DB" w14:textId="77777777" w:rsidR="005C13D8" w:rsidRDefault="00553A62">
      <w:pPr>
        <w:pStyle w:val="a3"/>
        <w:numPr>
          <w:ilvl w:val="0"/>
          <w:numId w:val="8"/>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b/>
          <w:spacing w:val="10"/>
          <w:sz w:val="15"/>
        </w:rPr>
        <w:t>本协议终止前，乙方应保证其授权指定账户处于正常状态，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乙方应配合甲方或销售机构根据实际情况采取的任何措施，包括但不限于全部或部分终止理财交易、停止向投资者支付投资本金及投资收益，由此产生的一切损失及费用将由乙方承担，甲方或销售机构有权将此损失及费用从乙方的授权指定账户、理财本金及收益中扣除。乙方无权要求甲方或销售机构对上述后果承担任何责任</w:t>
      </w:r>
      <w:r>
        <w:rPr>
          <w:rFonts w:ascii="方正黑体_GBK" w:eastAsia="方正黑体_GBK" w:hAnsi="Times New Roman" w:hint="eastAsia"/>
          <w:spacing w:val="10"/>
          <w:sz w:val="15"/>
          <w:szCs w:val="15"/>
        </w:rPr>
        <w:t>。</w:t>
      </w:r>
    </w:p>
    <w:p w14:paraId="5D8473EA" w14:textId="77777777" w:rsidR="005C13D8" w:rsidRDefault="00553A62">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乙方应确保其提供的所有资料真实、完整、合法、有效，如果有任何变更，乙方应及时通知甲方</w:t>
      </w:r>
      <w:bookmarkStart w:id="5" w:name="_Hlk41902715"/>
      <w:r>
        <w:rPr>
          <w:rFonts w:ascii="方正黑体_GBK" w:eastAsia="方正黑体_GBK" w:hAnsi="Times New Roman" w:hint="eastAsia"/>
          <w:b/>
          <w:bCs/>
          <w:spacing w:val="10"/>
          <w:sz w:val="15"/>
          <w:szCs w:val="15"/>
        </w:rPr>
        <w:t>或销售机构</w:t>
      </w:r>
      <w:bookmarkEnd w:id="5"/>
      <w:r>
        <w:rPr>
          <w:rFonts w:ascii="方正黑体_GBK" w:eastAsia="方正黑体_GBK" w:hAnsi="Times New Roman" w:hint="eastAsia"/>
          <w:b/>
          <w:bCs/>
          <w:spacing w:val="10"/>
          <w:sz w:val="15"/>
          <w:szCs w:val="15"/>
        </w:rPr>
        <w:t>并办理变更手续。如因乙方未及时通知甲方或销售机构并办理相应的变更手续，由此导致的一切后果由乙方承担。</w:t>
      </w:r>
    </w:p>
    <w:p w14:paraId="46F2FB25" w14:textId="77777777" w:rsidR="005C13D8" w:rsidRDefault="00553A6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乙方承诺，不利用本理财业务及本理财产品说明书项下理财产品从事违法活动。</w:t>
      </w:r>
    </w:p>
    <w:p w14:paraId="5F8089AF" w14:textId="77777777" w:rsidR="005C13D8" w:rsidRDefault="00553A62">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乙方承诺，未经产品管理人同意，乙方不以本理财产品说明书或产品说明书项下的任何权利、利益、权益为乙方和任何第三人的债务设定担保或其他权益</w:t>
      </w:r>
      <w:r>
        <w:rPr>
          <w:rFonts w:ascii="方正黑体_GBK" w:eastAsia="方正黑体_GBK" w:hAnsi="Times New Roman" w:hint="eastAsia"/>
          <w:spacing w:val="10"/>
          <w:sz w:val="15"/>
          <w:szCs w:val="15"/>
        </w:rPr>
        <w:t>。</w:t>
      </w:r>
    </w:p>
    <w:p w14:paraId="4297D966" w14:textId="77777777" w:rsidR="005C13D8" w:rsidRDefault="00553A62">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乙方承诺，未经产品管理人同意，乙方不向任何第三人转让、赠与本理财产品说明书或本理财产品说明书项下的任何权利、义务、利益、权益</w:t>
      </w:r>
      <w:r>
        <w:rPr>
          <w:rFonts w:ascii="方正黑体_GBK" w:eastAsia="方正黑体_GBK" w:hAnsi="Times New Roman" w:hint="eastAsia"/>
          <w:spacing w:val="10"/>
          <w:sz w:val="15"/>
          <w:szCs w:val="15"/>
        </w:rPr>
        <w:t>。</w:t>
      </w:r>
      <w:bookmarkStart w:id="6" w:name="_Hlk41902728"/>
    </w:p>
    <w:p w14:paraId="42A708BA" w14:textId="77777777" w:rsidR="005C13D8" w:rsidRDefault="00553A6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ascii="方正黑体_GBK" w:eastAsia="方正黑体_GBK" w:hAnsi="Times New Roman" w:hint="eastAsia"/>
          <w:b/>
          <w:bCs/>
          <w:spacing w:val="10"/>
          <w:sz w:val="15"/>
          <w:szCs w:val="15"/>
        </w:rPr>
        <w:t>甲方或销售机构发现或有合理理由怀疑乙方或其资金存在洗钱、恐怖融资、逃税等嫌疑，甲方有权提前终止本协议，造成乙方损失的，甲方不承担责任。</w:t>
      </w:r>
    </w:p>
    <w:p w14:paraId="12EF8C0B" w14:textId="77777777" w:rsidR="005C13D8" w:rsidRDefault="00553A6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乙方已充分知悉对应期次理财产品风险等级</w:t>
      </w:r>
      <w:r>
        <w:rPr>
          <w:rFonts w:ascii="方正黑体_GBK" w:eastAsia="方正黑体_GBK" w:hAnsi="Times New Roman" w:hint="eastAsia"/>
          <w:b/>
          <w:bCs/>
          <w:spacing w:val="10"/>
          <w:sz w:val="15"/>
          <w:szCs w:val="15"/>
        </w:rPr>
        <w:t>（该产品通过代理销售机构渠道销售的，理财产品评级应当以代理销售机构最终披露的评级结果为准）</w:t>
      </w:r>
      <w:r>
        <w:rPr>
          <w:rFonts w:ascii="方正黑体_GBK" w:eastAsia="方正黑体_GBK" w:hAnsi="Times New Roman" w:hint="eastAsia"/>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14:paraId="5E6EF1C4" w14:textId="77777777" w:rsidR="005C13D8" w:rsidRDefault="00553A6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乙方对因购买、持有本理财产品而知悉的甲方及销售机构保密信息承担保密义务，乙方承诺不以任何方式向任何第三方披露甲方的保密信息，法律法规另有规定的除外。</w:t>
      </w:r>
    </w:p>
    <w:p w14:paraId="2849ED73" w14:textId="77777777" w:rsidR="005C13D8" w:rsidRDefault="00553A62">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color w:val="3D3D3D"/>
          <w:spacing w:val="10"/>
          <w:sz w:val="15"/>
          <w:szCs w:val="15"/>
        </w:rPr>
        <w:t>乙方承诺及时返还其在理财投资过程中取得的不当得利，乙方在此授权管理人或销售机构可直接从乙方开立在销售机构的任一账户中直接扣收不当得利部分而无需另行征得乙方同意，乙方不提出任何异议。</w:t>
      </w:r>
    </w:p>
    <w:p w14:paraId="6624A490" w14:textId="77777777" w:rsidR="005C13D8" w:rsidRDefault="00553A62">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7ED5E976" w14:textId="77777777" w:rsidR="005C13D8" w:rsidRDefault="00553A6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法律法规规定及理财产品销售文件中约定的其他权利与义务。</w:t>
      </w:r>
      <w:bookmarkEnd w:id="6"/>
    </w:p>
    <w:p w14:paraId="5F9E753D" w14:textId="77777777" w:rsidR="005C13D8" w:rsidRDefault="00553A62">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5.</w:t>
      </w:r>
      <w:r>
        <w:rPr>
          <w:rFonts w:ascii="方正黑体_GBK" w:eastAsia="方正黑体_GBK" w:hAnsi="Times New Roman" w:hint="eastAsia"/>
          <w:b/>
          <w:bCs/>
          <w:spacing w:val="10"/>
          <w:sz w:val="15"/>
          <w:szCs w:val="15"/>
        </w:rPr>
        <w:t>产品认购或申购、赎回</w:t>
      </w:r>
    </w:p>
    <w:p w14:paraId="0F285674" w14:textId="77777777" w:rsidR="005C13D8" w:rsidRDefault="00553A62">
      <w:pPr>
        <w:numPr>
          <w:ilvl w:val="0"/>
          <w:numId w:val="9"/>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理财产品认购或申购：参照《投资者权益须知》约定。</w:t>
      </w:r>
    </w:p>
    <w:p w14:paraId="1C69EA6A" w14:textId="77777777" w:rsidR="005C13D8" w:rsidRDefault="00553A62">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理财产品认购或申购撤销申请：乙方在理财产品募集期或开放期或投资冷静期（私募产品适用）内，可以撤销理财产品相应的认购或申购申请。</w:t>
      </w:r>
    </w:p>
    <w:p w14:paraId="593938DB" w14:textId="77777777" w:rsidR="005C13D8" w:rsidRDefault="00553A62">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信息披露，销售机构及时解除对乙方授权指定账户中认购或申购资金的冻结或返还认购或申购资金。</w:t>
      </w:r>
    </w:p>
    <w:p w14:paraId="101982CA" w14:textId="77777777" w:rsidR="005C13D8" w:rsidRDefault="00553A62">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理财产品投资品种、投资起点金额、收益支付方式：参照对应期次的《理财产品说明书》中的约定。</w:t>
      </w:r>
    </w:p>
    <w:p w14:paraId="282AFA96" w14:textId="77777777" w:rsidR="005C13D8" w:rsidRDefault="00553A62">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理财产品赎回</w:t>
      </w:r>
      <w:bookmarkStart w:id="7" w:name="_Hlk41902781"/>
      <w:r>
        <w:rPr>
          <w:rFonts w:ascii="方正黑体_GBK" w:eastAsia="方正黑体_GBK" w:hAnsi="Times New Roman" w:hint="eastAsia"/>
          <w:spacing w:val="10"/>
          <w:sz w:val="15"/>
          <w:szCs w:val="15"/>
        </w:rPr>
        <w:t>资金支付</w:t>
      </w:r>
      <w:bookmarkEnd w:id="7"/>
      <w:r>
        <w:rPr>
          <w:rFonts w:ascii="方正黑体_GBK" w:eastAsia="方正黑体_GBK" w:hAnsi="Times New Roman" w:hint="eastAsia"/>
          <w:spacing w:val="10"/>
          <w:sz w:val="15"/>
          <w:szCs w:val="15"/>
        </w:rPr>
        <w:t>：在正常情况下，甲方将按照本协议及对应期次的《理财产品说明书》的相关约定</w:t>
      </w:r>
      <w:bookmarkStart w:id="8" w:name="_Hlk41902803"/>
      <w:r>
        <w:rPr>
          <w:rFonts w:ascii="方正黑体_GBK" w:eastAsia="方正黑体_GBK" w:hAnsi="Times New Roman" w:hint="eastAsia"/>
          <w:spacing w:val="10"/>
          <w:sz w:val="15"/>
          <w:szCs w:val="15"/>
        </w:rPr>
        <w:t>进行赎回资金</w:t>
      </w:r>
      <w:bookmarkEnd w:id="8"/>
      <w:r>
        <w:rPr>
          <w:rFonts w:ascii="方正黑体_GBK" w:eastAsia="方正黑体_GBK" w:hAnsi="Times New Roman" w:hint="eastAsia"/>
          <w:spacing w:val="10"/>
          <w:sz w:val="15"/>
          <w:szCs w:val="15"/>
        </w:rPr>
        <w:t>划付。</w:t>
      </w:r>
      <w:r>
        <w:rPr>
          <w:rFonts w:ascii="方正黑体_GBK" w:eastAsia="方正黑体_GBK" w:hAnsi="Times New Roman" w:hint="eastAsia"/>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14:paraId="46B5EB3F" w14:textId="77777777" w:rsidR="005C13D8" w:rsidRDefault="00553A62">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6.</w:t>
      </w:r>
      <w:r>
        <w:rPr>
          <w:rFonts w:ascii="方正黑体_GBK" w:eastAsia="方正黑体_GBK" w:hAnsi="Times New Roman" w:hint="eastAsia"/>
          <w:b/>
          <w:bCs/>
          <w:spacing w:val="10"/>
          <w:sz w:val="15"/>
          <w:szCs w:val="15"/>
        </w:rPr>
        <w:t>产品的终止</w:t>
      </w:r>
    </w:p>
    <w:p w14:paraId="513A158D" w14:textId="77777777" w:rsidR="005C13D8" w:rsidRDefault="00553A62">
      <w:pPr>
        <w:spacing w:line="200" w:lineRule="exact"/>
        <w:ind w:firstLineChars="200" w:firstLine="300"/>
        <w:rPr>
          <w:rFonts w:ascii="方正黑体_GBK" w:eastAsia="方正黑体_GBK"/>
          <w:color w:val="3D3D3D"/>
          <w:kern w:val="0"/>
          <w:sz w:val="15"/>
          <w:szCs w:val="15"/>
        </w:rPr>
      </w:pPr>
      <w:r>
        <w:rPr>
          <w:rFonts w:ascii="方正黑体_GBK" w:eastAsia="方正黑体_GBK" w:hint="eastAsia"/>
          <w:color w:val="3D3D3D"/>
          <w:kern w:val="0"/>
          <w:sz w:val="15"/>
          <w:szCs w:val="15"/>
        </w:rPr>
        <w:t>若本理财产品未提前终止或延期终止，则到期日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终止日即为名义到期日；若本理财产品被提前终止，则到期日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终止日为提前终止权行使日；若本理财产品被延期终止，则到期日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终止日为延期终止日。</w:t>
      </w:r>
    </w:p>
    <w:p w14:paraId="6DFD7997" w14:textId="77777777" w:rsidR="005C13D8" w:rsidRDefault="00553A62">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1</w:t>
      </w:r>
      <w:r>
        <w:rPr>
          <w:rFonts w:ascii="方正黑体_GBK" w:eastAsia="方正黑体_GBK" w:hAnsi="Times New Roman" w:hint="eastAsia"/>
          <w:b/>
          <w:bCs/>
          <w:spacing w:val="10"/>
          <w:sz w:val="15"/>
          <w:szCs w:val="15"/>
        </w:rPr>
        <w:t>）理财产品提前终止</w:t>
      </w:r>
    </w:p>
    <w:p w14:paraId="1A67A218" w14:textId="77777777" w:rsidR="005C13D8" w:rsidRDefault="00553A62">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在理财产品存续期内，如发生以下事项时，南银理财可对本理财产品行使全部提前终止权：</w:t>
      </w:r>
    </w:p>
    <w:p w14:paraId="01AE6E1B" w14:textId="77777777" w:rsidR="005C13D8" w:rsidRDefault="00553A6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如因本理财产品资产运作模式、投资资产等与法律法规、规章的规定或者监管部门的要求等存在冲突导致理财产品必须提前终止的；</w:t>
      </w:r>
    </w:p>
    <w:p w14:paraId="08A7728F" w14:textId="77777777" w:rsidR="005C13D8" w:rsidRDefault="00553A6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国家有关法律、法规、规章、监管规定、政策的改变、紧急措施的出台、理财市场环境发生重大变化等导致理财产品必须提前终止的；</w:t>
      </w:r>
    </w:p>
    <w:p w14:paraId="5B8FB7F9" w14:textId="77777777" w:rsidR="005C13D8" w:rsidRDefault="00553A6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因不可抗力因素导致本理财产品必须提前终止的；</w:t>
      </w:r>
    </w:p>
    <w:p w14:paraId="319EF7C9" w14:textId="77777777" w:rsidR="005C13D8" w:rsidRDefault="00553A6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遇有市场出现剧烈波动、异常风险事件等情形导致理财产品收益出现大幅波动或严重影响理财产品的资产安全；</w:t>
      </w:r>
    </w:p>
    <w:p w14:paraId="51B16EF3" w14:textId="77777777" w:rsidR="005C13D8" w:rsidRDefault="00553A6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14:paraId="4FEC8BFC" w14:textId="77777777" w:rsidR="005C13D8" w:rsidRDefault="00553A6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因管理人解散、破产、撤销、被取消业务资格等原因无法继续履行相应职责导致产品无法继续运作；</w:t>
      </w:r>
    </w:p>
    <w:p w14:paraId="2F06FB26" w14:textId="77777777" w:rsidR="005C13D8" w:rsidRDefault="00553A6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理财产品所投资资产部分或全部提前偿付；</w:t>
      </w:r>
    </w:p>
    <w:p w14:paraId="257C791E" w14:textId="77777777" w:rsidR="005C13D8" w:rsidRDefault="00553A6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提前终止产品比维持产品运作更有利于保护产品持有人的权益；</w:t>
      </w:r>
    </w:p>
    <w:p w14:paraId="29FBB57D" w14:textId="77777777" w:rsidR="005C13D8" w:rsidRDefault="00553A6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南银理财合理认为应该提前终止本理财产品的其他情况。</w:t>
      </w:r>
    </w:p>
    <w:p w14:paraId="56DEC817" w14:textId="77777777" w:rsidR="005C13D8" w:rsidRDefault="00553A62">
      <w:pPr>
        <w:pStyle w:val="10"/>
        <w:spacing w:line="200" w:lineRule="exact"/>
        <w:ind w:left="340" w:firstLineChars="0" w:firstLine="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南银理财如提前终止本理财产品，应根据本理财产品销售文件约定的方式进行信息披露。</w:t>
      </w:r>
    </w:p>
    <w:p w14:paraId="00D87035" w14:textId="77777777" w:rsidR="005C13D8" w:rsidRDefault="00553A62">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2</w:t>
      </w:r>
      <w:r>
        <w:rPr>
          <w:rFonts w:ascii="方正黑体_GBK" w:eastAsia="方正黑体_GBK" w:hAnsi="Times New Roman" w:hint="eastAsia"/>
          <w:b/>
          <w:bCs/>
          <w:spacing w:val="10"/>
          <w:sz w:val="15"/>
          <w:szCs w:val="15"/>
        </w:rPr>
        <w:t>）理财产品的延期终止</w:t>
      </w:r>
    </w:p>
    <w:p w14:paraId="0E5D88FD" w14:textId="77777777" w:rsidR="005C13D8" w:rsidRDefault="00553A62">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在理财产品存续期内，如发生以下事项时，南银理财有权推迟本理财产品终止日：</w:t>
      </w:r>
    </w:p>
    <w:p w14:paraId="5BAD4DB3" w14:textId="77777777" w:rsidR="005C13D8" w:rsidRDefault="00553A6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产品到期日遇非工作日，产品到期日顺延至下一工作日；</w:t>
      </w:r>
    </w:p>
    <w:p w14:paraId="71E2D3CC" w14:textId="77777777" w:rsidR="005C13D8" w:rsidRDefault="00553A6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因市场成交量不足、资产限制赎回、暂停交易、缺乏意愿交易对手等原因，导致产品所投资的资产无法及时全部变现；</w:t>
      </w:r>
    </w:p>
    <w:p w14:paraId="5A5FD70D" w14:textId="77777777" w:rsidR="005C13D8" w:rsidRDefault="00553A6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因资金在途等原因，导致未能及时收回资金；</w:t>
      </w:r>
    </w:p>
    <w:p w14:paraId="4CAA3D7F" w14:textId="77777777" w:rsidR="005C13D8" w:rsidRDefault="00553A6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因不可抗力等原因，导致管理人无法及时收回资金及</w:t>
      </w:r>
      <w:r>
        <w:rPr>
          <w:rFonts w:ascii="方正黑体_GBK" w:eastAsia="方正黑体_GBK" w:hAnsi="Times New Roman" w:hint="eastAsia"/>
          <w:bCs/>
          <w:spacing w:val="10"/>
          <w:sz w:val="15"/>
          <w:szCs w:val="15"/>
        </w:rPr>
        <w:t>/</w:t>
      </w:r>
      <w:r>
        <w:rPr>
          <w:rFonts w:ascii="方正黑体_GBK" w:eastAsia="方正黑体_GBK" w:hAnsi="Times New Roman" w:hint="eastAsia"/>
          <w:bCs/>
          <w:spacing w:val="10"/>
          <w:sz w:val="15"/>
          <w:szCs w:val="15"/>
        </w:rPr>
        <w:t>或进行理财资金清算分配的；</w:t>
      </w:r>
    </w:p>
    <w:p w14:paraId="2E276812" w14:textId="77777777" w:rsidR="005C13D8" w:rsidRDefault="00553A6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理财产品资产涉及诉讼（或仲裁），且预计诉讼（或仲裁）及执行程序于理财产品名义到期日尚未终结；</w:t>
      </w:r>
    </w:p>
    <w:p w14:paraId="4ECB3A46" w14:textId="77777777" w:rsidR="005C13D8" w:rsidRDefault="00553A6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其他管理人认为需要延期的情形；</w:t>
      </w:r>
    </w:p>
    <w:p w14:paraId="2653E67C" w14:textId="77777777" w:rsidR="005C13D8" w:rsidRDefault="00553A6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法律规定的及本理财产品销售文件约定的其他情形。</w:t>
      </w:r>
    </w:p>
    <w:p w14:paraId="0A4AA8BB" w14:textId="77777777" w:rsidR="005C13D8" w:rsidRDefault="00553A62">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spacing w:val="10"/>
          <w:sz w:val="15"/>
          <w:szCs w:val="15"/>
        </w:rPr>
        <w:t>南银理财</w:t>
      </w:r>
      <w:r>
        <w:rPr>
          <w:rFonts w:ascii="方正黑体_GBK" w:eastAsia="方正黑体_GBK" w:hAnsi="Times New Roman" w:hint="eastAsia"/>
          <w:bCs/>
          <w:spacing w:val="10"/>
          <w:sz w:val="15"/>
          <w:szCs w:val="15"/>
        </w:rPr>
        <w:t>如推迟本理财产品到期日，应根据本理财产品销售文件约定的方式进行信息披露。</w:t>
      </w:r>
    </w:p>
    <w:p w14:paraId="0C64A5CD" w14:textId="77777777" w:rsidR="005C13D8" w:rsidRDefault="00553A62">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不因投资者丧失民事行为能力、死亡、破产、解散等情形而终止。上述情况下，投资者于理财产品销售文件项下的权利以及义务由其法定继承人、承继人、继受人或者指定的受益人以及继任管理人等承担。甲方以及销售机构有权要求或配合投资者的法定继承人、承继人、继受人或者指定受益人以及继任管理人等相关主体办理相关变更手续。</w:t>
      </w:r>
    </w:p>
    <w:p w14:paraId="2D133E19" w14:textId="77777777" w:rsidR="005C13D8" w:rsidRDefault="00553A62">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lastRenderedPageBreak/>
        <w:t>7.</w:t>
      </w:r>
      <w:r>
        <w:rPr>
          <w:rFonts w:ascii="方正黑体_GBK" w:eastAsia="方正黑体_GBK" w:hAnsi="Times New Roman" w:hint="eastAsia"/>
          <w:b/>
          <w:spacing w:val="10"/>
          <w:sz w:val="15"/>
          <w:szCs w:val="15"/>
        </w:rPr>
        <w:t>产品资产的清算</w:t>
      </w:r>
      <w:r>
        <w:rPr>
          <w:rFonts w:ascii="方正黑体_GBK" w:eastAsia="方正黑体_GBK" w:hAnsi="Times New Roman" w:hint="eastAsia"/>
          <w:b/>
          <w:spacing w:val="10"/>
          <w:sz w:val="15"/>
          <w:szCs w:val="15"/>
        </w:rPr>
        <w:t xml:space="preserve"> </w:t>
      </w:r>
    </w:p>
    <w:p w14:paraId="6F5A83EB" w14:textId="77777777" w:rsidR="005C13D8" w:rsidRDefault="00553A62">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Cs/>
          <w:spacing w:val="10"/>
          <w:sz w:val="15"/>
          <w:szCs w:val="15"/>
        </w:rPr>
        <w:t>自本理财产品终止日至投资者理财本金及收益到账日之间为本理财产品的清算期，</w:t>
      </w:r>
      <w:r>
        <w:rPr>
          <w:rFonts w:ascii="方正黑体_GBK" w:eastAsia="方正黑体_GBK" w:hAnsi="Times New Roman" w:hint="eastAsia"/>
          <w:b/>
          <w:spacing w:val="10"/>
          <w:sz w:val="15"/>
          <w:szCs w:val="15"/>
        </w:rPr>
        <w:t>清算期不计算利息或投资收益</w:t>
      </w:r>
      <w:r>
        <w:rPr>
          <w:rFonts w:ascii="方正黑体_GBK" w:eastAsia="方正黑体_GBK" w:hAnsi="Times New Roman" w:hint="eastAsia"/>
          <w:bCs/>
          <w:spacing w:val="10"/>
          <w:sz w:val="15"/>
          <w:szCs w:val="15"/>
        </w:rPr>
        <w:t>。</w:t>
      </w:r>
      <w:r>
        <w:rPr>
          <w:rFonts w:ascii="方正黑体_GBK" w:eastAsia="方正黑体_GBK" w:hAnsi="Times New Roman" w:hint="eastAsia"/>
          <w:b/>
          <w:spacing w:val="10"/>
          <w:sz w:val="15"/>
          <w:szCs w:val="15"/>
        </w:rPr>
        <w:t>甲方将根据对应期次《理财产品说明书》的约定将理财产品清算变现，</w:t>
      </w:r>
      <w:r>
        <w:rPr>
          <w:rFonts w:ascii="方正黑体_GBK" w:eastAsia="方正黑体_GBK"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w:t>
      </w:r>
    </w:p>
    <w:p w14:paraId="5326F650" w14:textId="77777777" w:rsidR="005C13D8" w:rsidRDefault="00553A62">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清算期原则上不得超过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个工作日，因清算期超过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个工作日的，应当在理财产品终止前，将依约定进行公告。</w:t>
      </w:r>
      <w:r>
        <w:rPr>
          <w:rFonts w:ascii="方正黑体_GBK" w:eastAsia="方正黑体_GBK" w:hAnsi="Times New Roman" w:hint="eastAsia"/>
          <w:b/>
          <w:spacing w:val="10"/>
          <w:sz w:val="15"/>
          <w:szCs w:val="15"/>
        </w:rPr>
        <w:t>因本理财产品的投资资产无法及时、足额变现等原因，南银理财可以根据实际情况选择向投资者提前支付、延迟支付或者分次支付，并及时根据法律法规的要求向乙方披露支付方案。</w:t>
      </w:r>
    </w:p>
    <w:p w14:paraId="627F4204" w14:textId="77777777" w:rsidR="005C13D8" w:rsidRDefault="00553A62">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8.</w:t>
      </w:r>
      <w:r>
        <w:rPr>
          <w:rFonts w:ascii="方正黑体_GBK" w:eastAsia="方正黑体_GBK" w:hAnsi="Times New Roman" w:hint="eastAsia"/>
          <w:b/>
          <w:bCs/>
          <w:spacing w:val="10"/>
          <w:sz w:val="15"/>
          <w:szCs w:val="15"/>
        </w:rPr>
        <w:t>特别提示</w:t>
      </w:r>
    </w:p>
    <w:p w14:paraId="4BBBF355" w14:textId="77777777" w:rsidR="005C13D8" w:rsidRDefault="00553A62">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在本理财产品存续期内：</w:t>
      </w:r>
    </w:p>
    <w:p w14:paraId="712922FB" w14:textId="77777777" w:rsidR="005C13D8" w:rsidRDefault="00553A62">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F10EA32" w14:textId="77777777" w:rsidR="005C13D8" w:rsidRDefault="00553A62">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78DB5C9" w14:textId="77777777" w:rsidR="005C13D8" w:rsidRDefault="00553A62">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免责条款</w:t>
      </w:r>
    </w:p>
    <w:p w14:paraId="7D5B6893" w14:textId="77777777" w:rsidR="005C13D8" w:rsidRDefault="00553A62">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不合法。如果因遵守任何适用法律、法规、条例、规则、规定、裁决、命令或指令（不论是现行或将来实施的）而使得甲方履行协议项下的义务全部或部分成为不合法，甲方有权在任何时间向乙方发出通知提前终止受影响的理财产品，在此情况下甲方无需对乙方因提前终止投资而造成的任何损失承担任何责任。</w:t>
      </w:r>
    </w:p>
    <w:p w14:paraId="4976E6DB" w14:textId="77777777" w:rsidR="005C13D8" w:rsidRDefault="00553A62">
      <w:pPr>
        <w:pStyle w:val="10"/>
        <w:numPr>
          <w:ilvl w:val="0"/>
          <w:numId w:val="14"/>
        </w:numPr>
        <w:spacing w:line="200" w:lineRule="exact"/>
        <w:ind w:firstLineChars="0"/>
        <w:rPr>
          <w:rFonts w:ascii="方正黑体_GBK" w:eastAsia="方正黑体_GBK"/>
          <w:b/>
          <w:spacing w:val="10"/>
          <w:sz w:val="15"/>
          <w:szCs w:val="15"/>
        </w:rPr>
      </w:pPr>
      <w:r>
        <w:rPr>
          <w:rFonts w:ascii="方正黑体_GBK" w:eastAsia="方正黑体_GBK" w:hAnsi="Times New Roman" w:hint="eastAsia"/>
          <w:b/>
          <w:spacing w:val="10"/>
          <w:sz w:val="15"/>
          <w:szCs w:val="15"/>
        </w:rPr>
        <w:t>不可抗力。如果甲方认为由于自然灾害、</w:t>
      </w:r>
      <w:bookmarkStart w:id="9" w:name="_Hlk41903042"/>
      <w:r>
        <w:rPr>
          <w:rFonts w:ascii="方正黑体_GBK" w:eastAsia="方正黑体_GBK" w:hAnsi="Times New Roman" w:hint="eastAsia"/>
          <w:b/>
          <w:spacing w:val="10"/>
          <w:sz w:val="15"/>
          <w:szCs w:val="15"/>
        </w:rPr>
        <w:t>地震、台风、海啸、洪水、火灾、停电、突发性公共卫生事件、</w:t>
      </w:r>
      <w:bookmarkStart w:id="10" w:name="_Hlk41862861"/>
      <w:bookmarkEnd w:id="9"/>
      <w:r>
        <w:rPr>
          <w:rFonts w:ascii="方正黑体_GBK" w:eastAsia="方正黑体_GBK" w:hAnsi="Times New Roman" w:hint="eastAsia"/>
          <w:b/>
          <w:spacing w:val="10"/>
          <w:sz w:val="15"/>
          <w:szCs w:val="15"/>
        </w:rPr>
        <w:t>罢工、内战、战争、军事行动、任何种类的恐怖活动、暴动、公众示威或抗议</w:t>
      </w:r>
      <w:bookmarkStart w:id="11" w:name="_Hlk41903076"/>
      <w:bookmarkEnd w:id="10"/>
      <w:r>
        <w:rPr>
          <w:rFonts w:ascii="方正黑体_GBK" w:eastAsia="方正黑体_GBK" w:hAnsi="Times New Roman" w:hint="eastAsia"/>
          <w:b/>
          <w:spacing w:val="10"/>
          <w:sz w:val="15"/>
          <w:szCs w:val="15"/>
        </w:rPr>
        <w:t>；新的适用法律或国家政策的颁布或实施、对原适用法律或国家政策的修改；</w:t>
      </w:r>
      <w:bookmarkStart w:id="12" w:name="_Hlk41862959"/>
      <w:bookmarkEnd w:id="11"/>
      <w:r>
        <w:rPr>
          <w:rFonts w:ascii="方正黑体_GBK" w:eastAsia="方正黑体_GBK" w:hAnsi="Times New Roman" w:hint="eastAsia"/>
          <w:b/>
          <w:spacing w:val="10"/>
          <w:sz w:val="15"/>
          <w:szCs w:val="15"/>
        </w:rPr>
        <w:t>中国內地或全球金融外汇市场发生致使甲方无法进行货币兑换、划转等的异常变化；任何政府机关或其他机关的行为（不论是在法律上或是在事实上）、法律、法规、条例、规则、规定、裁决、命令或指令（包括国有化或对外限制、外汇管制）、诉讼或威胁</w:t>
      </w:r>
      <w:bookmarkEnd w:id="12"/>
      <w:r>
        <w:rPr>
          <w:rFonts w:ascii="方正黑体_GBK" w:eastAsia="方正黑体_GBK" w:hAnsi="Times New Roman" w:hint="eastAsia"/>
          <w:b/>
          <w:spacing w:val="10"/>
          <w:sz w:val="15"/>
          <w:szCs w:val="15"/>
        </w:rPr>
        <w:t>；</w:t>
      </w:r>
      <w:bookmarkStart w:id="13" w:name="_Hlk41903087"/>
      <w:r>
        <w:rPr>
          <w:rFonts w:ascii="方正黑体_GBK" w:eastAsia="方正黑体_GBK" w:hAnsi="Times New Roman" w:hint="eastAsia"/>
          <w:b/>
          <w:spacing w:val="10"/>
          <w:sz w:val="15"/>
          <w:szCs w:val="15"/>
        </w:rPr>
        <w:t>因理财产品各方和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或其关联方运营网络系统遭受黑客攻击、电信部门技术调整或故障等原因而造成的理财产品各方和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或其关联方之服务、营业的中断或者延迟</w:t>
      </w:r>
      <w:r>
        <w:rPr>
          <w:rFonts w:ascii="方正黑体_GBK" w:eastAsia="方正黑体_GBK" w:hAnsi="Times New Roman" w:hint="eastAsia"/>
          <w:b/>
          <w:spacing w:val="10"/>
          <w:sz w:val="15"/>
          <w:szCs w:val="15"/>
        </w:rPr>
        <w:t>;</w:t>
      </w:r>
      <w:bookmarkEnd w:id="13"/>
      <w:r>
        <w:rPr>
          <w:rFonts w:ascii="方正黑体_GBK" w:eastAsia="方正黑体_GBK" w:hAnsi="Times New Roman" w:hint="eastAsia"/>
          <w:b/>
          <w:spacing w:val="10"/>
          <w:sz w:val="15"/>
          <w:szCs w:val="15"/>
        </w:rPr>
        <w:t>或任何其他非甲方所能控制的情况或原因，导致甲方未能履行或需延迟履行协议项下或与理财产品相关的支付义务，甲方无需对乙方承担任何责任。尤其是，当资金存放在任何销售机构、托管人或代理人处而他们因上述原因被禁止向甲方付款或履行义务时，甲方亦无需向乙方负责。如果在一个支付日发生不可抗力（不论该不可抗力是否持续整个当日），与理财产品有关的相关回报或赎回金额（视情形而定）的支付将由甲方按完全自行酌情决定顺延至紧临的下一个不存在不可抗力的工作日。乙方将不会因此而收到额外的</w:t>
      </w:r>
      <w:r>
        <w:rPr>
          <w:rFonts w:ascii="方正黑体_GBK" w:eastAsia="方正黑体_GBK" w:hAnsi="Times New Roman" w:hint="eastAsia"/>
          <w:b/>
          <w:spacing w:val="10"/>
          <w:sz w:val="15"/>
          <w:szCs w:val="15"/>
        </w:rPr>
        <w:t>收益或者补偿。</w:t>
      </w:r>
    </w:p>
    <w:p w14:paraId="6DC0F79C" w14:textId="77777777" w:rsidR="005C13D8" w:rsidRDefault="00553A62">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乙方承担由此给乙方造成的任何损失。</w:t>
      </w:r>
    </w:p>
    <w:p w14:paraId="1A6657EF" w14:textId="77777777" w:rsidR="005C13D8" w:rsidRDefault="00553A62">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本理财产品销售文件项下理财业务不受销售机构存款保险机制或其他保障机制保障。</w:t>
      </w:r>
    </w:p>
    <w:p w14:paraId="549431C5" w14:textId="77777777" w:rsidR="005C13D8" w:rsidRDefault="00553A62">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赔偿</w:t>
      </w:r>
      <w:r>
        <w:rPr>
          <w:rFonts w:ascii="方正黑体_GBK" w:eastAsia="方正黑体_GBK" w:hAnsi="Times New Roman" w:hint="eastAsia"/>
          <w:spacing w:val="10"/>
          <w:sz w:val="15"/>
          <w:szCs w:val="15"/>
        </w:rPr>
        <w:t>及责任限制</w:t>
      </w:r>
    </w:p>
    <w:p w14:paraId="33F81A7D" w14:textId="77777777" w:rsidR="005C13D8" w:rsidRDefault="00553A62">
      <w:pPr>
        <w:spacing w:line="200" w:lineRule="exact"/>
        <w:ind w:firstLineChars="200" w:firstLine="340"/>
        <w:rPr>
          <w:rFonts w:ascii="方正黑体_GBK" w:eastAsia="方正黑体_GBK" w:hAnsi="Times New Roman"/>
          <w:spacing w:val="10"/>
          <w:sz w:val="15"/>
          <w:szCs w:val="15"/>
        </w:rPr>
      </w:pPr>
      <w:bookmarkStart w:id="14" w:name="_Hlk50135417"/>
      <w:r>
        <w:rPr>
          <w:rFonts w:ascii="方正黑体_GBK" w:eastAsia="方正黑体_GBK" w:hAnsi="Times New Roman" w:hint="eastAsia"/>
          <w:spacing w:val="10"/>
          <w:sz w:val="15"/>
          <w:szCs w:val="15"/>
        </w:rPr>
        <w:t>由于本协议一方当事人的过错，造成本协议不能履行或不能完全履行的，由有过错的一方承担违约责任；如双方同时负有过错，则应由双方各自按照过错程度承担责任。</w:t>
      </w:r>
      <w:bookmarkEnd w:id="14"/>
    </w:p>
    <w:p w14:paraId="3958D013" w14:textId="77777777" w:rsidR="005C13D8" w:rsidRDefault="00553A6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ascii="方正黑体_GBK" w:eastAsia="方正黑体_GBK" w:hAnsi="Times New Roman" w:hint="eastAsia"/>
          <w:b/>
          <w:bCs/>
          <w:spacing w:val="10"/>
          <w:sz w:val="15"/>
          <w:szCs w:val="15"/>
        </w:rPr>
        <w:t>特别地，尽管乙方可能给予相反的指示，如果甲方因需遵守适用法律、法规或规则（包括但不限于各种支付体系的规则和规定）或遵守与其他银行、金融机构达成的业务交易协议而导致甲方延迟执行乙方指示或者未能执行乙方指示或使乙方产生任何责任、损失或支出，甲方无需负责</w:t>
      </w:r>
      <w:r>
        <w:rPr>
          <w:rFonts w:ascii="方正黑体_GBK" w:eastAsia="方正黑体_GBK" w:hAnsi="Times New Roman" w:hint="eastAsia"/>
          <w:spacing w:val="10"/>
          <w:sz w:val="15"/>
          <w:szCs w:val="15"/>
        </w:rPr>
        <w:t>。</w:t>
      </w:r>
    </w:p>
    <w:p w14:paraId="2B7F0FDC" w14:textId="77777777" w:rsidR="005C13D8" w:rsidRDefault="00553A62">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抵销</w:t>
      </w:r>
    </w:p>
    <w:p w14:paraId="1BFB5453" w14:textId="77777777" w:rsidR="005C13D8" w:rsidRDefault="00553A62">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
          <w:spacing w:val="10"/>
          <w:sz w:val="15"/>
          <w:szCs w:val="15"/>
        </w:rPr>
        <w:t>除享有法律规定的或其他的抵销权利外，甲方有权（但无义务）将乙方欠付甲方的任何债务（不论是否已经到期、无论是否因协议而导致，也不论债务的结算货币、付款地或登记处）与甲方欠付乙方的任何债务（不论是否已经到期、无论是否因协议而导致，也不论债务的结算货币、付款地或登记处）进行抵销，而无须事先书面通知乙方或任何其他人员</w:t>
      </w:r>
      <w:r>
        <w:rPr>
          <w:rFonts w:ascii="方正黑体_GBK" w:eastAsia="方正黑体_GBK" w:hAnsi="Times New Roman" w:hint="eastAsia"/>
          <w:bCs/>
          <w:spacing w:val="10"/>
          <w:sz w:val="15"/>
          <w:szCs w:val="15"/>
        </w:rPr>
        <w:t>。</w:t>
      </w:r>
    </w:p>
    <w:p w14:paraId="1F2CCEF9" w14:textId="77777777" w:rsidR="005C13D8" w:rsidRDefault="00553A62">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为了对不同货币进行抵销，甲方可在有关日期以甲方所选择适用的市场汇率将乙方的债务予以兑换。如果债务尚未确定，则甲方可估计该债务的数额后进行抵销，但甲方须在该债务得以确定时向乙方支付差额。</w:t>
      </w:r>
    </w:p>
    <w:p w14:paraId="5CE76A3B" w14:textId="77777777" w:rsidR="005C13D8" w:rsidRDefault="00553A62">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弃权</w:t>
      </w:r>
    </w:p>
    <w:p w14:paraId="0AA09F30" w14:textId="77777777" w:rsidR="005C13D8" w:rsidRDefault="00553A6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14:paraId="05E991D1" w14:textId="77777777" w:rsidR="005C13D8" w:rsidRDefault="00553A62">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可分割性</w:t>
      </w:r>
    </w:p>
    <w:p w14:paraId="0B7C7EB1" w14:textId="77777777" w:rsidR="005C13D8" w:rsidRDefault="00553A6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协议的任何条款在任何方面的非法、无效或不可强制执行，不影响协议的其他条款的合法性、有效性或可强制执行。</w:t>
      </w:r>
    </w:p>
    <w:p w14:paraId="6ACD8B57" w14:textId="77777777" w:rsidR="005C13D8" w:rsidRDefault="00553A62">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税收条款</w:t>
      </w:r>
    </w:p>
    <w:p w14:paraId="05BDDFC8" w14:textId="77777777" w:rsidR="005C13D8" w:rsidRDefault="00553A6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以对应期次的《理财产品说明书》约定的税务处理方式为准，如遇国家政策调整则相应执行最新政策。</w:t>
      </w:r>
    </w:p>
    <w:p w14:paraId="4B6D61E0" w14:textId="77777777" w:rsidR="005C13D8" w:rsidRDefault="00553A62">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9.</w:t>
      </w:r>
      <w:r>
        <w:rPr>
          <w:rFonts w:ascii="方正黑体_GBK" w:eastAsia="方正黑体_GBK" w:hAnsi="Times New Roman" w:hint="eastAsia"/>
          <w:b/>
          <w:bCs/>
          <w:spacing w:val="10"/>
          <w:sz w:val="15"/>
          <w:szCs w:val="15"/>
        </w:rPr>
        <w:t>争议处理</w:t>
      </w:r>
    </w:p>
    <w:p w14:paraId="6E092BE4" w14:textId="77777777" w:rsidR="005C13D8" w:rsidRDefault="00553A6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本协议在履行过程中发生争议，可以通过协商解决；协商不成的，任何一方有权向甲方所在地有管辖权的人民法院提起诉讼。</w:t>
      </w:r>
    </w:p>
    <w:p w14:paraId="464C9B1F" w14:textId="77777777" w:rsidR="005C13D8" w:rsidRDefault="00553A62">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10.</w:t>
      </w:r>
      <w:r>
        <w:rPr>
          <w:rFonts w:ascii="方正黑体_GBK" w:eastAsia="方正黑体_GBK" w:hAnsi="Times New Roman" w:hint="eastAsia"/>
          <w:b/>
          <w:bCs/>
          <w:spacing w:val="10"/>
          <w:sz w:val="15"/>
          <w:szCs w:val="15"/>
        </w:rPr>
        <w:t>协议的生效和终止</w:t>
      </w:r>
    </w:p>
    <w:p w14:paraId="5ABFD26F" w14:textId="77777777" w:rsidR="005C13D8" w:rsidRDefault="00553A62">
      <w:pPr>
        <w:numPr>
          <w:ilvl w:val="0"/>
          <w:numId w:val="16"/>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成立并生效。</w:t>
      </w:r>
    </w:p>
    <w:p w14:paraId="4FBB6A65" w14:textId="77777777" w:rsidR="005C13D8" w:rsidRDefault="00553A6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数据电文形式订立的，乙方应在电子渠道仔细阅读本协议的所有条款，对本协议条款的含义及相应的法律后果应全部知晓并充分理解，同意接受本协议约束。本协议自乙方成功缴纳购买资金并经甲方系统确认购买份额后成立并生效。</w:t>
      </w:r>
      <w:r>
        <w:rPr>
          <w:rFonts w:ascii="方正黑体_GBK" w:eastAsia="方正黑体_GBK" w:hAnsi="Times New Roman" w:hint="eastAsia"/>
          <w:b/>
          <w:bCs/>
          <w:spacing w:val="10"/>
          <w:sz w:val="15"/>
          <w:szCs w:val="15"/>
        </w:rPr>
        <w:t>电子渠道所生成和保留记载的相关电子数据及交易记录以及销售机构、托管机构、甲方制作或保留的相关电子及纸质单据、凭证、记录等相关资料</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构成有效证明甲乙双方之间权利义务关系的确定证据，乙方无条件认可电子数据的有效性和证据效力。</w:t>
      </w:r>
    </w:p>
    <w:p w14:paraId="153E9F15" w14:textId="77777777" w:rsidR="005C13D8" w:rsidRDefault="00553A62">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乙方在办理理财产品的购买、赎回等交易后，需通过销售机构提供的渠道查询相关交易的确认情况，最终以甲方确认的产品购买金额、份额或赎回份额等作为《理财产品销售协议书》生效或终止的依据。</w:t>
      </w:r>
    </w:p>
    <w:p w14:paraId="0B424C33" w14:textId="77777777" w:rsidR="005C13D8" w:rsidRDefault="00553A62">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如乙方购买理财产品后，又变更该笔认</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申购的具体内容（包括但不限于交易变更、金额变更、授权指定账户变更、投资者信息变更等），则以双方最近一次交易达成的交易内容为准。</w:t>
      </w:r>
    </w:p>
    <w:p w14:paraId="679608F2" w14:textId="77777777" w:rsidR="005C13D8" w:rsidRDefault="00553A62">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11.</w:t>
      </w:r>
      <w:r>
        <w:rPr>
          <w:rFonts w:ascii="方正黑体_GBK" w:eastAsia="方正黑体_GBK" w:hAnsi="Times New Roman" w:hint="eastAsia"/>
          <w:b/>
          <w:bCs/>
          <w:spacing w:val="10"/>
          <w:sz w:val="15"/>
          <w:szCs w:val="15"/>
        </w:rPr>
        <w:t>乙方声明</w:t>
      </w:r>
    </w:p>
    <w:p w14:paraId="3C8F7105" w14:textId="77777777" w:rsidR="005C13D8" w:rsidRDefault="00553A62">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签署本理财产品协议书以前，甲方或销售机构已根据本理财产品协议书及有关交易文件的条款就乙方提出的疑问向乙方进行了详细的说明和解释，乙方已认真阅读本理财产品协议条款及对应期次的《理财产品说明书》和《理财产品风险揭示书》</w:t>
      </w:r>
      <w:r>
        <w:rPr>
          <w:rFonts w:ascii="方正黑体_GBK" w:eastAsia="方正黑体_GBK" w:hAnsi="Times New Roman" w:hint="eastAsia"/>
          <w:b/>
          <w:bCs/>
          <w:spacing w:val="10"/>
          <w:sz w:val="15"/>
          <w:szCs w:val="15"/>
        </w:rPr>
        <w:t>《投资者权益须知》</w:t>
      </w:r>
      <w:r>
        <w:rPr>
          <w:rFonts w:ascii="方正黑体_GBK" w:eastAsia="方正黑体_GBK" w:hAnsi="Times New Roman" w:hint="eastAsia"/>
          <w:b/>
          <w:spacing w:val="10"/>
          <w:sz w:val="15"/>
          <w:szCs w:val="15"/>
        </w:rPr>
        <w:t>《理财产品投资协议书》，其愿意承担投资风险，并对协议双方的权利、义务、责任与风险有清楚和准确的认知且对有关条款不存在任何疑问或异议。乙方充分认识到投资本期理财产品可能面临的风险，并自愿承担相关风险，特此确认。</w:t>
      </w:r>
    </w:p>
    <w:p w14:paraId="534B7E07" w14:textId="77777777" w:rsidR="005C13D8" w:rsidRDefault="00553A62">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lastRenderedPageBreak/>
        <w:t>乙方授权甲方、销售机构于募集期或开放期或投资冷静期（私募产品适用）结束后从乙方授权指定账户扣划相应的认购或申购资金。对此甲方、销售机构无需另行征得乙方同意或给予通知，无需在划款时以电话等方式与乙方进行最后确认。对于风险较高或投资者单笔购买金额较大的理财产品，同样适用上述划款操作规则。</w:t>
      </w:r>
    </w:p>
    <w:p w14:paraId="75DEF3FE" w14:textId="77777777" w:rsidR="005C13D8" w:rsidRDefault="00553A62">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12.</w:t>
      </w:r>
      <w:r>
        <w:rPr>
          <w:rFonts w:ascii="方正黑体_GBK" w:eastAsia="方正黑体_GBK" w:hAnsi="Times New Roman" w:hint="eastAsia"/>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p>
    <w:p w14:paraId="512E8B52" w14:textId="77777777" w:rsidR="005C13D8" w:rsidRDefault="005C13D8">
      <w:pPr>
        <w:spacing w:line="200" w:lineRule="exact"/>
        <w:ind w:firstLineChars="200" w:firstLine="340"/>
        <w:rPr>
          <w:rFonts w:ascii="方正黑体_GBK" w:eastAsia="方正黑体_GBK" w:hAnsi="Times New Roman"/>
          <w:spacing w:val="10"/>
          <w:sz w:val="15"/>
          <w:szCs w:val="15"/>
        </w:rPr>
      </w:pPr>
    </w:p>
    <w:p w14:paraId="72D6137A" w14:textId="77777777" w:rsidR="005C13D8" w:rsidRDefault="005C13D8">
      <w:pPr>
        <w:spacing w:line="200" w:lineRule="exact"/>
        <w:ind w:firstLineChars="200" w:firstLine="340"/>
        <w:rPr>
          <w:rFonts w:ascii="方正黑体_GBK" w:eastAsia="方正黑体_GBK" w:hAnsi="Times New Roman"/>
          <w:spacing w:val="10"/>
          <w:sz w:val="15"/>
          <w:szCs w:val="15"/>
        </w:rPr>
      </w:pPr>
    </w:p>
    <w:tbl>
      <w:tblPr>
        <w:tblW w:w="0" w:type="auto"/>
        <w:tblLayout w:type="fixed"/>
        <w:tblLook w:val="04A0" w:firstRow="1" w:lastRow="0" w:firstColumn="1" w:lastColumn="0" w:noHBand="0" w:noVBand="1"/>
      </w:tblPr>
      <w:tblGrid>
        <w:gridCol w:w="5341"/>
        <w:gridCol w:w="5341"/>
      </w:tblGrid>
      <w:tr w:rsidR="005C13D8" w14:paraId="28BEBCE2" w14:textId="77777777">
        <w:tc>
          <w:tcPr>
            <w:tcW w:w="5341" w:type="dxa"/>
          </w:tcPr>
          <w:p w14:paraId="202685A6" w14:textId="77777777" w:rsidR="005C13D8" w:rsidRDefault="00553A62">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个人投资者（如适用）：</w:t>
            </w:r>
          </w:p>
        </w:tc>
        <w:tc>
          <w:tcPr>
            <w:tcW w:w="5341" w:type="dxa"/>
          </w:tcPr>
          <w:p w14:paraId="08737034" w14:textId="77777777" w:rsidR="005C13D8" w:rsidRDefault="00553A62">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机构投资者（如适用）：</w:t>
            </w:r>
          </w:p>
        </w:tc>
      </w:tr>
      <w:tr w:rsidR="005C13D8" w14:paraId="11BAC085" w14:textId="77777777">
        <w:tc>
          <w:tcPr>
            <w:tcW w:w="5341" w:type="dxa"/>
          </w:tcPr>
          <w:p w14:paraId="005D0FFC" w14:textId="77777777" w:rsidR="005C13D8" w:rsidRDefault="005C13D8">
            <w:pPr>
              <w:spacing w:line="200" w:lineRule="exact"/>
              <w:ind w:firstLineChars="200" w:firstLine="340"/>
              <w:rPr>
                <w:rFonts w:ascii="方正黑体_GBK" w:eastAsia="方正黑体_GBK" w:hAnsi="Times New Roman"/>
                <w:spacing w:val="10"/>
                <w:sz w:val="15"/>
                <w:szCs w:val="15"/>
              </w:rPr>
            </w:pPr>
          </w:p>
          <w:p w14:paraId="3CB850D6" w14:textId="77777777" w:rsidR="005C13D8" w:rsidRDefault="00553A62">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投资者：（签名）</w:t>
            </w:r>
          </w:p>
          <w:p w14:paraId="5C001A9A" w14:textId="77777777" w:rsidR="005C13D8" w:rsidRDefault="005C13D8">
            <w:pPr>
              <w:spacing w:line="200" w:lineRule="exact"/>
              <w:ind w:firstLineChars="400" w:firstLine="680"/>
              <w:rPr>
                <w:rFonts w:ascii="方正黑体_GBK" w:eastAsia="方正黑体_GBK" w:hAnsi="Times New Roman"/>
                <w:spacing w:val="10"/>
                <w:sz w:val="15"/>
                <w:szCs w:val="15"/>
              </w:rPr>
            </w:pPr>
          </w:p>
          <w:p w14:paraId="65CFB337" w14:textId="77777777" w:rsidR="005C13D8" w:rsidRDefault="005C13D8">
            <w:pPr>
              <w:spacing w:line="200" w:lineRule="exact"/>
              <w:ind w:firstLineChars="500" w:firstLine="850"/>
              <w:rPr>
                <w:rFonts w:ascii="方正黑体_GBK" w:eastAsia="方正黑体_GBK" w:hAnsi="Times New Roman"/>
                <w:spacing w:val="10"/>
                <w:sz w:val="15"/>
                <w:szCs w:val="15"/>
              </w:rPr>
            </w:pPr>
          </w:p>
          <w:p w14:paraId="2E1A87D7" w14:textId="77777777" w:rsidR="005C13D8" w:rsidRDefault="00553A62">
            <w:pPr>
              <w:spacing w:line="200" w:lineRule="exact"/>
              <w:ind w:firstLineChars="500" w:firstLine="85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c>
          <w:tcPr>
            <w:tcW w:w="5341" w:type="dxa"/>
          </w:tcPr>
          <w:p w14:paraId="1B9F8420" w14:textId="77777777" w:rsidR="005C13D8" w:rsidRDefault="005C13D8">
            <w:pPr>
              <w:spacing w:line="200" w:lineRule="exact"/>
              <w:ind w:firstLineChars="200" w:firstLine="340"/>
              <w:rPr>
                <w:rFonts w:ascii="方正黑体_GBK" w:eastAsia="方正黑体_GBK" w:hAnsi="Times New Roman"/>
                <w:spacing w:val="10"/>
                <w:sz w:val="15"/>
                <w:szCs w:val="15"/>
              </w:rPr>
            </w:pPr>
          </w:p>
          <w:p w14:paraId="5B40D42D" w14:textId="77777777" w:rsidR="005C13D8" w:rsidRDefault="00553A62">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投资者：（公章或合同专用章）</w:t>
            </w:r>
          </w:p>
          <w:p w14:paraId="20B7D969" w14:textId="77777777" w:rsidR="005C13D8" w:rsidRDefault="005C13D8">
            <w:pPr>
              <w:spacing w:line="200" w:lineRule="exact"/>
              <w:rPr>
                <w:rFonts w:ascii="方正黑体_GBK" w:eastAsia="方正黑体_GBK" w:hAnsi="Times New Roman"/>
                <w:spacing w:val="10"/>
                <w:sz w:val="15"/>
                <w:szCs w:val="15"/>
              </w:rPr>
            </w:pPr>
          </w:p>
          <w:p w14:paraId="01DB583E" w14:textId="77777777" w:rsidR="005C13D8" w:rsidRDefault="005C13D8">
            <w:pPr>
              <w:spacing w:line="200" w:lineRule="exact"/>
              <w:rPr>
                <w:rFonts w:ascii="方正黑体_GBK" w:eastAsia="方正黑体_GBK" w:hAnsi="Times New Roman"/>
                <w:spacing w:val="10"/>
                <w:sz w:val="15"/>
                <w:szCs w:val="15"/>
              </w:rPr>
            </w:pPr>
          </w:p>
          <w:p w14:paraId="11464764" w14:textId="77777777" w:rsidR="005C13D8" w:rsidRDefault="00553A62">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法定代表人或授权代理人：（签名或盖章）</w:t>
            </w:r>
          </w:p>
          <w:p w14:paraId="6A428ADF" w14:textId="77777777" w:rsidR="005C13D8" w:rsidRDefault="005C13D8">
            <w:pPr>
              <w:spacing w:line="200" w:lineRule="exact"/>
              <w:ind w:firstLineChars="400" w:firstLine="680"/>
              <w:rPr>
                <w:rFonts w:ascii="方正黑体_GBK" w:eastAsia="方正黑体_GBK" w:hAnsi="Times New Roman"/>
                <w:spacing w:val="10"/>
                <w:sz w:val="15"/>
                <w:szCs w:val="15"/>
              </w:rPr>
            </w:pPr>
          </w:p>
          <w:p w14:paraId="5AA285EC" w14:textId="77777777" w:rsidR="005C13D8" w:rsidRDefault="00553A62">
            <w:pPr>
              <w:spacing w:line="200" w:lineRule="exact"/>
              <w:ind w:firstLineChars="400" w:firstLine="68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r>
    </w:tbl>
    <w:p w14:paraId="73A308E7" w14:textId="77777777" w:rsidR="005C13D8" w:rsidRDefault="005C13D8">
      <w:pPr>
        <w:spacing w:line="200" w:lineRule="exact"/>
        <w:rPr>
          <w:rFonts w:ascii="方正黑体_GBK" w:eastAsia="方正黑体_GBK" w:hAnsi="Times New Roman"/>
          <w:spacing w:val="10"/>
          <w:sz w:val="15"/>
          <w:szCs w:val="15"/>
        </w:rPr>
        <w:sectPr w:rsidR="005C13D8">
          <w:pgSz w:w="11906" w:h="16838"/>
          <w:pgMar w:top="720" w:right="720" w:bottom="720" w:left="720" w:header="510" w:footer="624" w:gutter="0"/>
          <w:cols w:space="720"/>
          <w:docGrid w:type="lines" w:linePitch="312"/>
        </w:sectPr>
      </w:pPr>
    </w:p>
    <w:p w14:paraId="62DCE29A" w14:textId="77777777" w:rsidR="005C13D8" w:rsidRDefault="00553A62">
      <w:pPr>
        <w:jc w:val="center"/>
        <w:rPr>
          <w:rFonts w:ascii="黑体" w:eastAsia="黑体" w:hAnsi="宋体" w:hint="eastAsia"/>
          <w:b/>
          <w:bCs/>
          <w:sz w:val="24"/>
          <w:szCs w:val="15"/>
        </w:rPr>
      </w:pPr>
      <w:r>
        <w:rPr>
          <w:rFonts w:ascii="黑体" w:eastAsia="黑体" w:hAnsi="宋体" w:hint="eastAsia"/>
          <w:b/>
          <w:bCs/>
          <w:sz w:val="24"/>
          <w:szCs w:val="15"/>
        </w:rPr>
        <w:lastRenderedPageBreak/>
        <w:t>投资者权益须知</w:t>
      </w:r>
    </w:p>
    <w:p w14:paraId="02144989" w14:textId="77777777" w:rsidR="005C13D8" w:rsidRDefault="005C13D8">
      <w:pPr>
        <w:ind w:firstLineChars="200" w:firstLine="321"/>
        <w:jc w:val="center"/>
        <w:rPr>
          <w:rFonts w:ascii="宋体" w:hAnsi="宋体" w:hint="eastAsia"/>
          <w:b/>
          <w:i/>
          <w:sz w:val="16"/>
          <w:szCs w:val="15"/>
          <w:u w:val="single"/>
        </w:rPr>
      </w:pPr>
    </w:p>
    <w:p w14:paraId="39528DC6" w14:textId="77777777" w:rsidR="005C13D8" w:rsidRDefault="00553A62">
      <w:pPr>
        <w:ind w:firstLineChars="200" w:firstLine="321"/>
        <w:jc w:val="center"/>
        <w:rPr>
          <w:rFonts w:ascii="宋体" w:hAnsi="宋体" w:hint="eastAsia"/>
          <w:b/>
          <w:i/>
          <w:sz w:val="16"/>
          <w:szCs w:val="15"/>
          <w:u w:val="single"/>
        </w:rPr>
      </w:pPr>
      <w:r>
        <w:rPr>
          <w:rFonts w:ascii="宋体" w:hAnsi="宋体" w:hint="eastAsia"/>
          <w:b/>
          <w:i/>
          <w:sz w:val="16"/>
          <w:szCs w:val="15"/>
          <w:u w:val="single"/>
        </w:rPr>
        <w:t>“理财非存款、产品有风险、理财产品过往业绩不代表其未来表现，不等于理财产品实际收益，投资须谨慎！”</w:t>
      </w:r>
      <w:r>
        <w:rPr>
          <w:rFonts w:ascii="宋体" w:hAnsi="宋体" w:hint="eastAsia"/>
          <w:b/>
          <w:i/>
          <w:sz w:val="16"/>
          <w:szCs w:val="15"/>
          <w:u w:val="single"/>
        </w:rPr>
        <w:t xml:space="preserve"> </w:t>
      </w:r>
    </w:p>
    <w:p w14:paraId="5FC39FDF" w14:textId="77777777" w:rsidR="005C13D8" w:rsidRDefault="00553A62">
      <w:pPr>
        <w:pStyle w:val="a5"/>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14:paraId="73F24B54" w14:textId="77777777" w:rsidR="005C13D8" w:rsidRDefault="00553A62">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14:paraId="13112D63" w14:textId="77777777" w:rsidR="005C13D8" w:rsidRDefault="00553A62">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permStart w:id="625023865" w:edGrp="everyone"/>
      <w:r>
        <w:rPr>
          <w:rFonts w:hint="eastAsia"/>
          <w:spacing w:val="10"/>
          <w:sz w:val="15"/>
          <w:szCs w:val="15"/>
        </w:rPr>
        <w:t>张家港</w:t>
      </w:r>
      <w:r>
        <w:rPr>
          <w:rFonts w:hint="eastAsia"/>
          <w:spacing w:val="10"/>
          <w:sz w:val="15"/>
          <w:szCs w:val="15"/>
        </w:rPr>
        <w:t>农村商业银行股份有限公司</w:t>
      </w:r>
      <w:permEnd w:id="625023865"/>
      <w:r>
        <w:rPr>
          <w:rFonts w:hint="eastAsia"/>
          <w:color w:val="auto"/>
          <w:spacing w:val="10"/>
          <w:kern w:val="2"/>
          <w:sz w:val="15"/>
          <w:szCs w:val="15"/>
        </w:rPr>
        <w:t>（以下简称“销售机构”）销售的理财产品。</w:t>
      </w:r>
    </w:p>
    <w:p w14:paraId="3E16C885" w14:textId="77777777" w:rsidR="005C13D8" w:rsidRDefault="00553A62">
      <w:pPr>
        <w:pStyle w:val="a5"/>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14:paraId="32AC01F8" w14:textId="77777777" w:rsidR="005C13D8" w:rsidRDefault="00553A62">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（一）首次在销售机构购买理财产品的投资者应按销售机构的要求明确授权指定账户，用于本理财产品的理财资金划转及理财收益、到期清算分配资金的分配，提供并确认正确的联系方式。</w:t>
      </w:r>
    </w:p>
    <w:p w14:paraId="54AA199E" w14:textId="77777777" w:rsidR="005C13D8" w:rsidRDefault="00553A62">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14:paraId="737F2D0B" w14:textId="77777777" w:rsidR="005C13D8" w:rsidRDefault="00553A62">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bCs/>
          <w:spacing w:val="10"/>
          <w:sz w:val="15"/>
          <w:szCs w:val="15"/>
        </w:rPr>
        <w:t>《</w:t>
      </w:r>
      <w:r>
        <w:rPr>
          <w:bCs/>
          <w:spacing w:val="10"/>
          <w:kern w:val="2"/>
          <w:sz w:val="15"/>
          <w:szCs w:val="15"/>
        </w:rPr>
        <w:t>理财产品投资协议书》</w:t>
      </w:r>
      <w:r>
        <w:rPr>
          <w:rFonts w:hint="eastAsia"/>
          <w:bCs/>
          <w:color w:val="auto"/>
          <w:spacing w:val="10"/>
          <w:kern w:val="2"/>
          <w:sz w:val="15"/>
          <w:szCs w:val="15"/>
        </w:rPr>
        <w:t>等，理解并确认理财产品条款及产品风险。</w:t>
      </w:r>
    </w:p>
    <w:p w14:paraId="285D3791" w14:textId="77777777" w:rsidR="005C13D8" w:rsidRDefault="00553A62">
      <w:pPr>
        <w:pStyle w:val="a5"/>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14:paraId="30314A44" w14:textId="77777777" w:rsidR="005C13D8" w:rsidRDefault="00553A62">
      <w:pPr>
        <w:pStyle w:val="a5"/>
        <w:spacing w:before="0" w:after="0" w:line="240" w:lineRule="auto"/>
        <w:ind w:firstLineChars="204" w:firstLine="347"/>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、理财签约</w:t>
      </w:r>
    </w:p>
    <w:p w14:paraId="0902F99A" w14:textId="77777777" w:rsidR="005C13D8" w:rsidRDefault="00553A62">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首次购买理财的个人投资者须进行风险承受能力评估（详见第二条）和理财签约。</w:t>
      </w:r>
    </w:p>
    <w:p w14:paraId="6F2F3DBC" w14:textId="77777777" w:rsidR="005C13D8" w:rsidRDefault="00553A62">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w:t>
      </w:r>
    </w:p>
    <w:p w14:paraId="2A725ADC" w14:textId="77777777" w:rsidR="005C13D8" w:rsidRDefault="00553A62">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个人投资者自主决定是否购买理财产品。在理财产品募集期</w:t>
      </w:r>
      <w:r>
        <w:rPr>
          <w:bCs/>
          <w:color w:val="auto"/>
          <w:spacing w:val="10"/>
          <w:kern w:val="2"/>
          <w:sz w:val="15"/>
          <w:szCs w:val="15"/>
        </w:rPr>
        <w:t>/</w:t>
      </w:r>
      <w:r>
        <w:rPr>
          <w:rFonts w:hint="eastAsia"/>
          <w:bCs/>
          <w:color w:val="auto"/>
          <w:spacing w:val="10"/>
          <w:kern w:val="2"/>
          <w:sz w:val="15"/>
          <w:szCs w:val="15"/>
        </w:rPr>
        <w:t>开放期销售时段内，个人投资者需通过相关电子渠道仔细阅读理财产品销售文件，根据认购</w:t>
      </w:r>
      <w:r>
        <w:rPr>
          <w:bCs/>
          <w:color w:val="auto"/>
          <w:spacing w:val="10"/>
          <w:kern w:val="2"/>
          <w:sz w:val="15"/>
          <w:szCs w:val="15"/>
        </w:rPr>
        <w:t>/</w:t>
      </w:r>
      <w:r>
        <w:rPr>
          <w:rFonts w:hint="eastAsia"/>
          <w:bCs/>
          <w:color w:val="auto"/>
          <w:spacing w:val="10"/>
          <w:kern w:val="2"/>
          <w:sz w:val="15"/>
          <w:szCs w:val="15"/>
        </w:rPr>
        <w:t>申购流程逐项点击确认进行购买，认</w:t>
      </w:r>
      <w:r>
        <w:rPr>
          <w:bCs/>
          <w:color w:val="auto"/>
          <w:spacing w:val="10"/>
          <w:kern w:val="2"/>
          <w:sz w:val="15"/>
          <w:szCs w:val="15"/>
        </w:rPr>
        <w:t>/</w:t>
      </w:r>
      <w:r>
        <w:rPr>
          <w:rFonts w:hint="eastAsia"/>
          <w:bCs/>
          <w:color w:val="auto"/>
          <w:spacing w:val="10"/>
          <w:kern w:val="2"/>
          <w:sz w:val="15"/>
          <w:szCs w:val="15"/>
        </w:rPr>
        <w:t>申购结果以在该等电子渠道的查询结果为准。</w:t>
      </w:r>
    </w:p>
    <w:p w14:paraId="0FB205D0" w14:textId="77777777" w:rsidR="005C13D8" w:rsidRDefault="00553A62">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申购申请撤销。个人投资者在理财产品认购期</w:t>
      </w:r>
      <w:r>
        <w:rPr>
          <w:bCs/>
          <w:color w:val="auto"/>
          <w:spacing w:val="10"/>
          <w:kern w:val="2"/>
          <w:sz w:val="15"/>
          <w:szCs w:val="15"/>
        </w:rPr>
        <w:t>/</w:t>
      </w:r>
      <w:r>
        <w:rPr>
          <w:rFonts w:hint="eastAsia"/>
          <w:bCs/>
          <w:color w:val="auto"/>
          <w:spacing w:val="10"/>
          <w:kern w:val="2"/>
          <w:sz w:val="15"/>
          <w:szCs w:val="15"/>
        </w:rPr>
        <w:t>募集期</w:t>
      </w:r>
      <w:r>
        <w:rPr>
          <w:bCs/>
          <w:color w:val="auto"/>
          <w:spacing w:val="10"/>
          <w:kern w:val="2"/>
          <w:sz w:val="15"/>
          <w:szCs w:val="15"/>
        </w:rPr>
        <w:t>/</w:t>
      </w:r>
      <w:r>
        <w:rPr>
          <w:rFonts w:hint="eastAsia"/>
          <w:bCs/>
          <w:color w:val="auto"/>
          <w:spacing w:val="10"/>
          <w:kern w:val="2"/>
          <w:sz w:val="15"/>
          <w:szCs w:val="15"/>
        </w:rPr>
        <w:t>开放期</w:t>
      </w:r>
      <w:r>
        <w:rPr>
          <w:bCs/>
          <w:color w:val="auto"/>
          <w:spacing w:val="10"/>
          <w:kern w:val="2"/>
          <w:sz w:val="15"/>
          <w:szCs w:val="15"/>
        </w:rPr>
        <w:t>/</w:t>
      </w:r>
      <w:r>
        <w:rPr>
          <w:rFonts w:hint="eastAsia"/>
          <w:bCs/>
          <w:color w:val="auto"/>
          <w:spacing w:val="10"/>
          <w:kern w:val="2"/>
          <w:sz w:val="15"/>
          <w:szCs w:val="15"/>
        </w:rPr>
        <w:t>投资冷静期（私募产品适用）内，可以撤销理财产品相应的认</w:t>
      </w:r>
      <w:r>
        <w:rPr>
          <w:bCs/>
          <w:color w:val="auto"/>
          <w:spacing w:val="10"/>
          <w:kern w:val="2"/>
          <w:sz w:val="15"/>
          <w:szCs w:val="15"/>
        </w:rPr>
        <w:t>/</w:t>
      </w:r>
      <w:r>
        <w:rPr>
          <w:rFonts w:hint="eastAsia"/>
          <w:bCs/>
          <w:color w:val="auto"/>
          <w:spacing w:val="10"/>
          <w:kern w:val="2"/>
          <w:sz w:val="15"/>
          <w:szCs w:val="15"/>
        </w:rPr>
        <w:t>申购申请。</w:t>
      </w:r>
    </w:p>
    <w:p w14:paraId="20EC89B3" w14:textId="77777777" w:rsidR="005C13D8" w:rsidRDefault="00553A62">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4</w:t>
      </w:r>
      <w:r>
        <w:rPr>
          <w:rFonts w:hint="eastAsia"/>
          <w:bCs/>
          <w:color w:val="auto"/>
          <w:spacing w:val="10"/>
          <w:kern w:val="2"/>
          <w:sz w:val="15"/>
          <w:szCs w:val="15"/>
        </w:rPr>
        <w:t>、理财产品提前终止、赎回</w:t>
      </w:r>
      <w:r>
        <w:rPr>
          <w:bCs/>
          <w:color w:val="auto"/>
          <w:spacing w:val="10"/>
          <w:kern w:val="2"/>
          <w:sz w:val="15"/>
          <w:szCs w:val="15"/>
        </w:rPr>
        <w:t>/</w:t>
      </w:r>
      <w:r>
        <w:rPr>
          <w:rFonts w:hint="eastAsia"/>
          <w:bCs/>
          <w:color w:val="auto"/>
          <w:spacing w:val="10"/>
          <w:kern w:val="2"/>
          <w:sz w:val="15"/>
          <w:szCs w:val="15"/>
        </w:rPr>
        <w:t>到期兑付和税收。</w:t>
      </w:r>
    </w:p>
    <w:p w14:paraId="67B6D2E6" w14:textId="77777777" w:rsidR="005C13D8" w:rsidRDefault="00553A62">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提前终止—当理财产品发生全部提前终止时，南银理财和代销机构应当按照对应期次理财产品销售文件约定的方式向个人投资者告知相应理财产品的提前终止事宜。</w:t>
      </w:r>
    </w:p>
    <w:p w14:paraId="7F51181F" w14:textId="77777777" w:rsidR="005C13D8" w:rsidRDefault="00553A62">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赎回</w:t>
      </w:r>
      <w:r>
        <w:rPr>
          <w:bCs/>
          <w:color w:val="auto"/>
          <w:spacing w:val="10"/>
          <w:kern w:val="2"/>
          <w:sz w:val="15"/>
          <w:szCs w:val="15"/>
        </w:rPr>
        <w:t>/</w:t>
      </w:r>
      <w:r>
        <w:rPr>
          <w:rFonts w:hint="eastAsia"/>
          <w:bCs/>
          <w:color w:val="auto"/>
          <w:spacing w:val="10"/>
          <w:kern w:val="2"/>
          <w:sz w:val="15"/>
          <w:szCs w:val="15"/>
        </w:rPr>
        <w:t>到期兑付—南银理财和代销机构应当按照对应期次的理财产品销售文件的相关约定，将赎回兑付款项划入销售文件约定的个人投资者授权指定账户。如果发生特殊情形，造成本理财产品的投资资产无法及时、足额变现，南银理财可以根据实际情况选择向个人投资者提前兑付、延迟兑付或者分次兑付，并及时根据法律法规的要求向个人投资者披露兑付方案。</w:t>
      </w:r>
    </w:p>
    <w:p w14:paraId="454D1C3B" w14:textId="77777777" w:rsidR="005C13D8" w:rsidRDefault="00553A62">
      <w:pPr>
        <w:pStyle w:val="a5"/>
        <w:spacing w:before="0" w:after="0" w:line="240" w:lineRule="auto"/>
        <w:ind w:firstLineChars="200" w:firstLine="340"/>
        <w:jc w:val="both"/>
        <w:rPr>
          <w:b/>
          <w:color w:val="auto"/>
          <w:spacing w:val="10"/>
          <w:kern w:val="2"/>
          <w:sz w:val="15"/>
          <w:szCs w:val="15"/>
        </w:rPr>
      </w:pPr>
      <w:r>
        <w:rPr>
          <w:rFonts w:hint="eastAsia"/>
          <w:bCs/>
          <w:color w:val="auto"/>
          <w:spacing w:val="10"/>
          <w:kern w:val="2"/>
          <w:sz w:val="15"/>
          <w:szCs w:val="15"/>
        </w:rPr>
        <w:t>税收—以对应期次的《理财产品说明书》约定的税务处理方式为准，如遇国家政策调整则相应执行最新政策。</w:t>
      </w:r>
    </w:p>
    <w:p w14:paraId="7DA6F35E" w14:textId="77777777" w:rsidR="005C13D8" w:rsidRDefault="00553A62">
      <w:pPr>
        <w:pStyle w:val="a5"/>
        <w:spacing w:before="0" w:after="0" w:line="240" w:lineRule="auto"/>
        <w:ind w:firstLineChars="200" w:firstLine="341"/>
        <w:jc w:val="both"/>
        <w:rPr>
          <w:bCs/>
          <w:color w:val="auto"/>
          <w:spacing w:val="10"/>
          <w:kern w:val="2"/>
          <w:sz w:val="15"/>
          <w:szCs w:val="15"/>
        </w:rPr>
      </w:pPr>
      <w:r>
        <w:rPr>
          <w:rFonts w:hint="eastAsia"/>
          <w:b/>
          <w:color w:val="auto"/>
          <w:spacing w:val="10"/>
          <w:kern w:val="2"/>
          <w:sz w:val="15"/>
          <w:szCs w:val="15"/>
        </w:rPr>
        <w:t>第二条</w:t>
      </w:r>
      <w:r>
        <w:rPr>
          <w:b/>
          <w:color w:val="auto"/>
          <w:spacing w:val="10"/>
          <w:kern w:val="2"/>
          <w:sz w:val="15"/>
          <w:szCs w:val="15"/>
        </w:rPr>
        <w:t xml:space="preserve"> </w:t>
      </w:r>
      <w:r>
        <w:rPr>
          <w:rFonts w:hint="eastAsia"/>
          <w:b/>
          <w:color w:val="auto"/>
          <w:spacing w:val="10"/>
          <w:kern w:val="2"/>
          <w:sz w:val="15"/>
          <w:szCs w:val="15"/>
        </w:rPr>
        <w:t>投资者风险承受能力评估流程说明</w:t>
      </w:r>
    </w:p>
    <w:p w14:paraId="033A7AD9" w14:textId="77777777" w:rsidR="005C13D8" w:rsidRDefault="00553A62">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14:paraId="176F84AE" w14:textId="77777777" w:rsidR="005C13D8" w:rsidRDefault="00553A62">
      <w:pPr>
        <w:pStyle w:val="a5"/>
        <w:spacing w:before="0" w:after="0" w:line="240" w:lineRule="auto"/>
        <w:ind w:firstLine="338"/>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w:t>
      </w:r>
      <w:r>
        <w:rPr>
          <w:rFonts w:hint="eastAsia"/>
          <w:bCs/>
          <w:color w:val="auto"/>
          <w:spacing w:val="10"/>
          <w:kern w:val="2"/>
          <w:sz w:val="15"/>
          <w:szCs w:val="15"/>
        </w:rPr>
        <w:t>个人投资者首次通过销售机构购买理财产品时应根据销售机构的要求进行风险承受能力评估。</w:t>
      </w:r>
    </w:p>
    <w:p w14:paraId="2E895014" w14:textId="77777777" w:rsidR="005C13D8" w:rsidRDefault="00553A62">
      <w:pPr>
        <w:pStyle w:val="a5"/>
        <w:spacing w:before="0" w:after="0" w:line="240" w:lineRule="auto"/>
        <w:ind w:firstLine="338"/>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14:paraId="4084DC22" w14:textId="77777777" w:rsidR="005C13D8" w:rsidRDefault="00553A62">
      <w:pPr>
        <w:pStyle w:val="a5"/>
        <w:spacing w:before="0" w:after="0" w:line="240" w:lineRule="auto"/>
        <w:ind w:firstLine="338"/>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w:t>
      </w:r>
      <w:r>
        <w:rPr>
          <w:rFonts w:hint="eastAsia"/>
          <w:bCs/>
          <w:color w:val="auto"/>
          <w:spacing w:val="10"/>
          <w:kern w:val="2"/>
          <w:sz w:val="15"/>
          <w:szCs w:val="15"/>
        </w:rPr>
        <w:t>个人投资者风险承受能力评估流程</w:t>
      </w:r>
    </w:p>
    <w:p w14:paraId="27700DA2" w14:textId="77777777" w:rsidR="005C13D8" w:rsidRDefault="00553A62">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1</w:t>
      </w:r>
      <w:r>
        <w:rPr>
          <w:rFonts w:hint="eastAsia"/>
          <w:bCs/>
          <w:color w:val="auto"/>
          <w:spacing w:val="10"/>
          <w:kern w:val="2"/>
          <w:sz w:val="15"/>
          <w:szCs w:val="15"/>
        </w:rPr>
        <w:t>）个人投资者在销售机构进行风险承受能力评估；</w:t>
      </w:r>
    </w:p>
    <w:p w14:paraId="663DC71A" w14:textId="77777777" w:rsidR="005C13D8" w:rsidRDefault="00553A62">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2</w:t>
      </w:r>
      <w:r>
        <w:rPr>
          <w:rFonts w:hint="eastAsia"/>
          <w:bCs/>
          <w:color w:val="auto"/>
          <w:spacing w:val="10"/>
          <w:kern w:val="2"/>
          <w:sz w:val="15"/>
          <w:szCs w:val="15"/>
        </w:rPr>
        <w:t>）填写销售机构个人投资者风险承受能力测试问卷；</w:t>
      </w:r>
    </w:p>
    <w:p w14:paraId="27AA62F0" w14:textId="77777777" w:rsidR="005C13D8" w:rsidRDefault="00553A62">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3</w:t>
      </w:r>
      <w:r>
        <w:rPr>
          <w:rFonts w:hint="eastAsia"/>
          <w:bCs/>
          <w:color w:val="auto"/>
          <w:spacing w:val="10"/>
          <w:kern w:val="2"/>
          <w:sz w:val="15"/>
          <w:szCs w:val="15"/>
        </w:rPr>
        <w:t>）生成相应的个人投资者风险承受能力评估结果；</w:t>
      </w:r>
    </w:p>
    <w:p w14:paraId="60D99AA8" w14:textId="77777777" w:rsidR="005C13D8" w:rsidRDefault="00553A62">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4</w:t>
      </w:r>
      <w:r>
        <w:rPr>
          <w:rFonts w:hint="eastAsia"/>
          <w:bCs/>
          <w:color w:val="auto"/>
          <w:spacing w:val="10"/>
          <w:kern w:val="2"/>
          <w:sz w:val="15"/>
          <w:szCs w:val="15"/>
        </w:rPr>
        <w:t>）投资者对评估结果进行确认。</w:t>
      </w:r>
    </w:p>
    <w:p w14:paraId="2679C516" w14:textId="77777777" w:rsidR="005C13D8" w:rsidRDefault="00553A6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14:paraId="70839664" w14:textId="77777777" w:rsidR="005C13D8" w:rsidRDefault="00553A62">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评级具体含义说明。投资者风险承受能力评估结果的含义如下：</w:t>
      </w:r>
    </w:p>
    <w:p w14:paraId="773E3203" w14:textId="77777777" w:rsidR="005C13D8" w:rsidRDefault="00553A62">
      <w:pPr>
        <w:pStyle w:val="a5"/>
        <w:spacing w:before="0" w:after="0" w:line="240" w:lineRule="auto"/>
        <w:ind w:firstLine="478"/>
        <w:jc w:val="both"/>
        <w:rPr>
          <w:bCs/>
          <w:color w:val="auto"/>
          <w:spacing w:val="10"/>
          <w:kern w:val="2"/>
          <w:sz w:val="15"/>
          <w:szCs w:val="15"/>
        </w:rPr>
      </w:pPr>
      <w:permStart w:id="438008163" w:edGrp="everyone"/>
      <w:r>
        <w:rPr>
          <w:rFonts w:hint="eastAsia"/>
          <w:bCs/>
          <w:color w:val="auto"/>
          <w:spacing w:val="10"/>
          <w:kern w:val="2"/>
          <w:sz w:val="15"/>
          <w:szCs w:val="15"/>
        </w:rPr>
        <w:t xml:space="preserve"> </w:t>
      </w:r>
      <w:r>
        <w:rPr>
          <w:rFonts w:hint="eastAsia"/>
          <w:bCs/>
          <w:color w:val="auto"/>
          <w:spacing w:val="10"/>
          <w:kern w:val="2"/>
          <w:sz w:val="15"/>
          <w:szCs w:val="15"/>
        </w:rPr>
        <w:t>保守型投资者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总体风险程度低，</w:t>
      </w:r>
      <w:r>
        <w:rPr>
          <w:rFonts w:hint="eastAsia"/>
          <w:bCs/>
          <w:color w:val="auto"/>
          <w:spacing w:val="10"/>
          <w:kern w:val="2"/>
          <w:sz w:val="15"/>
          <w:szCs w:val="15"/>
        </w:rPr>
        <w:t>投资风格谨慎，</w:t>
      </w:r>
      <w:r>
        <w:rPr>
          <w:rFonts w:hint="eastAsia"/>
          <w:bCs/>
          <w:color w:val="auto"/>
          <w:spacing w:val="10"/>
          <w:kern w:val="2"/>
          <w:sz w:val="15"/>
          <w:szCs w:val="15"/>
        </w:rPr>
        <w:t>您适合投资的</w:t>
      </w:r>
      <w:r>
        <w:rPr>
          <w:rFonts w:hint="eastAsia"/>
          <w:bCs/>
          <w:color w:val="auto"/>
          <w:spacing w:val="10"/>
          <w:kern w:val="2"/>
          <w:sz w:val="15"/>
          <w:szCs w:val="15"/>
        </w:rPr>
        <w:t>产品本金和收益受市场、政策等因素变化的影响极低。净值型产品发生净值回撤的概率极低，无法实现业绩基准的可能性极低。</w:t>
      </w:r>
    </w:p>
    <w:p w14:paraId="6284BAA5" w14:textId="77777777" w:rsidR="005C13D8" w:rsidRDefault="00553A6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稳健型投资者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总体风险程度较低，投资风格</w:t>
      </w:r>
      <w:r>
        <w:rPr>
          <w:rFonts w:hint="eastAsia"/>
          <w:bCs/>
          <w:color w:val="auto"/>
          <w:spacing w:val="10"/>
          <w:kern w:val="2"/>
          <w:sz w:val="15"/>
          <w:szCs w:val="15"/>
        </w:rPr>
        <w:t>稳健</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可能</w:t>
      </w:r>
      <w:r>
        <w:rPr>
          <w:rFonts w:hint="eastAsia"/>
          <w:bCs/>
          <w:color w:val="auto"/>
          <w:spacing w:val="10"/>
          <w:kern w:val="2"/>
          <w:sz w:val="15"/>
          <w:szCs w:val="15"/>
        </w:rPr>
        <w:t>发生</w:t>
      </w:r>
      <w:r>
        <w:rPr>
          <w:rFonts w:hint="eastAsia"/>
          <w:bCs/>
          <w:color w:val="auto"/>
          <w:spacing w:val="10"/>
          <w:kern w:val="2"/>
          <w:sz w:val="15"/>
          <w:szCs w:val="15"/>
        </w:rPr>
        <w:t>小幅</w:t>
      </w:r>
      <w:r>
        <w:rPr>
          <w:rFonts w:hint="eastAsia"/>
          <w:bCs/>
          <w:color w:val="auto"/>
          <w:spacing w:val="10"/>
          <w:kern w:val="2"/>
          <w:sz w:val="15"/>
          <w:szCs w:val="15"/>
        </w:rPr>
        <w:t>回撤</w:t>
      </w:r>
      <w:r>
        <w:rPr>
          <w:rFonts w:hint="eastAsia"/>
          <w:bCs/>
          <w:color w:val="auto"/>
          <w:spacing w:val="10"/>
          <w:kern w:val="2"/>
          <w:sz w:val="15"/>
          <w:szCs w:val="15"/>
        </w:rPr>
        <w:t>，本金出现损失的可能性较低，</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p>
    <w:p w14:paraId="2DB73CB0" w14:textId="77777777" w:rsidR="005C13D8" w:rsidRDefault="00553A6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lastRenderedPageBreak/>
        <w:t>平衡型投资者：</w:t>
      </w:r>
      <w:r>
        <w:rPr>
          <w:rFonts w:hint="eastAsia"/>
          <w:bCs/>
          <w:color w:val="auto"/>
          <w:spacing w:val="10"/>
          <w:kern w:val="2"/>
          <w:sz w:val="15"/>
          <w:szCs w:val="15"/>
        </w:rPr>
        <w:t>您的</w:t>
      </w:r>
      <w:r>
        <w:rPr>
          <w:rFonts w:hint="eastAsia"/>
          <w:bCs/>
          <w:color w:val="auto"/>
          <w:spacing w:val="10"/>
          <w:kern w:val="2"/>
          <w:sz w:val="15"/>
          <w:szCs w:val="15"/>
        </w:rPr>
        <w:t>总体风险程度适中，投资风格</w:t>
      </w:r>
      <w:r>
        <w:rPr>
          <w:rFonts w:hint="eastAsia"/>
          <w:bCs/>
          <w:color w:val="auto"/>
          <w:spacing w:val="10"/>
          <w:kern w:val="2"/>
          <w:sz w:val="15"/>
          <w:szCs w:val="15"/>
        </w:rPr>
        <w:t>中性</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跟随市场情况和投资策略有所波动，</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，也面临一定程度的本金风险</w:t>
      </w:r>
      <w:r>
        <w:rPr>
          <w:rFonts w:hint="eastAsia"/>
          <w:bCs/>
          <w:color w:val="auto"/>
          <w:spacing w:val="10"/>
          <w:kern w:val="2"/>
          <w:sz w:val="15"/>
          <w:szCs w:val="15"/>
        </w:rPr>
        <w:t>。</w:t>
      </w:r>
    </w:p>
    <w:p w14:paraId="2A0236ED" w14:textId="77777777" w:rsidR="005C13D8" w:rsidRDefault="00553A6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积极型投资者：您的</w:t>
      </w:r>
      <w:r>
        <w:rPr>
          <w:rFonts w:hint="eastAsia"/>
          <w:bCs/>
          <w:color w:val="auto"/>
          <w:spacing w:val="10"/>
          <w:kern w:val="2"/>
          <w:sz w:val="15"/>
          <w:szCs w:val="15"/>
        </w:rPr>
        <w:t>总体风险程度较高，投资风格</w:t>
      </w:r>
      <w:r>
        <w:rPr>
          <w:rFonts w:hint="eastAsia"/>
          <w:bCs/>
          <w:color w:val="auto"/>
          <w:spacing w:val="10"/>
          <w:kern w:val="2"/>
          <w:sz w:val="15"/>
          <w:szCs w:val="15"/>
        </w:rPr>
        <w:t>积极</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跟随市场情况和投资策略有明显波动，</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较大，产品本金风险不容忽视</w:t>
      </w:r>
      <w:r>
        <w:rPr>
          <w:rFonts w:hint="eastAsia"/>
          <w:bCs/>
          <w:color w:val="auto"/>
          <w:spacing w:val="10"/>
          <w:kern w:val="2"/>
          <w:sz w:val="15"/>
          <w:szCs w:val="15"/>
        </w:rPr>
        <w:t>。</w:t>
      </w:r>
    </w:p>
    <w:p w14:paraId="4B269C8D" w14:textId="77777777" w:rsidR="005C13D8" w:rsidRDefault="00553A6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 xml:space="preserve"> </w:t>
      </w:r>
      <w:r>
        <w:rPr>
          <w:rFonts w:hint="eastAsia"/>
          <w:bCs/>
          <w:color w:val="auto"/>
          <w:spacing w:val="10"/>
          <w:kern w:val="2"/>
          <w:sz w:val="15"/>
          <w:szCs w:val="15"/>
        </w:rPr>
        <w:t>激进型投资者：您的</w:t>
      </w:r>
      <w:r>
        <w:rPr>
          <w:rFonts w:hint="eastAsia"/>
          <w:bCs/>
          <w:color w:val="auto"/>
          <w:spacing w:val="10"/>
          <w:kern w:val="2"/>
          <w:sz w:val="15"/>
          <w:szCs w:val="15"/>
        </w:rPr>
        <w:t>总体风险程度高，投资风格</w:t>
      </w:r>
      <w:r>
        <w:rPr>
          <w:rFonts w:hint="eastAsia"/>
          <w:bCs/>
          <w:color w:val="auto"/>
          <w:spacing w:val="10"/>
          <w:kern w:val="2"/>
          <w:sz w:val="15"/>
          <w:szCs w:val="15"/>
        </w:rPr>
        <w:t>激进</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跟随市场情况和投资策略有大幅波动，产品净值有极大可能出现大幅回撤，</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极高，本金大幅损失的可能性极高</w:t>
      </w:r>
      <w:r>
        <w:rPr>
          <w:rFonts w:hint="eastAsia"/>
          <w:bCs/>
          <w:color w:val="auto"/>
          <w:spacing w:val="10"/>
          <w:kern w:val="2"/>
          <w:sz w:val="15"/>
          <w:szCs w:val="15"/>
        </w:rPr>
        <w:t>。</w:t>
      </w:r>
    </w:p>
    <w:permEnd w:id="438008163"/>
    <w:p w14:paraId="3AEE1BF1" w14:textId="77777777" w:rsidR="005C13D8" w:rsidRDefault="00553A62">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（二）机构投资者风险承受能力评估流程说明</w:t>
      </w:r>
    </w:p>
    <w:p w14:paraId="2BF37C63" w14:textId="77777777" w:rsidR="005C13D8" w:rsidRDefault="00553A6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14:paraId="19F18D2C" w14:textId="77777777" w:rsidR="005C13D8" w:rsidRDefault="00553A62">
      <w:pPr>
        <w:pStyle w:val="a5"/>
        <w:spacing w:before="0" w:after="0" w:line="240" w:lineRule="auto"/>
        <w:ind w:firstLine="478"/>
        <w:jc w:val="both"/>
        <w:rPr>
          <w:bCs/>
          <w:color w:val="auto"/>
          <w:spacing w:val="10"/>
          <w:kern w:val="2"/>
          <w:sz w:val="15"/>
          <w:szCs w:val="15"/>
        </w:rPr>
      </w:pPr>
      <w:r>
        <w:rPr>
          <w:rFonts w:hint="eastAsia"/>
          <w:b/>
          <w:color w:val="auto"/>
          <w:spacing w:val="10"/>
          <w:kern w:val="2"/>
          <w:sz w:val="15"/>
          <w:szCs w:val="15"/>
        </w:rPr>
        <w:t>第三条</w:t>
      </w:r>
      <w:r>
        <w:rPr>
          <w:b/>
          <w:color w:val="auto"/>
          <w:spacing w:val="10"/>
          <w:kern w:val="2"/>
          <w:sz w:val="15"/>
          <w:szCs w:val="15"/>
        </w:rPr>
        <w:t xml:space="preserve"> </w:t>
      </w:r>
      <w:r>
        <w:rPr>
          <w:rFonts w:hint="eastAsia"/>
          <w:b/>
          <w:color w:val="auto"/>
          <w:spacing w:val="10"/>
          <w:kern w:val="2"/>
          <w:sz w:val="15"/>
          <w:szCs w:val="15"/>
        </w:rPr>
        <w:t>理财产品风险等级说明</w:t>
      </w:r>
    </w:p>
    <w:p w14:paraId="7802B5DD" w14:textId="77777777" w:rsidR="005C13D8" w:rsidRDefault="00553A62">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color w:val="auto"/>
          <w:spacing w:val="10"/>
          <w:kern w:val="2"/>
          <w:sz w:val="15"/>
          <w:szCs w:val="15"/>
        </w:rPr>
        <w:t>PR4</w:t>
      </w:r>
      <w:r>
        <w:rPr>
          <w:rFonts w:hint="eastAsia"/>
          <w:color w:val="auto"/>
          <w:spacing w:val="10"/>
          <w:kern w:val="2"/>
          <w:sz w:val="15"/>
          <w:szCs w:val="15"/>
        </w:rPr>
        <w:t>级（中高风险）、</w:t>
      </w:r>
      <w:r>
        <w:rPr>
          <w:color w:val="auto"/>
          <w:spacing w:val="10"/>
          <w:kern w:val="2"/>
          <w:sz w:val="15"/>
          <w:szCs w:val="15"/>
        </w:rPr>
        <w:t>PR5</w:t>
      </w:r>
      <w:r>
        <w:rPr>
          <w:rFonts w:hint="eastAsia"/>
          <w:color w:val="auto"/>
          <w:spacing w:val="10"/>
          <w:kern w:val="2"/>
          <w:sz w:val="15"/>
          <w:szCs w:val="15"/>
        </w:rPr>
        <w:t>级（高风险）。</w:t>
      </w:r>
    </w:p>
    <w:p w14:paraId="17E88B99" w14:textId="77777777" w:rsidR="005C13D8" w:rsidRDefault="00553A62">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14:paraId="177D35D4" w14:textId="77777777" w:rsidR="005C13D8" w:rsidRDefault="00553A62">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14:paraId="2AEBC596" w14:textId="77777777" w:rsidR="005C13D8" w:rsidRDefault="00553A62">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14:paraId="45B7427B" w14:textId="77777777" w:rsidR="005C13D8" w:rsidRDefault="00553A62">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14:paraId="3628E029" w14:textId="77777777" w:rsidR="005C13D8" w:rsidRDefault="00553A62">
      <w:pPr>
        <w:pStyle w:val="a5"/>
        <w:spacing w:before="0" w:after="0" w:line="240" w:lineRule="auto"/>
        <w:ind w:firstLineChars="198" w:firstLine="337"/>
        <w:jc w:val="both"/>
      </w:pPr>
      <w:r>
        <w:rPr>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14:paraId="5191C421" w14:textId="77777777" w:rsidR="005C13D8" w:rsidRDefault="00553A62">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本风险等级为南银理财风险评级结果，该产品通过代理销售机构渠道销售的，理财产品评级应当以代理销售机构最终披露的评级结果为准。您需充分认识投资风险，谨慎投资。</w:t>
      </w:r>
    </w:p>
    <w:p w14:paraId="2CA9552E" w14:textId="77777777" w:rsidR="005C13D8" w:rsidRDefault="00553A62">
      <w:pPr>
        <w:pStyle w:val="a5"/>
        <w:spacing w:before="0" w:after="0" w:line="240" w:lineRule="auto"/>
        <w:ind w:firstLineChars="200" w:firstLine="341"/>
        <w:jc w:val="both"/>
      </w:pPr>
      <w:r>
        <w:rPr>
          <w:rFonts w:hint="eastAsia"/>
          <w:b/>
          <w:color w:val="auto"/>
          <w:spacing w:val="10"/>
          <w:kern w:val="2"/>
          <w:sz w:val="15"/>
          <w:szCs w:val="15"/>
        </w:rPr>
        <w:t>【代理</w:t>
      </w:r>
      <w:r>
        <w:rPr>
          <w:rFonts w:hint="eastAsia"/>
          <w:b/>
          <w:color w:val="auto"/>
          <w:spacing w:val="10"/>
          <w:kern w:val="2"/>
          <w:sz w:val="15"/>
          <w:szCs w:val="15"/>
        </w:rPr>
        <w:t>销售机构在开展代理销售业务前应对理财产品进行尽职调查并根据理财产品的投资范围、投资资产、投资比例和风险状况等因素对理财产品进行风险等级评估，当南银理财对理财产品的风险等级评估结果与</w:t>
      </w:r>
      <w:r>
        <w:rPr>
          <w:rFonts w:hint="eastAsia"/>
          <w:b/>
          <w:color w:val="auto"/>
          <w:spacing w:val="10"/>
          <w:kern w:val="2"/>
          <w:sz w:val="15"/>
          <w:szCs w:val="15"/>
        </w:rPr>
        <w:t>代理</w:t>
      </w:r>
      <w:r>
        <w:rPr>
          <w:rFonts w:hint="eastAsia"/>
          <w:b/>
          <w:color w:val="auto"/>
          <w:spacing w:val="10"/>
          <w:kern w:val="2"/>
          <w:sz w:val="15"/>
          <w:szCs w:val="15"/>
        </w:rPr>
        <w:t>销售机构不一致时，</w:t>
      </w:r>
      <w:r>
        <w:rPr>
          <w:rFonts w:hint="eastAsia"/>
          <w:b/>
          <w:color w:val="auto"/>
          <w:spacing w:val="10"/>
          <w:kern w:val="2"/>
          <w:sz w:val="15"/>
          <w:szCs w:val="15"/>
        </w:rPr>
        <w:t>代理</w:t>
      </w:r>
      <w:r>
        <w:rPr>
          <w:rFonts w:hint="eastAsia"/>
          <w:b/>
          <w:color w:val="auto"/>
          <w:spacing w:val="10"/>
          <w:kern w:val="2"/>
          <w:sz w:val="15"/>
          <w:szCs w:val="15"/>
        </w:rPr>
        <w:t>销售机构应当采用较高风险等级评估结果，按较高的风险等级评估结果向投资者进行充分的风险提示并推介理财产品，确保个人投资者的风险承受能力等级不低于本理财产品风险等级。</w:t>
      </w:r>
      <w:r>
        <w:rPr>
          <w:rFonts w:hint="eastAsia"/>
          <w:b/>
          <w:color w:val="auto"/>
          <w:spacing w:val="10"/>
          <w:kern w:val="2"/>
          <w:sz w:val="15"/>
          <w:szCs w:val="15"/>
        </w:rPr>
        <w:t>】</w:t>
      </w:r>
    </w:p>
    <w:p w14:paraId="24515B70" w14:textId="77777777" w:rsidR="005C13D8" w:rsidRDefault="00553A62">
      <w:pPr>
        <w:pStyle w:val="a5"/>
        <w:spacing w:before="0" w:after="0" w:line="240" w:lineRule="auto"/>
        <w:ind w:firstLineChars="198" w:firstLine="338"/>
        <w:jc w:val="both"/>
        <w:rPr>
          <w:b/>
          <w:bCs/>
          <w:color w:val="auto"/>
          <w:spacing w:val="10"/>
          <w:kern w:val="2"/>
          <w:sz w:val="15"/>
          <w:szCs w:val="15"/>
        </w:rPr>
      </w:pPr>
      <w:r>
        <w:rPr>
          <w:rFonts w:hint="eastAsia"/>
          <w:b/>
          <w:bCs/>
          <w:color w:val="auto"/>
          <w:spacing w:val="10"/>
          <w:kern w:val="2"/>
          <w:sz w:val="15"/>
          <w:szCs w:val="15"/>
        </w:rPr>
        <w:t>第四条</w:t>
      </w:r>
      <w:r>
        <w:rPr>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p w14:paraId="30028D62" w14:textId="77777777" w:rsidR="005C13D8" w:rsidRDefault="005C13D8">
      <w:pPr>
        <w:pStyle w:val="a5"/>
        <w:spacing w:before="0" w:after="0" w:line="240" w:lineRule="auto"/>
        <w:ind w:firstLineChars="200" w:firstLine="341"/>
        <w:jc w:val="center"/>
        <w:rPr>
          <w:b/>
          <w:color w:val="auto"/>
          <w:spacing w:val="10"/>
          <w:kern w:val="2"/>
          <w:sz w:val="15"/>
          <w:szCs w:val="15"/>
        </w:rPr>
      </w:pPr>
    </w:p>
    <w:tbl>
      <w:tblPr>
        <w:tblW w:w="5796" w:type="dxa"/>
        <w:jc w:val="center"/>
        <w:tblLayout w:type="fixed"/>
        <w:tblLook w:val="04A0" w:firstRow="1" w:lastRow="0" w:firstColumn="1" w:lastColumn="0" w:noHBand="0" w:noVBand="1"/>
      </w:tblPr>
      <w:tblGrid>
        <w:gridCol w:w="1866"/>
        <w:gridCol w:w="741"/>
        <w:gridCol w:w="816"/>
        <w:gridCol w:w="816"/>
        <w:gridCol w:w="816"/>
        <w:gridCol w:w="741"/>
      </w:tblGrid>
      <w:tr w:rsidR="005C13D8" w14:paraId="0D0D3C44" w14:textId="77777777">
        <w:trPr>
          <w:trHeight w:val="178"/>
          <w:jc w:val="center"/>
        </w:trPr>
        <w:tc>
          <w:tcPr>
            <w:tcW w:w="1866" w:type="dxa"/>
            <w:vMerge w:val="restart"/>
            <w:tcBorders>
              <w:top w:val="single" w:sz="4" w:space="0" w:color="auto"/>
              <w:left w:val="single" w:sz="4" w:space="0" w:color="auto"/>
              <w:right w:val="single" w:sz="4" w:space="0" w:color="auto"/>
            </w:tcBorders>
            <w:vAlign w:val="center"/>
          </w:tcPr>
          <w:p w14:paraId="3E3DC4B6" w14:textId="77777777" w:rsidR="005C13D8" w:rsidRDefault="00553A62">
            <w:pPr>
              <w:widowControl/>
              <w:snapToGrid w:val="0"/>
              <w:jc w:val="center"/>
              <w:rPr>
                <w:rFonts w:ascii="宋体" w:hAnsi="宋体" w:cs="宋体" w:hint="eastAsia"/>
                <w:kern w:val="0"/>
                <w:sz w:val="15"/>
                <w:szCs w:val="15"/>
              </w:rPr>
            </w:pPr>
            <w:r>
              <w:rPr>
                <w:rFonts w:ascii="宋体" w:hAnsi="宋体" w:cs="宋体" w:hint="eastAsia"/>
                <w:kern w:val="0"/>
                <w:sz w:val="15"/>
                <w:szCs w:val="15"/>
              </w:rPr>
              <w:t>个人投资者风险承受能力</w:t>
            </w:r>
          </w:p>
          <w:p w14:paraId="53C3ADEC" w14:textId="77777777" w:rsidR="005C13D8" w:rsidRDefault="00553A62">
            <w:pPr>
              <w:widowControl/>
              <w:snapToGrid w:val="0"/>
              <w:jc w:val="center"/>
              <w:rPr>
                <w:rFonts w:ascii="宋体" w:hAnsi="宋体" w:cs="宋体" w:hint="eastAsia"/>
                <w:kern w:val="0"/>
                <w:sz w:val="15"/>
                <w:szCs w:val="15"/>
              </w:rPr>
            </w:pPr>
            <w:r>
              <w:rPr>
                <w:rFonts w:ascii="宋体" w:hAnsi="宋体" w:cs="宋体" w:hint="eastAsia"/>
                <w:kern w:val="0"/>
                <w:sz w:val="15"/>
                <w:szCs w:val="15"/>
              </w:rPr>
              <w:t>等级</w:t>
            </w:r>
          </w:p>
        </w:tc>
        <w:tc>
          <w:tcPr>
            <w:tcW w:w="3930" w:type="dxa"/>
            <w:gridSpan w:val="5"/>
            <w:tcBorders>
              <w:top w:val="single" w:sz="4" w:space="0" w:color="auto"/>
              <w:left w:val="nil"/>
              <w:bottom w:val="single" w:sz="4" w:space="0" w:color="auto"/>
              <w:right w:val="single" w:sz="4" w:space="0" w:color="auto"/>
            </w:tcBorders>
            <w:vAlign w:val="center"/>
          </w:tcPr>
          <w:p w14:paraId="5A13783D" w14:textId="77777777" w:rsidR="005C13D8" w:rsidRDefault="00553A62">
            <w:pPr>
              <w:widowControl/>
              <w:snapToGrid w:val="0"/>
              <w:jc w:val="center"/>
              <w:rPr>
                <w:rFonts w:ascii="宋体" w:hAnsi="宋体" w:cs="宋体" w:hint="eastAsia"/>
                <w:kern w:val="0"/>
                <w:sz w:val="15"/>
                <w:szCs w:val="15"/>
              </w:rPr>
            </w:pPr>
            <w:r>
              <w:rPr>
                <w:rFonts w:ascii="宋体" w:hAnsi="宋体" w:cs="宋体" w:hint="eastAsia"/>
                <w:kern w:val="0"/>
                <w:sz w:val="15"/>
                <w:szCs w:val="15"/>
              </w:rPr>
              <w:t>南银理财理财产品风险等级</w:t>
            </w:r>
          </w:p>
        </w:tc>
      </w:tr>
      <w:tr w:rsidR="005C13D8" w14:paraId="53697183" w14:textId="77777777">
        <w:trPr>
          <w:trHeight w:val="735"/>
          <w:jc w:val="center"/>
        </w:trPr>
        <w:tc>
          <w:tcPr>
            <w:tcW w:w="1866" w:type="dxa"/>
            <w:vMerge/>
            <w:tcBorders>
              <w:left w:val="single" w:sz="4" w:space="0" w:color="auto"/>
              <w:bottom w:val="single" w:sz="4" w:space="0" w:color="auto"/>
              <w:right w:val="single" w:sz="4" w:space="0" w:color="auto"/>
            </w:tcBorders>
            <w:vAlign w:val="center"/>
          </w:tcPr>
          <w:p w14:paraId="6217D953" w14:textId="77777777" w:rsidR="005C13D8" w:rsidRDefault="005C13D8">
            <w:pPr>
              <w:widowControl/>
              <w:snapToGrid w:val="0"/>
              <w:jc w:val="center"/>
              <w:rPr>
                <w:rFonts w:ascii="宋体" w:hAnsi="宋体" w:cs="宋体" w:hint="eastAsia"/>
                <w:kern w:val="0"/>
                <w:sz w:val="15"/>
                <w:szCs w:val="15"/>
              </w:rPr>
            </w:pPr>
          </w:p>
        </w:tc>
        <w:tc>
          <w:tcPr>
            <w:tcW w:w="741" w:type="dxa"/>
            <w:tcBorders>
              <w:top w:val="single" w:sz="4" w:space="0" w:color="auto"/>
              <w:left w:val="nil"/>
              <w:bottom w:val="single" w:sz="4" w:space="0" w:color="auto"/>
              <w:right w:val="single" w:sz="4" w:space="0" w:color="auto"/>
            </w:tcBorders>
            <w:vAlign w:val="center"/>
          </w:tcPr>
          <w:p w14:paraId="604F1DA2" w14:textId="77777777" w:rsidR="005C13D8" w:rsidRDefault="00553A62">
            <w:pPr>
              <w:widowControl/>
              <w:snapToGrid w:val="0"/>
              <w:jc w:val="center"/>
              <w:rPr>
                <w:rFonts w:ascii="宋体" w:hAnsi="宋体" w:cs="宋体" w:hint="eastAsia"/>
                <w:kern w:val="0"/>
                <w:sz w:val="15"/>
                <w:szCs w:val="15"/>
              </w:rPr>
            </w:pPr>
            <w:r>
              <w:rPr>
                <w:rFonts w:ascii="宋体" w:hAnsi="宋体" w:cs="宋体" w:hint="eastAsia"/>
                <w:kern w:val="0"/>
                <w:sz w:val="15"/>
                <w:szCs w:val="15"/>
              </w:rPr>
              <w:t>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PR1</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3B5CC6A7" w14:textId="77777777" w:rsidR="005C13D8" w:rsidRDefault="00553A62">
            <w:pPr>
              <w:widowControl/>
              <w:snapToGrid w:val="0"/>
              <w:jc w:val="center"/>
              <w:rPr>
                <w:rFonts w:ascii="宋体" w:hAnsi="宋体" w:cs="宋体" w:hint="eastAsia"/>
                <w:kern w:val="0"/>
                <w:sz w:val="15"/>
                <w:szCs w:val="15"/>
              </w:rPr>
            </w:pPr>
            <w:r>
              <w:rPr>
                <w:rFonts w:ascii="宋体" w:hAnsi="宋体" w:cs="宋体" w:hint="eastAsia"/>
                <w:kern w:val="0"/>
                <w:sz w:val="15"/>
                <w:szCs w:val="15"/>
              </w:rPr>
              <w:t>中低风险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PR2</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50F113EE" w14:textId="77777777" w:rsidR="005C13D8" w:rsidRDefault="00553A62">
            <w:pPr>
              <w:widowControl/>
              <w:snapToGrid w:val="0"/>
              <w:jc w:val="center"/>
              <w:rPr>
                <w:rFonts w:ascii="宋体" w:hAnsi="宋体" w:cs="宋体" w:hint="eastAsia"/>
                <w:kern w:val="0"/>
                <w:sz w:val="15"/>
                <w:szCs w:val="15"/>
              </w:rPr>
            </w:pPr>
            <w:r>
              <w:rPr>
                <w:rFonts w:ascii="宋体" w:hAnsi="宋体" w:cs="宋体" w:hint="eastAsia"/>
                <w:kern w:val="0"/>
                <w:sz w:val="15"/>
                <w:szCs w:val="15"/>
              </w:rPr>
              <w:t>中等风险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PR3</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23BFB487" w14:textId="77777777" w:rsidR="005C13D8" w:rsidRDefault="00553A62">
            <w:pPr>
              <w:widowControl/>
              <w:snapToGrid w:val="0"/>
              <w:jc w:val="center"/>
              <w:rPr>
                <w:rFonts w:ascii="宋体" w:hAnsi="宋体" w:cs="宋体" w:hint="eastAsia"/>
                <w:kern w:val="0"/>
                <w:sz w:val="15"/>
                <w:szCs w:val="15"/>
              </w:rPr>
            </w:pPr>
            <w:r>
              <w:rPr>
                <w:rFonts w:ascii="宋体" w:hAnsi="宋体" w:cs="宋体" w:hint="eastAsia"/>
                <w:kern w:val="0"/>
                <w:sz w:val="15"/>
                <w:szCs w:val="15"/>
              </w:rPr>
              <w:t>中高风险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PR4</w:t>
            </w:r>
            <w:r>
              <w:rPr>
                <w:rFonts w:ascii="宋体" w:hAnsi="宋体" w:cs="宋体" w:hint="eastAsia"/>
                <w:kern w:val="0"/>
                <w:sz w:val="15"/>
                <w:szCs w:val="15"/>
              </w:rPr>
              <w:t>）</w:t>
            </w:r>
          </w:p>
        </w:tc>
        <w:tc>
          <w:tcPr>
            <w:tcW w:w="741" w:type="dxa"/>
            <w:tcBorders>
              <w:top w:val="single" w:sz="4" w:space="0" w:color="auto"/>
              <w:left w:val="nil"/>
              <w:bottom w:val="single" w:sz="4" w:space="0" w:color="auto"/>
              <w:right w:val="single" w:sz="4" w:space="0" w:color="auto"/>
            </w:tcBorders>
            <w:vAlign w:val="center"/>
          </w:tcPr>
          <w:p w14:paraId="0A44FA81" w14:textId="77777777" w:rsidR="005C13D8" w:rsidRDefault="00553A62">
            <w:pPr>
              <w:widowControl/>
              <w:snapToGrid w:val="0"/>
              <w:jc w:val="center"/>
              <w:rPr>
                <w:rFonts w:ascii="宋体" w:hAnsi="宋体" w:cs="宋体" w:hint="eastAsia"/>
                <w:kern w:val="0"/>
                <w:sz w:val="15"/>
                <w:szCs w:val="15"/>
              </w:rPr>
            </w:pPr>
            <w:r>
              <w:rPr>
                <w:rFonts w:ascii="宋体" w:hAnsi="宋体" w:cs="宋体" w:hint="eastAsia"/>
                <w:kern w:val="0"/>
                <w:sz w:val="15"/>
                <w:szCs w:val="15"/>
              </w:rPr>
              <w:t>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PR5</w:t>
            </w:r>
            <w:r>
              <w:rPr>
                <w:rFonts w:ascii="宋体" w:hAnsi="宋体" w:cs="宋体" w:hint="eastAsia"/>
                <w:kern w:val="0"/>
                <w:sz w:val="15"/>
                <w:szCs w:val="15"/>
              </w:rPr>
              <w:t>）</w:t>
            </w:r>
          </w:p>
        </w:tc>
      </w:tr>
      <w:tr w:rsidR="005C13D8" w14:paraId="73CF37F7"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2793FB4F" w14:textId="77777777" w:rsidR="005C13D8" w:rsidRDefault="00553A62">
            <w:pPr>
              <w:widowControl/>
              <w:snapToGrid w:val="0"/>
              <w:jc w:val="center"/>
              <w:rPr>
                <w:rFonts w:ascii="宋体" w:hAnsi="宋体" w:cs="宋体" w:hint="eastAsia"/>
                <w:kern w:val="0"/>
                <w:sz w:val="15"/>
                <w:szCs w:val="15"/>
              </w:rPr>
            </w:pPr>
            <w:permStart w:id="1899899025" w:edGrp="everyone"/>
            <w:r>
              <w:rPr>
                <w:rFonts w:ascii="宋体" w:hAnsi="宋体" w:cs="宋体" w:hint="eastAsia"/>
                <w:kern w:val="0"/>
                <w:sz w:val="15"/>
                <w:szCs w:val="15"/>
              </w:rPr>
              <w:t>一级（保守型投资者）</w:t>
            </w:r>
            <w:permEnd w:id="1899899025"/>
          </w:p>
        </w:tc>
        <w:tc>
          <w:tcPr>
            <w:tcW w:w="741" w:type="dxa"/>
            <w:tcBorders>
              <w:top w:val="nil"/>
              <w:left w:val="nil"/>
              <w:bottom w:val="single" w:sz="4" w:space="0" w:color="auto"/>
              <w:right w:val="single" w:sz="4" w:space="0" w:color="auto"/>
            </w:tcBorders>
          </w:tcPr>
          <w:p w14:paraId="5C1CD9B9" w14:textId="77777777" w:rsidR="005C13D8" w:rsidRDefault="00553A62">
            <w:pPr>
              <w:widowControl/>
              <w:snapToGrid w:val="0"/>
              <w:jc w:val="center"/>
              <w:rPr>
                <w:rFonts w:ascii="宋体" w:hAnsi="宋体" w:cs="宋体" w:hint="eastAsia"/>
                <w:kern w:val="0"/>
                <w:sz w:val="15"/>
                <w:szCs w:val="15"/>
              </w:rPr>
            </w:pPr>
            <w:permStart w:id="2063218173" w:edGrp="everyone"/>
            <w:r>
              <w:rPr>
                <w:rFonts w:ascii="宋体" w:hAnsi="宋体" w:cs="宋体" w:hint="eastAsia"/>
                <w:kern w:val="0"/>
                <w:sz w:val="15"/>
                <w:szCs w:val="15"/>
              </w:rPr>
              <w:t>√</w:t>
            </w:r>
            <w:permEnd w:id="2063218173"/>
          </w:p>
        </w:tc>
        <w:tc>
          <w:tcPr>
            <w:tcW w:w="816" w:type="dxa"/>
            <w:tcBorders>
              <w:top w:val="nil"/>
              <w:left w:val="nil"/>
              <w:bottom w:val="single" w:sz="4" w:space="0" w:color="auto"/>
              <w:right w:val="single" w:sz="4" w:space="0" w:color="auto"/>
            </w:tcBorders>
          </w:tcPr>
          <w:p w14:paraId="1DA39897" w14:textId="77777777" w:rsidR="005C13D8" w:rsidRDefault="00553A62">
            <w:pPr>
              <w:widowControl/>
              <w:snapToGrid w:val="0"/>
              <w:jc w:val="center"/>
              <w:rPr>
                <w:rFonts w:ascii="宋体" w:hAnsi="宋体" w:cs="宋体" w:hint="eastAsia"/>
                <w:kern w:val="0"/>
                <w:sz w:val="15"/>
                <w:szCs w:val="15"/>
              </w:rPr>
            </w:pPr>
            <w:permStart w:id="668207682" w:edGrp="everyone"/>
            <w:r>
              <w:rPr>
                <w:rFonts w:ascii="宋体" w:hAnsi="宋体" w:cs="宋体" w:hint="eastAsia"/>
                <w:kern w:val="0"/>
                <w:sz w:val="15"/>
                <w:szCs w:val="15"/>
              </w:rPr>
              <w:t>×</w:t>
            </w:r>
            <w:permEnd w:id="668207682"/>
          </w:p>
        </w:tc>
        <w:tc>
          <w:tcPr>
            <w:tcW w:w="816" w:type="dxa"/>
            <w:tcBorders>
              <w:top w:val="nil"/>
              <w:left w:val="nil"/>
              <w:bottom w:val="single" w:sz="4" w:space="0" w:color="auto"/>
              <w:right w:val="single" w:sz="4" w:space="0" w:color="auto"/>
            </w:tcBorders>
          </w:tcPr>
          <w:p w14:paraId="69EE996D" w14:textId="77777777" w:rsidR="005C13D8" w:rsidRDefault="00553A62">
            <w:pPr>
              <w:widowControl/>
              <w:snapToGrid w:val="0"/>
              <w:jc w:val="center"/>
              <w:rPr>
                <w:rFonts w:ascii="宋体" w:hAnsi="宋体" w:cs="宋体" w:hint="eastAsia"/>
                <w:kern w:val="0"/>
                <w:sz w:val="15"/>
                <w:szCs w:val="15"/>
              </w:rPr>
            </w:pPr>
            <w:permStart w:id="1085355099" w:edGrp="everyone"/>
            <w:r>
              <w:rPr>
                <w:rFonts w:ascii="宋体" w:hAnsi="宋体" w:cs="宋体" w:hint="eastAsia"/>
                <w:kern w:val="0"/>
                <w:sz w:val="15"/>
                <w:szCs w:val="15"/>
              </w:rPr>
              <w:t>×</w:t>
            </w:r>
            <w:permEnd w:id="1085355099"/>
          </w:p>
        </w:tc>
        <w:tc>
          <w:tcPr>
            <w:tcW w:w="816" w:type="dxa"/>
            <w:tcBorders>
              <w:top w:val="nil"/>
              <w:left w:val="nil"/>
              <w:bottom w:val="single" w:sz="4" w:space="0" w:color="auto"/>
              <w:right w:val="single" w:sz="4" w:space="0" w:color="auto"/>
            </w:tcBorders>
          </w:tcPr>
          <w:p w14:paraId="4E16FCCE" w14:textId="77777777" w:rsidR="005C13D8" w:rsidRDefault="00553A62">
            <w:pPr>
              <w:widowControl/>
              <w:snapToGrid w:val="0"/>
              <w:jc w:val="center"/>
              <w:rPr>
                <w:rFonts w:ascii="宋体" w:hAnsi="宋体" w:cs="宋体" w:hint="eastAsia"/>
                <w:kern w:val="0"/>
                <w:sz w:val="15"/>
                <w:szCs w:val="15"/>
              </w:rPr>
            </w:pPr>
            <w:permStart w:id="1902906167" w:edGrp="everyone"/>
            <w:r>
              <w:rPr>
                <w:rFonts w:ascii="宋体" w:hAnsi="宋体" w:cs="宋体" w:hint="eastAsia"/>
                <w:kern w:val="0"/>
                <w:sz w:val="15"/>
                <w:szCs w:val="15"/>
              </w:rPr>
              <w:t>×</w:t>
            </w:r>
            <w:permEnd w:id="1902906167"/>
          </w:p>
        </w:tc>
        <w:tc>
          <w:tcPr>
            <w:tcW w:w="741" w:type="dxa"/>
            <w:tcBorders>
              <w:top w:val="nil"/>
              <w:left w:val="nil"/>
              <w:bottom w:val="single" w:sz="4" w:space="0" w:color="auto"/>
              <w:right w:val="single" w:sz="4" w:space="0" w:color="auto"/>
            </w:tcBorders>
            <w:vAlign w:val="center"/>
          </w:tcPr>
          <w:p w14:paraId="55FD22C6" w14:textId="77777777" w:rsidR="005C13D8" w:rsidRDefault="00553A62">
            <w:pPr>
              <w:widowControl/>
              <w:snapToGrid w:val="0"/>
              <w:jc w:val="center"/>
              <w:rPr>
                <w:rFonts w:ascii="宋体" w:hAnsi="宋体" w:cs="宋体" w:hint="eastAsia"/>
                <w:kern w:val="0"/>
                <w:sz w:val="15"/>
                <w:szCs w:val="15"/>
              </w:rPr>
            </w:pPr>
            <w:permStart w:id="709167925" w:edGrp="everyone"/>
            <w:r>
              <w:rPr>
                <w:rFonts w:ascii="宋体" w:hAnsi="宋体" w:cs="宋体" w:hint="eastAsia"/>
                <w:kern w:val="0"/>
                <w:sz w:val="15"/>
                <w:szCs w:val="15"/>
              </w:rPr>
              <w:t>×</w:t>
            </w:r>
            <w:permEnd w:id="709167925"/>
          </w:p>
        </w:tc>
      </w:tr>
      <w:tr w:rsidR="005C13D8" w14:paraId="7796C426"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47F51D3E" w14:textId="77777777" w:rsidR="005C13D8" w:rsidRDefault="00553A62">
            <w:pPr>
              <w:widowControl/>
              <w:snapToGrid w:val="0"/>
              <w:jc w:val="center"/>
              <w:rPr>
                <w:rFonts w:ascii="宋体" w:hAnsi="宋体" w:cs="宋体" w:hint="eastAsia"/>
                <w:kern w:val="0"/>
                <w:sz w:val="15"/>
                <w:szCs w:val="15"/>
              </w:rPr>
            </w:pPr>
            <w:permStart w:id="198722574" w:edGrp="everyone"/>
            <w:r>
              <w:rPr>
                <w:rFonts w:ascii="宋体" w:hAnsi="宋体" w:cs="宋体" w:hint="eastAsia"/>
                <w:kern w:val="0"/>
                <w:sz w:val="15"/>
                <w:szCs w:val="15"/>
              </w:rPr>
              <w:t>二级（稳健型投资者）</w:t>
            </w:r>
            <w:permEnd w:id="198722574"/>
          </w:p>
        </w:tc>
        <w:tc>
          <w:tcPr>
            <w:tcW w:w="741" w:type="dxa"/>
            <w:tcBorders>
              <w:top w:val="nil"/>
              <w:left w:val="nil"/>
              <w:bottom w:val="single" w:sz="4" w:space="0" w:color="auto"/>
              <w:right w:val="single" w:sz="4" w:space="0" w:color="auto"/>
            </w:tcBorders>
          </w:tcPr>
          <w:p w14:paraId="06DA1F5C" w14:textId="77777777" w:rsidR="005C13D8" w:rsidRDefault="00553A62">
            <w:pPr>
              <w:widowControl/>
              <w:snapToGrid w:val="0"/>
              <w:jc w:val="center"/>
              <w:rPr>
                <w:rFonts w:ascii="宋体" w:hAnsi="宋体" w:cs="宋体" w:hint="eastAsia"/>
                <w:kern w:val="0"/>
                <w:sz w:val="15"/>
                <w:szCs w:val="15"/>
              </w:rPr>
            </w:pPr>
            <w:permStart w:id="580193894" w:edGrp="everyone"/>
            <w:r>
              <w:rPr>
                <w:rFonts w:ascii="宋体" w:hAnsi="宋体" w:cs="宋体" w:hint="eastAsia"/>
                <w:kern w:val="0"/>
                <w:sz w:val="15"/>
                <w:szCs w:val="15"/>
              </w:rPr>
              <w:t>√</w:t>
            </w:r>
            <w:permEnd w:id="580193894"/>
          </w:p>
        </w:tc>
        <w:tc>
          <w:tcPr>
            <w:tcW w:w="816" w:type="dxa"/>
            <w:tcBorders>
              <w:top w:val="nil"/>
              <w:left w:val="nil"/>
              <w:bottom w:val="single" w:sz="4" w:space="0" w:color="auto"/>
              <w:right w:val="single" w:sz="4" w:space="0" w:color="auto"/>
            </w:tcBorders>
          </w:tcPr>
          <w:p w14:paraId="6C9F5E6F" w14:textId="77777777" w:rsidR="005C13D8" w:rsidRDefault="00553A62">
            <w:pPr>
              <w:widowControl/>
              <w:snapToGrid w:val="0"/>
              <w:jc w:val="center"/>
              <w:rPr>
                <w:rFonts w:ascii="宋体" w:hAnsi="宋体" w:cs="宋体" w:hint="eastAsia"/>
                <w:kern w:val="0"/>
                <w:sz w:val="15"/>
                <w:szCs w:val="15"/>
              </w:rPr>
            </w:pPr>
            <w:permStart w:id="1612343919" w:edGrp="everyone"/>
            <w:r>
              <w:rPr>
                <w:rFonts w:ascii="宋体" w:hAnsi="宋体" w:cs="宋体" w:hint="eastAsia"/>
                <w:kern w:val="0"/>
                <w:sz w:val="15"/>
                <w:szCs w:val="15"/>
              </w:rPr>
              <w:t>√</w:t>
            </w:r>
            <w:permEnd w:id="1612343919"/>
          </w:p>
        </w:tc>
        <w:tc>
          <w:tcPr>
            <w:tcW w:w="816" w:type="dxa"/>
            <w:tcBorders>
              <w:top w:val="nil"/>
              <w:left w:val="nil"/>
              <w:bottom w:val="single" w:sz="4" w:space="0" w:color="auto"/>
              <w:right w:val="single" w:sz="4" w:space="0" w:color="auto"/>
            </w:tcBorders>
          </w:tcPr>
          <w:p w14:paraId="41AECCBA" w14:textId="77777777" w:rsidR="005C13D8" w:rsidRDefault="00553A62">
            <w:pPr>
              <w:widowControl/>
              <w:snapToGrid w:val="0"/>
              <w:jc w:val="center"/>
              <w:rPr>
                <w:rFonts w:ascii="宋体" w:hAnsi="宋体" w:cs="宋体" w:hint="eastAsia"/>
                <w:kern w:val="0"/>
                <w:sz w:val="15"/>
                <w:szCs w:val="15"/>
              </w:rPr>
            </w:pPr>
            <w:permStart w:id="1449198019" w:edGrp="everyone"/>
            <w:r>
              <w:rPr>
                <w:rFonts w:ascii="宋体" w:hAnsi="宋体" w:cs="宋体" w:hint="eastAsia"/>
                <w:kern w:val="0"/>
                <w:sz w:val="15"/>
                <w:szCs w:val="15"/>
              </w:rPr>
              <w:t>×</w:t>
            </w:r>
            <w:permEnd w:id="1449198019"/>
          </w:p>
        </w:tc>
        <w:tc>
          <w:tcPr>
            <w:tcW w:w="816" w:type="dxa"/>
            <w:tcBorders>
              <w:top w:val="nil"/>
              <w:left w:val="nil"/>
              <w:bottom w:val="single" w:sz="4" w:space="0" w:color="auto"/>
              <w:right w:val="single" w:sz="4" w:space="0" w:color="auto"/>
            </w:tcBorders>
          </w:tcPr>
          <w:p w14:paraId="24050A80" w14:textId="77777777" w:rsidR="005C13D8" w:rsidRDefault="00553A62">
            <w:pPr>
              <w:widowControl/>
              <w:snapToGrid w:val="0"/>
              <w:jc w:val="center"/>
              <w:rPr>
                <w:rFonts w:ascii="宋体" w:hAnsi="宋体" w:cs="宋体" w:hint="eastAsia"/>
                <w:kern w:val="0"/>
                <w:sz w:val="15"/>
                <w:szCs w:val="15"/>
              </w:rPr>
            </w:pPr>
            <w:permStart w:id="383717703" w:edGrp="everyone"/>
            <w:r>
              <w:rPr>
                <w:rFonts w:ascii="宋体" w:hAnsi="宋体" w:cs="宋体" w:hint="eastAsia"/>
                <w:kern w:val="0"/>
                <w:sz w:val="15"/>
                <w:szCs w:val="15"/>
              </w:rPr>
              <w:t>×</w:t>
            </w:r>
            <w:permEnd w:id="383717703"/>
          </w:p>
        </w:tc>
        <w:tc>
          <w:tcPr>
            <w:tcW w:w="741" w:type="dxa"/>
            <w:tcBorders>
              <w:top w:val="nil"/>
              <w:left w:val="nil"/>
              <w:bottom w:val="single" w:sz="4" w:space="0" w:color="auto"/>
              <w:right w:val="single" w:sz="4" w:space="0" w:color="auto"/>
            </w:tcBorders>
            <w:vAlign w:val="center"/>
          </w:tcPr>
          <w:p w14:paraId="706EB3BA" w14:textId="77777777" w:rsidR="005C13D8" w:rsidRDefault="00553A62">
            <w:pPr>
              <w:widowControl/>
              <w:snapToGrid w:val="0"/>
              <w:jc w:val="center"/>
              <w:rPr>
                <w:rFonts w:ascii="宋体" w:hAnsi="宋体" w:cs="宋体" w:hint="eastAsia"/>
                <w:kern w:val="0"/>
                <w:sz w:val="15"/>
                <w:szCs w:val="15"/>
              </w:rPr>
            </w:pPr>
            <w:permStart w:id="522064687" w:edGrp="everyone"/>
            <w:r>
              <w:rPr>
                <w:rFonts w:ascii="宋体" w:hAnsi="宋体" w:cs="宋体" w:hint="eastAsia"/>
                <w:kern w:val="0"/>
                <w:sz w:val="15"/>
                <w:szCs w:val="15"/>
              </w:rPr>
              <w:t>×</w:t>
            </w:r>
            <w:permEnd w:id="522064687"/>
          </w:p>
        </w:tc>
      </w:tr>
      <w:tr w:rsidR="005C13D8" w14:paraId="71AED225"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76B9CB55" w14:textId="77777777" w:rsidR="005C13D8" w:rsidRDefault="00553A62">
            <w:pPr>
              <w:widowControl/>
              <w:snapToGrid w:val="0"/>
              <w:jc w:val="center"/>
              <w:rPr>
                <w:rFonts w:ascii="宋体" w:hAnsi="宋体" w:cs="宋体" w:hint="eastAsia"/>
                <w:kern w:val="0"/>
                <w:sz w:val="15"/>
                <w:szCs w:val="15"/>
              </w:rPr>
            </w:pPr>
            <w:permStart w:id="1875640926" w:edGrp="everyone"/>
            <w:r>
              <w:rPr>
                <w:rFonts w:ascii="宋体" w:hAnsi="宋体" w:cs="宋体" w:hint="eastAsia"/>
                <w:kern w:val="0"/>
                <w:sz w:val="15"/>
                <w:szCs w:val="15"/>
              </w:rPr>
              <w:t>三级（平衡型投资者）</w:t>
            </w:r>
            <w:permEnd w:id="1875640926"/>
          </w:p>
        </w:tc>
        <w:tc>
          <w:tcPr>
            <w:tcW w:w="741" w:type="dxa"/>
            <w:tcBorders>
              <w:top w:val="nil"/>
              <w:left w:val="nil"/>
              <w:bottom w:val="single" w:sz="4" w:space="0" w:color="auto"/>
              <w:right w:val="single" w:sz="4" w:space="0" w:color="auto"/>
            </w:tcBorders>
          </w:tcPr>
          <w:p w14:paraId="1D127434" w14:textId="77777777" w:rsidR="005C13D8" w:rsidRDefault="00553A62">
            <w:pPr>
              <w:widowControl/>
              <w:snapToGrid w:val="0"/>
              <w:jc w:val="center"/>
              <w:rPr>
                <w:rFonts w:ascii="宋体" w:hAnsi="宋体" w:cs="宋体" w:hint="eastAsia"/>
                <w:kern w:val="0"/>
                <w:sz w:val="15"/>
                <w:szCs w:val="15"/>
              </w:rPr>
            </w:pPr>
            <w:permStart w:id="871183314" w:edGrp="everyone"/>
            <w:r>
              <w:rPr>
                <w:rFonts w:ascii="宋体" w:hAnsi="宋体" w:cs="宋体" w:hint="eastAsia"/>
                <w:kern w:val="0"/>
                <w:sz w:val="15"/>
                <w:szCs w:val="15"/>
              </w:rPr>
              <w:t>√</w:t>
            </w:r>
            <w:permEnd w:id="871183314"/>
          </w:p>
        </w:tc>
        <w:tc>
          <w:tcPr>
            <w:tcW w:w="816" w:type="dxa"/>
            <w:tcBorders>
              <w:top w:val="nil"/>
              <w:left w:val="nil"/>
              <w:bottom w:val="single" w:sz="4" w:space="0" w:color="auto"/>
              <w:right w:val="single" w:sz="4" w:space="0" w:color="auto"/>
            </w:tcBorders>
          </w:tcPr>
          <w:p w14:paraId="55C53B85" w14:textId="77777777" w:rsidR="005C13D8" w:rsidRDefault="00553A62">
            <w:pPr>
              <w:widowControl/>
              <w:snapToGrid w:val="0"/>
              <w:jc w:val="center"/>
              <w:rPr>
                <w:rFonts w:ascii="宋体" w:hAnsi="宋体" w:cs="宋体" w:hint="eastAsia"/>
                <w:kern w:val="0"/>
                <w:sz w:val="15"/>
                <w:szCs w:val="15"/>
              </w:rPr>
            </w:pPr>
            <w:permStart w:id="1877825180" w:edGrp="everyone"/>
            <w:r>
              <w:rPr>
                <w:rFonts w:ascii="宋体" w:hAnsi="宋体" w:cs="宋体" w:hint="eastAsia"/>
                <w:kern w:val="0"/>
                <w:sz w:val="15"/>
                <w:szCs w:val="15"/>
              </w:rPr>
              <w:t>√</w:t>
            </w:r>
            <w:permEnd w:id="1877825180"/>
          </w:p>
        </w:tc>
        <w:tc>
          <w:tcPr>
            <w:tcW w:w="816" w:type="dxa"/>
            <w:tcBorders>
              <w:top w:val="nil"/>
              <w:left w:val="nil"/>
              <w:bottom w:val="single" w:sz="4" w:space="0" w:color="auto"/>
              <w:right w:val="single" w:sz="4" w:space="0" w:color="auto"/>
            </w:tcBorders>
          </w:tcPr>
          <w:p w14:paraId="42D8F307" w14:textId="77777777" w:rsidR="005C13D8" w:rsidRDefault="00553A62">
            <w:pPr>
              <w:widowControl/>
              <w:snapToGrid w:val="0"/>
              <w:jc w:val="center"/>
              <w:rPr>
                <w:rFonts w:ascii="宋体" w:hAnsi="宋体" w:cs="宋体" w:hint="eastAsia"/>
                <w:kern w:val="0"/>
                <w:sz w:val="15"/>
                <w:szCs w:val="15"/>
              </w:rPr>
            </w:pPr>
            <w:permStart w:id="929768955" w:edGrp="everyone"/>
            <w:r>
              <w:rPr>
                <w:rFonts w:ascii="宋体" w:hAnsi="宋体" w:cs="宋体" w:hint="eastAsia"/>
                <w:kern w:val="0"/>
                <w:sz w:val="15"/>
                <w:szCs w:val="15"/>
              </w:rPr>
              <w:t>√</w:t>
            </w:r>
            <w:permEnd w:id="929768955"/>
          </w:p>
        </w:tc>
        <w:tc>
          <w:tcPr>
            <w:tcW w:w="816" w:type="dxa"/>
            <w:tcBorders>
              <w:top w:val="nil"/>
              <w:left w:val="nil"/>
              <w:bottom w:val="single" w:sz="4" w:space="0" w:color="auto"/>
              <w:right w:val="single" w:sz="4" w:space="0" w:color="auto"/>
            </w:tcBorders>
          </w:tcPr>
          <w:p w14:paraId="5EB028CC" w14:textId="77777777" w:rsidR="005C13D8" w:rsidRDefault="00553A62">
            <w:pPr>
              <w:widowControl/>
              <w:snapToGrid w:val="0"/>
              <w:jc w:val="center"/>
              <w:rPr>
                <w:rFonts w:ascii="宋体" w:hAnsi="宋体" w:cs="宋体" w:hint="eastAsia"/>
                <w:kern w:val="0"/>
                <w:sz w:val="15"/>
                <w:szCs w:val="15"/>
              </w:rPr>
            </w:pPr>
            <w:permStart w:id="395989865" w:edGrp="everyone"/>
            <w:r>
              <w:rPr>
                <w:rFonts w:ascii="宋体" w:hAnsi="宋体" w:cs="宋体" w:hint="eastAsia"/>
                <w:kern w:val="0"/>
                <w:sz w:val="15"/>
                <w:szCs w:val="15"/>
              </w:rPr>
              <w:t>×</w:t>
            </w:r>
            <w:permEnd w:id="395989865"/>
          </w:p>
        </w:tc>
        <w:tc>
          <w:tcPr>
            <w:tcW w:w="741" w:type="dxa"/>
            <w:tcBorders>
              <w:top w:val="nil"/>
              <w:left w:val="nil"/>
              <w:bottom w:val="single" w:sz="4" w:space="0" w:color="auto"/>
              <w:right w:val="single" w:sz="4" w:space="0" w:color="auto"/>
            </w:tcBorders>
          </w:tcPr>
          <w:p w14:paraId="5DC04029" w14:textId="77777777" w:rsidR="005C13D8" w:rsidRDefault="00553A62">
            <w:pPr>
              <w:widowControl/>
              <w:snapToGrid w:val="0"/>
              <w:jc w:val="center"/>
              <w:rPr>
                <w:rFonts w:ascii="宋体" w:hAnsi="宋体" w:cs="宋体" w:hint="eastAsia"/>
                <w:kern w:val="0"/>
                <w:sz w:val="15"/>
                <w:szCs w:val="15"/>
              </w:rPr>
            </w:pPr>
            <w:permStart w:id="2049251629" w:edGrp="everyone"/>
            <w:r>
              <w:rPr>
                <w:rFonts w:ascii="宋体" w:hAnsi="宋体" w:cs="宋体" w:hint="eastAsia"/>
                <w:kern w:val="0"/>
                <w:sz w:val="15"/>
                <w:szCs w:val="15"/>
              </w:rPr>
              <w:t>×</w:t>
            </w:r>
            <w:permEnd w:id="2049251629"/>
          </w:p>
        </w:tc>
      </w:tr>
      <w:tr w:rsidR="005C13D8" w14:paraId="1F549E10"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5771F537" w14:textId="77777777" w:rsidR="005C13D8" w:rsidRDefault="00553A62">
            <w:pPr>
              <w:widowControl/>
              <w:snapToGrid w:val="0"/>
              <w:jc w:val="center"/>
              <w:rPr>
                <w:rFonts w:ascii="宋体" w:hAnsi="宋体" w:cs="宋体" w:hint="eastAsia"/>
                <w:kern w:val="0"/>
                <w:sz w:val="15"/>
                <w:szCs w:val="15"/>
              </w:rPr>
            </w:pPr>
            <w:permStart w:id="1543322443" w:edGrp="everyone"/>
            <w:r>
              <w:rPr>
                <w:rFonts w:ascii="宋体" w:hAnsi="宋体" w:cs="宋体" w:hint="eastAsia"/>
                <w:kern w:val="0"/>
                <w:sz w:val="15"/>
                <w:szCs w:val="15"/>
              </w:rPr>
              <w:t>四级（</w:t>
            </w:r>
            <w:r>
              <w:rPr>
                <w:rFonts w:ascii="宋体" w:hAnsi="宋体" w:cs="宋体" w:hint="eastAsia"/>
                <w:kern w:val="0"/>
                <w:sz w:val="15"/>
                <w:szCs w:val="15"/>
              </w:rPr>
              <w:t>积极</w:t>
            </w:r>
            <w:r>
              <w:rPr>
                <w:rFonts w:ascii="宋体" w:hAnsi="宋体" w:cs="宋体" w:hint="eastAsia"/>
                <w:kern w:val="0"/>
                <w:sz w:val="15"/>
                <w:szCs w:val="15"/>
              </w:rPr>
              <w:t>型投资者）</w:t>
            </w:r>
            <w:permEnd w:id="1543322443"/>
          </w:p>
        </w:tc>
        <w:tc>
          <w:tcPr>
            <w:tcW w:w="741" w:type="dxa"/>
            <w:tcBorders>
              <w:top w:val="single" w:sz="4" w:space="0" w:color="auto"/>
              <w:left w:val="single" w:sz="4" w:space="0" w:color="auto"/>
              <w:bottom w:val="single" w:sz="4" w:space="0" w:color="auto"/>
              <w:right w:val="single" w:sz="4" w:space="0" w:color="auto"/>
            </w:tcBorders>
          </w:tcPr>
          <w:p w14:paraId="5C9DA47E" w14:textId="77777777" w:rsidR="005C13D8" w:rsidRDefault="00553A62">
            <w:pPr>
              <w:widowControl/>
              <w:snapToGrid w:val="0"/>
              <w:jc w:val="center"/>
              <w:rPr>
                <w:rFonts w:ascii="宋体" w:hAnsi="宋体" w:cs="宋体" w:hint="eastAsia"/>
                <w:kern w:val="0"/>
                <w:sz w:val="15"/>
                <w:szCs w:val="15"/>
              </w:rPr>
            </w:pPr>
            <w:permStart w:id="343686318" w:edGrp="everyone"/>
            <w:r>
              <w:rPr>
                <w:rFonts w:ascii="宋体" w:hAnsi="宋体" w:cs="宋体" w:hint="eastAsia"/>
                <w:kern w:val="0"/>
                <w:sz w:val="15"/>
                <w:szCs w:val="15"/>
              </w:rPr>
              <w:t>√</w:t>
            </w:r>
            <w:permEnd w:id="343686318"/>
          </w:p>
        </w:tc>
        <w:tc>
          <w:tcPr>
            <w:tcW w:w="816" w:type="dxa"/>
            <w:tcBorders>
              <w:top w:val="single" w:sz="4" w:space="0" w:color="auto"/>
              <w:left w:val="single" w:sz="4" w:space="0" w:color="auto"/>
              <w:bottom w:val="single" w:sz="4" w:space="0" w:color="auto"/>
              <w:right w:val="single" w:sz="4" w:space="0" w:color="auto"/>
            </w:tcBorders>
          </w:tcPr>
          <w:p w14:paraId="586070DD" w14:textId="77777777" w:rsidR="005C13D8" w:rsidRDefault="00553A62">
            <w:pPr>
              <w:widowControl/>
              <w:snapToGrid w:val="0"/>
              <w:jc w:val="center"/>
              <w:rPr>
                <w:rFonts w:ascii="宋体" w:hAnsi="宋体" w:cs="宋体" w:hint="eastAsia"/>
                <w:kern w:val="0"/>
                <w:sz w:val="15"/>
                <w:szCs w:val="15"/>
              </w:rPr>
            </w:pPr>
            <w:permStart w:id="325521952" w:edGrp="everyone"/>
            <w:r>
              <w:rPr>
                <w:rFonts w:ascii="宋体" w:hAnsi="宋体" w:cs="宋体" w:hint="eastAsia"/>
                <w:kern w:val="0"/>
                <w:sz w:val="15"/>
                <w:szCs w:val="15"/>
              </w:rPr>
              <w:t>√</w:t>
            </w:r>
            <w:permEnd w:id="325521952"/>
          </w:p>
        </w:tc>
        <w:tc>
          <w:tcPr>
            <w:tcW w:w="816" w:type="dxa"/>
            <w:tcBorders>
              <w:top w:val="single" w:sz="4" w:space="0" w:color="auto"/>
              <w:left w:val="single" w:sz="4" w:space="0" w:color="auto"/>
              <w:bottom w:val="single" w:sz="4" w:space="0" w:color="auto"/>
              <w:right w:val="single" w:sz="4" w:space="0" w:color="auto"/>
            </w:tcBorders>
          </w:tcPr>
          <w:p w14:paraId="5430CAA8" w14:textId="77777777" w:rsidR="005C13D8" w:rsidRDefault="00553A62">
            <w:pPr>
              <w:widowControl/>
              <w:snapToGrid w:val="0"/>
              <w:jc w:val="center"/>
              <w:rPr>
                <w:rFonts w:ascii="宋体" w:hAnsi="宋体" w:cs="宋体" w:hint="eastAsia"/>
                <w:kern w:val="0"/>
                <w:sz w:val="15"/>
                <w:szCs w:val="15"/>
              </w:rPr>
            </w:pPr>
            <w:permStart w:id="1003976990" w:edGrp="everyone"/>
            <w:r>
              <w:rPr>
                <w:rFonts w:ascii="宋体" w:hAnsi="宋体" w:cs="宋体" w:hint="eastAsia"/>
                <w:kern w:val="0"/>
                <w:sz w:val="15"/>
                <w:szCs w:val="15"/>
              </w:rPr>
              <w:t>√</w:t>
            </w:r>
            <w:permEnd w:id="1003976990"/>
          </w:p>
        </w:tc>
        <w:tc>
          <w:tcPr>
            <w:tcW w:w="816" w:type="dxa"/>
            <w:tcBorders>
              <w:top w:val="single" w:sz="4" w:space="0" w:color="auto"/>
              <w:left w:val="single" w:sz="4" w:space="0" w:color="auto"/>
              <w:bottom w:val="single" w:sz="4" w:space="0" w:color="auto"/>
              <w:right w:val="single" w:sz="4" w:space="0" w:color="auto"/>
            </w:tcBorders>
          </w:tcPr>
          <w:p w14:paraId="04B94256" w14:textId="77777777" w:rsidR="005C13D8" w:rsidRDefault="00553A62">
            <w:pPr>
              <w:widowControl/>
              <w:snapToGrid w:val="0"/>
              <w:jc w:val="center"/>
              <w:rPr>
                <w:rFonts w:ascii="宋体" w:hAnsi="宋体" w:cs="宋体" w:hint="eastAsia"/>
                <w:kern w:val="0"/>
                <w:sz w:val="15"/>
                <w:szCs w:val="15"/>
              </w:rPr>
            </w:pPr>
            <w:permStart w:id="690707903" w:edGrp="everyone"/>
            <w:r>
              <w:rPr>
                <w:rFonts w:ascii="宋体" w:hAnsi="宋体" w:cs="宋体" w:hint="eastAsia"/>
                <w:kern w:val="0"/>
                <w:sz w:val="15"/>
                <w:szCs w:val="15"/>
              </w:rPr>
              <w:t>√</w:t>
            </w:r>
            <w:permEnd w:id="690707903"/>
          </w:p>
        </w:tc>
        <w:tc>
          <w:tcPr>
            <w:tcW w:w="741" w:type="dxa"/>
            <w:tcBorders>
              <w:top w:val="single" w:sz="4" w:space="0" w:color="auto"/>
              <w:left w:val="single" w:sz="4" w:space="0" w:color="auto"/>
              <w:bottom w:val="single" w:sz="4" w:space="0" w:color="auto"/>
              <w:right w:val="single" w:sz="4" w:space="0" w:color="auto"/>
            </w:tcBorders>
          </w:tcPr>
          <w:p w14:paraId="182B4555" w14:textId="77777777" w:rsidR="005C13D8" w:rsidRDefault="00553A62">
            <w:pPr>
              <w:widowControl/>
              <w:snapToGrid w:val="0"/>
              <w:jc w:val="center"/>
              <w:rPr>
                <w:rFonts w:ascii="宋体" w:hAnsi="宋体" w:cs="宋体" w:hint="eastAsia"/>
                <w:kern w:val="0"/>
                <w:sz w:val="15"/>
                <w:szCs w:val="15"/>
              </w:rPr>
            </w:pPr>
            <w:permStart w:id="2056979285" w:edGrp="everyone"/>
            <w:r>
              <w:rPr>
                <w:rFonts w:ascii="宋体" w:hAnsi="宋体" w:cs="宋体" w:hint="eastAsia"/>
                <w:kern w:val="0"/>
                <w:sz w:val="15"/>
                <w:szCs w:val="15"/>
              </w:rPr>
              <w:t>×</w:t>
            </w:r>
            <w:permEnd w:id="2056979285"/>
          </w:p>
        </w:tc>
      </w:tr>
      <w:tr w:rsidR="005C13D8" w14:paraId="3DAA3A74"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6A6BE746" w14:textId="77777777" w:rsidR="005C13D8" w:rsidRDefault="00553A62">
            <w:pPr>
              <w:widowControl/>
              <w:snapToGrid w:val="0"/>
              <w:jc w:val="center"/>
              <w:rPr>
                <w:rFonts w:ascii="宋体" w:hAnsi="宋体" w:cs="宋体" w:hint="eastAsia"/>
                <w:kern w:val="0"/>
                <w:sz w:val="15"/>
                <w:szCs w:val="15"/>
              </w:rPr>
            </w:pPr>
            <w:permStart w:id="388329166" w:edGrp="everyone"/>
            <w:r>
              <w:rPr>
                <w:rFonts w:ascii="宋体" w:hAnsi="宋体" w:cs="宋体" w:hint="eastAsia"/>
                <w:kern w:val="0"/>
                <w:sz w:val="15"/>
                <w:szCs w:val="15"/>
              </w:rPr>
              <w:t>五级（</w:t>
            </w:r>
            <w:r>
              <w:rPr>
                <w:rFonts w:ascii="宋体" w:hAnsi="宋体" w:cs="宋体" w:hint="eastAsia"/>
                <w:kern w:val="0"/>
                <w:sz w:val="15"/>
                <w:szCs w:val="15"/>
              </w:rPr>
              <w:t>激进</w:t>
            </w:r>
            <w:r>
              <w:rPr>
                <w:rFonts w:ascii="宋体" w:hAnsi="宋体" w:cs="宋体" w:hint="eastAsia"/>
                <w:kern w:val="0"/>
                <w:sz w:val="15"/>
                <w:szCs w:val="15"/>
              </w:rPr>
              <w:t>型投资者）</w:t>
            </w:r>
            <w:permEnd w:id="388329166"/>
          </w:p>
        </w:tc>
        <w:tc>
          <w:tcPr>
            <w:tcW w:w="741" w:type="dxa"/>
            <w:tcBorders>
              <w:top w:val="single" w:sz="4" w:space="0" w:color="auto"/>
              <w:left w:val="single" w:sz="4" w:space="0" w:color="auto"/>
              <w:bottom w:val="single" w:sz="4" w:space="0" w:color="auto"/>
              <w:right w:val="single" w:sz="4" w:space="0" w:color="auto"/>
            </w:tcBorders>
          </w:tcPr>
          <w:p w14:paraId="6B2B6C25" w14:textId="77777777" w:rsidR="005C13D8" w:rsidRDefault="00553A62">
            <w:pPr>
              <w:widowControl/>
              <w:snapToGrid w:val="0"/>
              <w:jc w:val="center"/>
              <w:rPr>
                <w:rFonts w:ascii="宋体" w:hAnsi="宋体" w:cs="宋体" w:hint="eastAsia"/>
                <w:kern w:val="0"/>
                <w:sz w:val="15"/>
                <w:szCs w:val="15"/>
              </w:rPr>
            </w:pPr>
            <w:permStart w:id="76352101" w:edGrp="everyone"/>
            <w:r>
              <w:rPr>
                <w:rFonts w:ascii="宋体" w:hAnsi="宋体" w:cs="宋体" w:hint="eastAsia"/>
                <w:kern w:val="0"/>
                <w:sz w:val="15"/>
                <w:szCs w:val="15"/>
              </w:rPr>
              <w:t>√</w:t>
            </w:r>
            <w:permEnd w:id="76352101"/>
          </w:p>
        </w:tc>
        <w:tc>
          <w:tcPr>
            <w:tcW w:w="816" w:type="dxa"/>
            <w:tcBorders>
              <w:top w:val="single" w:sz="4" w:space="0" w:color="auto"/>
              <w:left w:val="single" w:sz="4" w:space="0" w:color="auto"/>
              <w:bottom w:val="single" w:sz="4" w:space="0" w:color="auto"/>
              <w:right w:val="single" w:sz="4" w:space="0" w:color="auto"/>
            </w:tcBorders>
          </w:tcPr>
          <w:p w14:paraId="6C6C64E2" w14:textId="77777777" w:rsidR="005C13D8" w:rsidRDefault="00553A62">
            <w:pPr>
              <w:widowControl/>
              <w:snapToGrid w:val="0"/>
              <w:jc w:val="center"/>
              <w:rPr>
                <w:rFonts w:ascii="宋体" w:hAnsi="宋体" w:cs="宋体" w:hint="eastAsia"/>
                <w:kern w:val="0"/>
                <w:sz w:val="15"/>
                <w:szCs w:val="15"/>
              </w:rPr>
            </w:pPr>
            <w:permStart w:id="1128026959" w:edGrp="everyone"/>
            <w:r>
              <w:rPr>
                <w:rFonts w:ascii="宋体" w:hAnsi="宋体" w:cs="宋体" w:hint="eastAsia"/>
                <w:kern w:val="0"/>
                <w:sz w:val="15"/>
                <w:szCs w:val="15"/>
              </w:rPr>
              <w:t>√</w:t>
            </w:r>
            <w:permEnd w:id="1128026959"/>
          </w:p>
        </w:tc>
        <w:tc>
          <w:tcPr>
            <w:tcW w:w="816" w:type="dxa"/>
            <w:tcBorders>
              <w:top w:val="single" w:sz="4" w:space="0" w:color="auto"/>
              <w:left w:val="single" w:sz="4" w:space="0" w:color="auto"/>
              <w:bottom w:val="single" w:sz="4" w:space="0" w:color="auto"/>
              <w:right w:val="single" w:sz="4" w:space="0" w:color="auto"/>
            </w:tcBorders>
          </w:tcPr>
          <w:p w14:paraId="7C545F29" w14:textId="77777777" w:rsidR="005C13D8" w:rsidRDefault="00553A62">
            <w:pPr>
              <w:widowControl/>
              <w:snapToGrid w:val="0"/>
              <w:jc w:val="center"/>
              <w:rPr>
                <w:rFonts w:ascii="宋体" w:hAnsi="宋体" w:cs="宋体" w:hint="eastAsia"/>
                <w:kern w:val="0"/>
                <w:sz w:val="15"/>
                <w:szCs w:val="15"/>
              </w:rPr>
            </w:pPr>
            <w:permStart w:id="1860249948" w:edGrp="everyone"/>
            <w:r>
              <w:rPr>
                <w:rFonts w:ascii="宋体" w:hAnsi="宋体" w:cs="宋体" w:hint="eastAsia"/>
                <w:kern w:val="0"/>
                <w:sz w:val="15"/>
                <w:szCs w:val="15"/>
              </w:rPr>
              <w:t>√</w:t>
            </w:r>
            <w:permEnd w:id="1860249948"/>
          </w:p>
        </w:tc>
        <w:tc>
          <w:tcPr>
            <w:tcW w:w="816" w:type="dxa"/>
            <w:tcBorders>
              <w:top w:val="single" w:sz="4" w:space="0" w:color="auto"/>
              <w:left w:val="single" w:sz="4" w:space="0" w:color="auto"/>
              <w:bottom w:val="single" w:sz="4" w:space="0" w:color="auto"/>
              <w:right w:val="single" w:sz="4" w:space="0" w:color="auto"/>
            </w:tcBorders>
          </w:tcPr>
          <w:p w14:paraId="58C9CC61" w14:textId="77777777" w:rsidR="005C13D8" w:rsidRDefault="00553A62">
            <w:pPr>
              <w:widowControl/>
              <w:snapToGrid w:val="0"/>
              <w:jc w:val="center"/>
              <w:rPr>
                <w:rFonts w:ascii="宋体" w:hAnsi="宋体" w:cs="宋体" w:hint="eastAsia"/>
                <w:kern w:val="0"/>
                <w:sz w:val="15"/>
                <w:szCs w:val="15"/>
              </w:rPr>
            </w:pPr>
            <w:permStart w:id="57701123" w:edGrp="everyone"/>
            <w:r>
              <w:rPr>
                <w:rFonts w:ascii="宋体" w:hAnsi="宋体" w:cs="宋体" w:hint="eastAsia"/>
                <w:kern w:val="0"/>
                <w:sz w:val="15"/>
                <w:szCs w:val="15"/>
              </w:rPr>
              <w:t>√</w:t>
            </w:r>
            <w:permEnd w:id="57701123"/>
          </w:p>
        </w:tc>
        <w:tc>
          <w:tcPr>
            <w:tcW w:w="741" w:type="dxa"/>
            <w:tcBorders>
              <w:top w:val="single" w:sz="4" w:space="0" w:color="auto"/>
              <w:left w:val="single" w:sz="4" w:space="0" w:color="auto"/>
              <w:bottom w:val="single" w:sz="4" w:space="0" w:color="auto"/>
              <w:right w:val="single" w:sz="4" w:space="0" w:color="auto"/>
            </w:tcBorders>
          </w:tcPr>
          <w:p w14:paraId="39FF0CC9" w14:textId="77777777" w:rsidR="005C13D8" w:rsidRDefault="00553A62">
            <w:pPr>
              <w:widowControl/>
              <w:snapToGrid w:val="0"/>
              <w:jc w:val="center"/>
              <w:rPr>
                <w:rFonts w:ascii="宋体" w:hAnsi="宋体" w:cs="宋体" w:hint="eastAsia"/>
                <w:kern w:val="0"/>
                <w:sz w:val="15"/>
                <w:szCs w:val="15"/>
              </w:rPr>
            </w:pPr>
            <w:permStart w:id="609034489" w:edGrp="everyone"/>
            <w:r>
              <w:rPr>
                <w:rFonts w:ascii="宋体" w:hAnsi="宋体" w:cs="宋体" w:hint="eastAsia"/>
                <w:kern w:val="0"/>
                <w:sz w:val="15"/>
                <w:szCs w:val="15"/>
              </w:rPr>
              <w:t>√</w:t>
            </w:r>
            <w:permEnd w:id="609034489"/>
          </w:p>
        </w:tc>
      </w:tr>
    </w:tbl>
    <w:p w14:paraId="6911F255" w14:textId="77777777" w:rsidR="005C13D8" w:rsidRDefault="00553A62">
      <w:pPr>
        <w:pStyle w:val="a5"/>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14:paraId="528E417A" w14:textId="77777777" w:rsidR="005C13D8" w:rsidRDefault="00553A62">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14:paraId="20086648" w14:textId="77777777" w:rsidR="005C13D8" w:rsidRDefault="00553A6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14:paraId="3664F29A" w14:textId="77777777" w:rsidR="005C13D8" w:rsidRDefault="00553A6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14:paraId="3A90558D" w14:textId="77777777" w:rsidR="005C13D8" w:rsidRDefault="00553A62">
      <w:pPr>
        <w:pStyle w:val="a5"/>
        <w:spacing w:before="0" w:after="0" w:line="240" w:lineRule="auto"/>
        <w:ind w:firstLineChars="200" w:firstLine="341"/>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14:paraId="247C10D0" w14:textId="77777777" w:rsidR="005C13D8" w:rsidRDefault="00553A6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南银理财及销售机构承诺依法履行投资者信息保密义务，防范投资者信息被不当采集、使用、传输和泄露，保护投资者的信息安全，法律法规另有规定，或有权机关另有要求的情形除外。</w:t>
      </w:r>
    </w:p>
    <w:p w14:paraId="77678133" w14:textId="77777777" w:rsidR="005C13D8" w:rsidRDefault="00553A62">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14:paraId="619AD310" w14:textId="77777777" w:rsidR="005C13D8" w:rsidRDefault="00553A6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w:t>
      </w:r>
      <w:r>
        <w:rPr>
          <w:rFonts w:hint="eastAsia"/>
          <w:b/>
          <w:color w:val="auto"/>
          <w:spacing w:val="10"/>
          <w:kern w:val="2"/>
          <w:sz w:val="15"/>
          <w:szCs w:val="15"/>
        </w:rPr>
        <w:t>及时接听、记录投资者的意见或建议，并</w:t>
      </w:r>
      <w:r>
        <w:rPr>
          <w:rFonts w:hint="eastAsia"/>
          <w:b/>
          <w:color w:val="auto"/>
          <w:spacing w:val="10"/>
          <w:kern w:val="2"/>
          <w:sz w:val="15"/>
          <w:szCs w:val="15"/>
        </w:rPr>
        <w:t>与投资者协商共同解决</w:t>
      </w:r>
      <w:r>
        <w:rPr>
          <w:rFonts w:hint="eastAsia"/>
          <w:bCs/>
          <w:color w:val="auto"/>
          <w:spacing w:val="10"/>
          <w:kern w:val="2"/>
          <w:sz w:val="15"/>
          <w:szCs w:val="15"/>
        </w:rPr>
        <w:t>。</w:t>
      </w:r>
    </w:p>
    <w:p w14:paraId="7BC418BD" w14:textId="77777777" w:rsidR="005C13D8" w:rsidRDefault="00553A62">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lastRenderedPageBreak/>
        <w:t>第八条</w:t>
      </w:r>
      <w:r>
        <w:rPr>
          <w:rFonts w:hint="eastAsia"/>
          <w:b/>
          <w:color w:val="auto"/>
          <w:spacing w:val="10"/>
          <w:kern w:val="2"/>
          <w:sz w:val="15"/>
          <w:szCs w:val="15"/>
        </w:rPr>
        <w:t xml:space="preserve"> </w:t>
      </w:r>
      <w:r>
        <w:rPr>
          <w:rFonts w:hint="eastAsia"/>
          <w:b/>
          <w:color w:val="auto"/>
          <w:spacing w:val="10"/>
          <w:kern w:val="2"/>
          <w:sz w:val="15"/>
          <w:szCs w:val="15"/>
        </w:rPr>
        <w:t>联</w:t>
      </w:r>
      <w:r>
        <w:rPr>
          <w:rFonts w:hint="eastAsia"/>
          <w:b/>
          <w:color w:val="auto"/>
          <w:spacing w:val="10"/>
          <w:kern w:val="2"/>
          <w:sz w:val="15"/>
          <w:szCs w:val="15"/>
        </w:rPr>
        <w:t>系</w:t>
      </w:r>
      <w:r>
        <w:rPr>
          <w:rFonts w:hint="eastAsia"/>
          <w:b/>
          <w:color w:val="auto"/>
          <w:spacing w:val="10"/>
          <w:kern w:val="2"/>
          <w:sz w:val="15"/>
          <w:szCs w:val="15"/>
        </w:rPr>
        <w:t>方式</w:t>
      </w:r>
    </w:p>
    <w:p w14:paraId="49EF634B" w14:textId="77777777" w:rsidR="005C13D8" w:rsidRDefault="00553A62">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在购买本理财产品前，请投资者确保完全明白本理财产品的性质、其中涉及的风险以及投资者的自身情况。投资者若对理财产品销售文件的内容有任何疑问，请向南银理财或销售机构各营业场所或营业网点咨询。联</w:t>
      </w:r>
      <w:r>
        <w:rPr>
          <w:rFonts w:hint="eastAsia"/>
          <w:b/>
          <w:color w:val="auto"/>
          <w:spacing w:val="10"/>
          <w:kern w:val="2"/>
          <w:sz w:val="15"/>
          <w:szCs w:val="15"/>
        </w:rPr>
        <w:t>系</w:t>
      </w:r>
      <w:r>
        <w:rPr>
          <w:rFonts w:hint="eastAsia"/>
          <w:b/>
          <w:color w:val="auto"/>
          <w:spacing w:val="10"/>
          <w:kern w:val="2"/>
          <w:sz w:val="15"/>
          <w:szCs w:val="15"/>
        </w:rPr>
        <w:t>方式分别如下：</w:t>
      </w:r>
    </w:p>
    <w:p w14:paraId="04DF1F3E" w14:textId="77777777" w:rsidR="005C13D8" w:rsidRDefault="00553A6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w:t>
      </w:r>
      <w:r>
        <w:rPr>
          <w:rFonts w:hint="eastAsia"/>
          <w:bCs/>
          <w:color w:val="auto"/>
          <w:spacing w:val="10"/>
          <w:kern w:val="2"/>
          <w:sz w:val="15"/>
          <w:szCs w:val="15"/>
        </w:rPr>
        <w:t>系</w:t>
      </w:r>
      <w:r>
        <w:rPr>
          <w:rFonts w:hint="eastAsia"/>
          <w:bCs/>
          <w:color w:val="auto"/>
          <w:spacing w:val="10"/>
          <w:kern w:val="2"/>
          <w:sz w:val="15"/>
          <w:szCs w:val="15"/>
        </w:rPr>
        <w:t>方式</w:t>
      </w:r>
    </w:p>
    <w:p w14:paraId="55A312E6" w14:textId="77777777" w:rsidR="005C13D8" w:rsidRDefault="00553A62">
      <w:pPr>
        <w:pStyle w:val="a5"/>
        <w:spacing w:before="0" w:after="0" w:line="240" w:lineRule="auto"/>
        <w:ind w:firstLineChars="200" w:firstLine="340"/>
        <w:rPr>
          <w:bCs/>
          <w:color w:val="auto"/>
          <w:spacing w:val="10"/>
          <w:kern w:val="2"/>
          <w:sz w:val="15"/>
          <w:szCs w:val="15"/>
        </w:rPr>
      </w:pPr>
      <w:permStart w:id="1145268032" w:edGrp="everyone"/>
      <w:r>
        <w:rPr>
          <w:rFonts w:hint="eastAsia"/>
          <w:bCs/>
          <w:color w:val="auto"/>
          <w:spacing w:val="10"/>
          <w:kern w:val="2"/>
          <w:sz w:val="15"/>
          <w:szCs w:val="15"/>
        </w:rPr>
        <w:t xml:space="preserve"> </w:t>
      </w:r>
      <w:r>
        <w:rPr>
          <w:rFonts w:hint="eastAsia"/>
          <w:bCs/>
          <w:color w:val="auto"/>
          <w:spacing w:val="10"/>
          <w:kern w:val="2"/>
          <w:sz w:val="15"/>
          <w:szCs w:val="15"/>
        </w:rPr>
        <w:t>地址：</w:t>
      </w:r>
      <w:r>
        <w:rPr>
          <w:bCs/>
          <w:color w:val="auto"/>
          <w:spacing w:val="10"/>
          <w:kern w:val="2"/>
          <w:sz w:val="15"/>
          <w:szCs w:val="15"/>
        </w:rPr>
        <w:t>南京市建邺区庐山路</w:t>
      </w:r>
      <w:r>
        <w:rPr>
          <w:bCs/>
          <w:color w:val="auto"/>
          <w:spacing w:val="10"/>
          <w:kern w:val="2"/>
          <w:sz w:val="15"/>
          <w:szCs w:val="15"/>
        </w:rPr>
        <w:t>242</w:t>
      </w:r>
      <w:r>
        <w:rPr>
          <w:bCs/>
          <w:color w:val="auto"/>
          <w:spacing w:val="10"/>
          <w:kern w:val="2"/>
          <w:sz w:val="15"/>
          <w:szCs w:val="15"/>
        </w:rPr>
        <w:t>号</w:t>
      </w:r>
      <w:r>
        <w:rPr>
          <w:bCs/>
          <w:color w:val="auto"/>
          <w:spacing w:val="10"/>
          <w:kern w:val="2"/>
          <w:sz w:val="15"/>
          <w:szCs w:val="15"/>
        </w:rPr>
        <w:t>2</w:t>
      </w:r>
      <w:r>
        <w:rPr>
          <w:bCs/>
          <w:color w:val="auto"/>
          <w:spacing w:val="10"/>
          <w:kern w:val="2"/>
          <w:sz w:val="15"/>
          <w:szCs w:val="15"/>
        </w:rPr>
        <w:t>号楼</w:t>
      </w:r>
      <w:r>
        <w:rPr>
          <w:bCs/>
          <w:color w:val="auto"/>
          <w:spacing w:val="10"/>
          <w:kern w:val="2"/>
          <w:sz w:val="15"/>
          <w:szCs w:val="15"/>
        </w:rPr>
        <w:t>14-16</w:t>
      </w:r>
      <w:r>
        <w:rPr>
          <w:bCs/>
          <w:color w:val="auto"/>
          <w:spacing w:val="10"/>
          <w:kern w:val="2"/>
          <w:sz w:val="15"/>
          <w:szCs w:val="15"/>
        </w:rPr>
        <w:t>层</w:t>
      </w:r>
    </w:p>
    <w:p w14:paraId="22DDCDD5" w14:textId="77777777" w:rsidR="005C13D8" w:rsidRDefault="00553A6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4001195302</w:t>
      </w:r>
      <w:r>
        <w:rPr>
          <w:rFonts w:hint="eastAsia"/>
          <w:bCs/>
          <w:color w:val="auto"/>
          <w:spacing w:val="10"/>
          <w:kern w:val="2"/>
          <w:sz w:val="15"/>
          <w:szCs w:val="15"/>
        </w:rPr>
        <w:t xml:space="preserve"> </w:t>
      </w:r>
      <w:permEnd w:id="1145268032"/>
    </w:p>
    <w:p w14:paraId="6D844549" w14:textId="77777777" w:rsidR="005C13D8" w:rsidRDefault="00553A6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（二）销售机构联</w:t>
      </w:r>
      <w:r>
        <w:rPr>
          <w:rFonts w:hint="eastAsia"/>
          <w:bCs/>
          <w:color w:val="auto"/>
          <w:spacing w:val="10"/>
          <w:kern w:val="2"/>
          <w:sz w:val="15"/>
          <w:szCs w:val="15"/>
        </w:rPr>
        <w:t>系</w:t>
      </w:r>
      <w:r>
        <w:rPr>
          <w:rFonts w:hint="eastAsia"/>
          <w:bCs/>
          <w:color w:val="auto"/>
          <w:spacing w:val="10"/>
          <w:kern w:val="2"/>
          <w:sz w:val="15"/>
          <w:szCs w:val="15"/>
        </w:rPr>
        <w:t>方式</w:t>
      </w:r>
    </w:p>
    <w:p w14:paraId="35FFD378" w14:textId="77777777" w:rsidR="005C13D8" w:rsidRDefault="00553A62">
      <w:pPr>
        <w:pStyle w:val="a5"/>
        <w:spacing w:before="0" w:after="0" w:line="240" w:lineRule="auto"/>
        <w:ind w:firstLineChars="200" w:firstLine="341"/>
        <w:rPr>
          <w:bCs/>
          <w:color w:val="auto"/>
          <w:spacing w:val="10"/>
          <w:kern w:val="2"/>
          <w:sz w:val="15"/>
          <w:szCs w:val="15"/>
        </w:rPr>
      </w:pPr>
      <w:permStart w:id="83721501" w:edGrp="everyone"/>
      <w:r>
        <w:rPr>
          <w:rFonts w:hint="eastAsia"/>
          <w:b/>
          <w:color w:val="auto"/>
          <w:spacing w:val="10"/>
          <w:kern w:val="2"/>
          <w:sz w:val="15"/>
          <w:szCs w:val="15"/>
        </w:rPr>
        <w:t xml:space="preserve"> </w:t>
      </w:r>
      <w:r>
        <w:rPr>
          <w:rFonts w:hint="eastAsia"/>
          <w:bCs/>
          <w:color w:val="auto"/>
          <w:spacing w:val="10"/>
          <w:kern w:val="2"/>
          <w:sz w:val="15"/>
          <w:szCs w:val="15"/>
        </w:rPr>
        <w:t>张家港市杨舍镇人民中路</w:t>
      </w:r>
      <w:r>
        <w:rPr>
          <w:rFonts w:hint="eastAsia"/>
          <w:bCs/>
          <w:color w:val="auto"/>
          <w:spacing w:val="10"/>
          <w:kern w:val="2"/>
          <w:sz w:val="15"/>
          <w:szCs w:val="15"/>
        </w:rPr>
        <w:t>66</w:t>
      </w:r>
      <w:r>
        <w:rPr>
          <w:rFonts w:hint="eastAsia"/>
          <w:bCs/>
          <w:color w:val="auto"/>
          <w:spacing w:val="10"/>
          <w:kern w:val="2"/>
          <w:sz w:val="15"/>
          <w:szCs w:val="15"/>
        </w:rPr>
        <w:t>号</w:t>
      </w:r>
    </w:p>
    <w:p w14:paraId="132B4E52" w14:textId="77777777" w:rsidR="005C13D8" w:rsidRDefault="00553A62">
      <w:pPr>
        <w:pStyle w:val="a5"/>
        <w:spacing w:before="0" w:after="0" w:line="240" w:lineRule="auto"/>
        <w:ind w:firstLineChars="250" w:firstLine="425"/>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0512-56960032</w:t>
      </w:r>
    </w:p>
    <w:p w14:paraId="315864D8" w14:textId="77777777" w:rsidR="005C13D8" w:rsidRDefault="00553A62">
      <w:pPr>
        <w:pStyle w:val="a5"/>
        <w:spacing w:before="0" w:after="0" w:line="240" w:lineRule="auto"/>
        <w:ind w:firstLineChars="250" w:firstLine="425"/>
        <w:rPr>
          <w:b/>
          <w:color w:val="auto"/>
          <w:spacing w:val="10"/>
          <w:kern w:val="2"/>
          <w:sz w:val="15"/>
          <w:szCs w:val="15"/>
        </w:rPr>
      </w:pPr>
      <w:r>
        <w:rPr>
          <w:rFonts w:hint="eastAsia"/>
          <w:bCs/>
          <w:color w:val="auto"/>
          <w:spacing w:val="10"/>
          <w:kern w:val="2"/>
          <w:sz w:val="15"/>
          <w:szCs w:val="15"/>
          <w:lang w:eastAsia="zh-Hans"/>
        </w:rPr>
        <w:t>官网</w:t>
      </w:r>
      <w:r>
        <w:rPr>
          <w:bCs/>
          <w:color w:val="auto"/>
          <w:spacing w:val="10"/>
          <w:kern w:val="2"/>
          <w:sz w:val="15"/>
          <w:szCs w:val="15"/>
          <w:lang w:eastAsia="zh-Hans"/>
        </w:rPr>
        <w:t>：</w:t>
      </w:r>
      <w:r>
        <w:rPr>
          <w:rFonts w:hint="eastAsia"/>
          <w:bCs/>
          <w:color w:val="auto"/>
          <w:spacing w:val="10"/>
          <w:kern w:val="2"/>
          <w:sz w:val="15"/>
          <w:szCs w:val="15"/>
        </w:rPr>
        <w:t xml:space="preserve">https://www.zrcbank.com </w:t>
      </w:r>
    </w:p>
    <w:permEnd w:id="83721501"/>
    <w:p w14:paraId="4C191CCA" w14:textId="77777777" w:rsidR="005C13D8" w:rsidRDefault="005C13D8">
      <w:pPr>
        <w:pStyle w:val="a5"/>
        <w:spacing w:before="0" w:after="0" w:line="240" w:lineRule="auto"/>
        <w:ind w:firstLine="0"/>
        <w:jc w:val="both"/>
        <w:rPr>
          <w:b/>
          <w:color w:val="auto"/>
          <w:spacing w:val="10"/>
          <w:kern w:val="2"/>
          <w:sz w:val="15"/>
          <w:szCs w:val="15"/>
          <w:u w:val="single"/>
        </w:rPr>
      </w:pPr>
    </w:p>
    <w:p w14:paraId="0474B733" w14:textId="77777777" w:rsidR="005C13D8" w:rsidRDefault="00553A62">
      <w:pPr>
        <w:pStyle w:val="a5"/>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14:paraId="69490889" w14:textId="77777777" w:rsidR="005C13D8" w:rsidRDefault="00553A62">
      <w:pPr>
        <w:ind w:firstLineChars="200" w:firstLine="341"/>
        <w:rPr>
          <w:b/>
          <w:spacing w:val="10"/>
          <w:sz w:val="15"/>
          <w:szCs w:val="15"/>
          <w:u w:val="single"/>
        </w:rPr>
      </w:pPr>
      <w:r>
        <w:rPr>
          <w:rFonts w:hint="eastAsia"/>
          <w:b/>
          <w:spacing w:val="10"/>
          <w:sz w:val="15"/>
          <w:szCs w:val="15"/>
          <w:u w:val="single"/>
        </w:rPr>
        <w:t>请投资者务必仔细阅读本理财产品销售文件，包括但不限于本理财产品对应的《理财产品销售协议书》《理财产品说明书》《理财产品风险揭示书》《投资者权益须知》《理财产品投资协议书》等，了解理财产品具体情况，关注投资风险，自主决定是否投资。</w:t>
      </w:r>
    </w:p>
    <w:p w14:paraId="7FA32330" w14:textId="77777777" w:rsidR="005C13D8" w:rsidRDefault="005C13D8"/>
    <w:p w14:paraId="27B5942F" w14:textId="77777777" w:rsidR="005C13D8" w:rsidRDefault="005C13D8">
      <w:pPr>
        <w:pStyle w:val="1"/>
      </w:pPr>
    </w:p>
    <w:p w14:paraId="729C558E" w14:textId="77777777" w:rsidR="005C13D8" w:rsidRDefault="005C13D8"/>
    <w:p w14:paraId="6E4B0512" w14:textId="77777777" w:rsidR="005C13D8" w:rsidRDefault="005C13D8">
      <w:pPr>
        <w:pStyle w:val="1"/>
      </w:pPr>
    </w:p>
    <w:p w14:paraId="5D727912" w14:textId="77777777" w:rsidR="005C13D8" w:rsidRDefault="005C13D8"/>
    <w:p w14:paraId="46E2C9FF" w14:textId="77777777" w:rsidR="005C13D8" w:rsidRDefault="005C13D8">
      <w:pPr>
        <w:pStyle w:val="1"/>
      </w:pPr>
    </w:p>
    <w:p w14:paraId="40517F32" w14:textId="77777777" w:rsidR="005C13D8" w:rsidRDefault="005C13D8"/>
    <w:p w14:paraId="697245C9" w14:textId="77777777" w:rsidR="005C13D8" w:rsidRDefault="005C13D8">
      <w:pPr>
        <w:pStyle w:val="1"/>
      </w:pPr>
    </w:p>
    <w:p w14:paraId="558CEC77" w14:textId="77777777" w:rsidR="005C13D8" w:rsidRDefault="005C13D8"/>
    <w:p w14:paraId="5C445CBA" w14:textId="77777777" w:rsidR="005C13D8" w:rsidRDefault="005C13D8">
      <w:pPr>
        <w:pStyle w:val="1"/>
      </w:pPr>
    </w:p>
    <w:p w14:paraId="1E25ADA5" w14:textId="77777777" w:rsidR="005C13D8" w:rsidRDefault="005C13D8"/>
    <w:p w14:paraId="6D8B1982" w14:textId="77777777" w:rsidR="005C13D8" w:rsidRDefault="005C13D8">
      <w:pPr>
        <w:pStyle w:val="1"/>
      </w:pPr>
    </w:p>
    <w:p w14:paraId="0AB8A77A" w14:textId="77777777" w:rsidR="005C13D8" w:rsidRDefault="005C13D8"/>
    <w:p w14:paraId="66610E49" w14:textId="77777777" w:rsidR="005C13D8" w:rsidRDefault="005C13D8">
      <w:pPr>
        <w:pStyle w:val="1"/>
      </w:pPr>
    </w:p>
    <w:p w14:paraId="2CA6B8D0" w14:textId="77777777" w:rsidR="005C13D8" w:rsidRDefault="005C13D8"/>
    <w:p w14:paraId="2C4A73AC" w14:textId="77777777" w:rsidR="005C13D8" w:rsidRDefault="005C13D8">
      <w:pPr>
        <w:pStyle w:val="1"/>
      </w:pPr>
    </w:p>
    <w:p w14:paraId="4DEE52FB" w14:textId="77777777" w:rsidR="005C13D8" w:rsidRDefault="005C13D8"/>
    <w:p w14:paraId="6381603C" w14:textId="77777777" w:rsidR="005C13D8" w:rsidRDefault="005C13D8">
      <w:pPr>
        <w:pStyle w:val="1"/>
      </w:pPr>
    </w:p>
    <w:p w14:paraId="6355CC72" w14:textId="77777777" w:rsidR="005C13D8" w:rsidRDefault="005C13D8"/>
    <w:p w14:paraId="0CC74BB0" w14:textId="77777777" w:rsidR="005C13D8" w:rsidRDefault="005C13D8">
      <w:pPr>
        <w:pStyle w:val="1"/>
      </w:pPr>
    </w:p>
    <w:p w14:paraId="7B1260A3" w14:textId="77777777" w:rsidR="005C13D8" w:rsidRDefault="005C13D8"/>
    <w:p w14:paraId="5F85EFE9" w14:textId="77777777" w:rsidR="005C13D8" w:rsidRDefault="005C13D8">
      <w:pPr>
        <w:pStyle w:val="1"/>
      </w:pPr>
    </w:p>
    <w:p w14:paraId="46D0895B" w14:textId="77777777" w:rsidR="005C13D8" w:rsidRDefault="005C13D8"/>
    <w:p w14:paraId="0D6118FF" w14:textId="77777777" w:rsidR="005C13D8" w:rsidRDefault="005C13D8">
      <w:pPr>
        <w:pStyle w:val="1"/>
      </w:pPr>
    </w:p>
    <w:p w14:paraId="4487D396" w14:textId="77777777" w:rsidR="005C13D8" w:rsidRDefault="005C13D8"/>
    <w:p w14:paraId="15AB0833" w14:textId="77777777" w:rsidR="005C13D8" w:rsidRDefault="005C13D8">
      <w:pPr>
        <w:pStyle w:val="1"/>
      </w:pPr>
    </w:p>
    <w:p w14:paraId="45A66F14" w14:textId="77777777" w:rsidR="005C13D8" w:rsidRDefault="005C13D8"/>
    <w:p w14:paraId="62F1D9D2" w14:textId="77777777" w:rsidR="005C13D8" w:rsidRDefault="005C13D8">
      <w:pPr>
        <w:pStyle w:val="11"/>
        <w:spacing w:line="300" w:lineRule="auto"/>
        <w:ind w:firstLineChars="0" w:firstLine="0"/>
        <w:jc w:val="center"/>
        <w:rPr>
          <w:rFonts w:ascii="方正黑体_GBK" w:eastAsia="方正黑体_GBK" w:hAnsi="宋体" w:cs="FZSSK--GBK1-0" w:hint="eastAsia"/>
          <w:b/>
          <w:kern w:val="0"/>
          <w:sz w:val="24"/>
          <w:szCs w:val="24"/>
        </w:rPr>
      </w:pPr>
    </w:p>
    <w:p w14:paraId="515EAEA9" w14:textId="77777777" w:rsidR="005C13D8" w:rsidRDefault="005C13D8">
      <w:pPr>
        <w:pStyle w:val="11"/>
        <w:spacing w:line="300" w:lineRule="auto"/>
        <w:ind w:firstLineChars="0" w:firstLine="0"/>
        <w:jc w:val="center"/>
        <w:rPr>
          <w:rFonts w:ascii="方正黑体_GBK" w:eastAsia="方正黑体_GBK" w:hAnsi="宋体" w:cs="FZSSK--GBK1-0" w:hint="eastAsia"/>
          <w:b/>
          <w:kern w:val="0"/>
          <w:sz w:val="24"/>
          <w:szCs w:val="24"/>
        </w:rPr>
      </w:pPr>
    </w:p>
    <w:p w14:paraId="586D5D2B" w14:textId="77777777" w:rsidR="005C13D8" w:rsidRDefault="00553A62">
      <w:pPr>
        <w:pStyle w:val="11"/>
        <w:spacing w:line="300" w:lineRule="auto"/>
        <w:ind w:firstLineChars="0" w:firstLine="0"/>
        <w:jc w:val="center"/>
        <w:rPr>
          <w:rFonts w:ascii="方正黑体_GBK" w:eastAsia="方正黑体_GBK" w:hAnsi="宋体" w:cs="宋体" w:hint="eastAsia"/>
          <w:b/>
          <w:sz w:val="24"/>
          <w:szCs w:val="24"/>
        </w:rPr>
      </w:pPr>
      <w:r>
        <w:rPr>
          <w:rFonts w:ascii="方正黑体_GBK" w:eastAsia="方正黑体_GBK" w:hAnsi="宋体" w:cs="FZSSK--GBK1-0" w:hint="eastAsia"/>
          <w:b/>
          <w:kern w:val="0"/>
          <w:sz w:val="24"/>
          <w:szCs w:val="24"/>
        </w:rPr>
        <w:t>理财产品投资协议书</w:t>
      </w:r>
    </w:p>
    <w:p w14:paraId="157899BC" w14:textId="77777777" w:rsidR="005C13D8" w:rsidRDefault="00553A6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经南银理财有限责任公司（下称“甲方”或“理财产品管理人”）与投资者（下称“乙方”）协商一致，就乙方购买的对应期次理财产品投资事宜，达成如下协议：</w:t>
      </w:r>
    </w:p>
    <w:p w14:paraId="0A52A5B0" w14:textId="77777777" w:rsidR="005C13D8" w:rsidRDefault="00553A62">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lastRenderedPageBreak/>
        <w:t>一、重要提示</w:t>
      </w:r>
    </w:p>
    <w:p w14:paraId="3DEA758E" w14:textId="77777777" w:rsidR="005C13D8" w:rsidRDefault="00553A62">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b/>
          <w:sz w:val="15"/>
          <w:szCs w:val="15"/>
        </w:rPr>
        <w:t>理财非存款、产品有风险、投资须谨慎。</w:t>
      </w:r>
      <w:r>
        <w:rPr>
          <w:rFonts w:ascii="方正黑体_GBK" w:eastAsia="方正黑体_GBK" w:hAnsi="宋体" w:cs="宋体" w:hint="eastAsia"/>
          <w:sz w:val="15"/>
          <w:szCs w:val="15"/>
        </w:rPr>
        <w:t>理财产品面临的风险详见对应期次《理财产品风险揭示书》和《理财产品说明书》的详细条款，乙方应仔细阅读并充分理解对应期次理财产品可能发生的风险。</w:t>
      </w:r>
    </w:p>
    <w:p w14:paraId="0DA8CC95" w14:textId="77777777" w:rsidR="005C13D8" w:rsidRDefault="00553A62">
      <w:pPr>
        <w:pStyle w:val="11"/>
        <w:spacing w:line="300" w:lineRule="auto"/>
        <w:ind w:firstLineChars="0" w:firstLine="442"/>
        <w:rPr>
          <w:rFonts w:ascii="方正黑体_GBK" w:eastAsia="方正黑体_GBK" w:hAnsi="宋体" w:cs="宋体" w:hint="eastAsia"/>
          <w:sz w:val="15"/>
          <w:szCs w:val="15"/>
        </w:rPr>
      </w:pPr>
      <w:r>
        <w:rPr>
          <w:rFonts w:ascii="方正黑体_GBK" w:eastAsia="方正黑体_GBK" w:hAnsi="宋体" w:cs="宋体" w:hint="eastAsia"/>
          <w:b/>
          <w:bCs/>
          <w:sz w:val="15"/>
          <w:szCs w:val="15"/>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14:paraId="0BB4B679" w14:textId="77777777" w:rsidR="005C13D8" w:rsidRDefault="00553A62">
      <w:pPr>
        <w:pStyle w:val="11"/>
        <w:spacing w:line="300" w:lineRule="auto"/>
        <w:ind w:firstLine="301"/>
        <w:rPr>
          <w:rFonts w:ascii="方正黑体_GBK" w:eastAsia="方正黑体_GBK" w:hAnsi="宋体" w:cs="宋体" w:hint="eastAsia"/>
          <w:b/>
          <w:sz w:val="15"/>
          <w:szCs w:val="15"/>
        </w:rPr>
      </w:pPr>
      <w:r>
        <w:rPr>
          <w:rFonts w:ascii="方正黑体_GBK" w:eastAsia="方正黑体_GBK" w:hAnsi="宋体" w:cs="宋体" w:hint="eastAsia"/>
          <w:b/>
          <w:sz w:val="15"/>
          <w:szCs w:val="15"/>
        </w:rPr>
        <w:t>二、双方权利与义务</w:t>
      </w:r>
    </w:p>
    <w:p w14:paraId="2089493A" w14:textId="77777777" w:rsidR="005C13D8" w:rsidRDefault="00553A6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（一）甲方的权利与义务</w:t>
      </w:r>
    </w:p>
    <w:p w14:paraId="31192945" w14:textId="77777777" w:rsidR="005C13D8" w:rsidRDefault="00553A6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甲方应当履行恪尽职守、勤勉尽责、诚实守信、有效管理的义务。</w:t>
      </w:r>
    </w:p>
    <w:p w14:paraId="7D97A2A0" w14:textId="77777777" w:rsidR="005C13D8" w:rsidRDefault="00553A6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按照法律法规及对应期次《理财产品说明书》约定的投资范围和权限内，甲方拥有管理和运用理财资金的权利。</w:t>
      </w:r>
    </w:p>
    <w:p w14:paraId="4351304E" w14:textId="77777777" w:rsidR="005C13D8" w:rsidRDefault="00553A6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甲方应当按照对应期次《理财产品说明书》的约定向乙方分配收益。</w:t>
      </w:r>
    </w:p>
    <w:p w14:paraId="610E8C47" w14:textId="77777777" w:rsidR="005C13D8" w:rsidRDefault="00553A6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甲方有权按照对应期次《理财产品说明书》的约定收取相应费用。</w:t>
      </w:r>
    </w:p>
    <w:p w14:paraId="1B907EF1" w14:textId="77777777" w:rsidR="005C13D8" w:rsidRDefault="00553A6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6A179D30" w14:textId="77777777" w:rsidR="005C13D8" w:rsidRDefault="00553A62">
      <w:pPr>
        <w:pStyle w:val="11"/>
        <w:spacing w:line="300" w:lineRule="auto"/>
        <w:ind w:firstLine="300"/>
        <w:rPr>
          <w:rFonts w:ascii="方正黑体_GBK" w:eastAsia="方正黑体_GBK" w:hAnsi="宋体" w:cs="宋体" w:hint="eastAsia"/>
          <w:b/>
          <w:bCs/>
          <w:sz w:val="15"/>
          <w:szCs w:val="15"/>
        </w:rPr>
      </w:pPr>
      <w:r>
        <w:rPr>
          <w:rFonts w:ascii="方正黑体_GBK" w:eastAsia="方正黑体_GBK" w:hAnsi="宋体" w:cs="宋体" w:hint="eastAsia"/>
          <w:sz w:val="15"/>
          <w:szCs w:val="15"/>
        </w:rPr>
        <w:t>6.</w:t>
      </w:r>
      <w:r>
        <w:rPr>
          <w:rFonts w:ascii="方正黑体_GBK" w:eastAsia="方正黑体_GBK" w:hAnsi="宋体" w:cs="宋体" w:hint="eastAsia"/>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宋体" w:cs="宋体" w:hint="eastAsia"/>
          <w:sz w:val="15"/>
          <w:szCs w:val="15"/>
        </w:rPr>
        <w:t>/</w:t>
      </w:r>
      <w:r>
        <w:rPr>
          <w:rFonts w:ascii="方正黑体_GBK" w:eastAsia="方正黑体_GBK" w:hAnsi="宋体" w:cs="宋体" w:hint="eastAsia"/>
          <w:sz w:val="15"/>
          <w:szCs w:val="15"/>
        </w:rPr>
        <w:t>仲裁、申请保全</w:t>
      </w:r>
      <w:r>
        <w:rPr>
          <w:rFonts w:ascii="方正黑体_GBK" w:eastAsia="方正黑体_GBK" w:hAnsi="宋体" w:cs="宋体" w:hint="eastAsia"/>
          <w:sz w:val="15"/>
          <w:szCs w:val="15"/>
        </w:rPr>
        <w:t>/</w:t>
      </w:r>
      <w:r>
        <w:rPr>
          <w:rFonts w:ascii="方正黑体_GBK" w:eastAsia="方正黑体_GBK" w:hAnsi="宋体" w:cs="宋体" w:hint="eastAsia"/>
          <w:sz w:val="15"/>
          <w:szCs w:val="15"/>
        </w:rPr>
        <w:t>执行等，由此产生的费用由理财产品承担，在实际发生时列支。</w:t>
      </w:r>
    </w:p>
    <w:p w14:paraId="30836E96" w14:textId="77777777" w:rsidR="005C13D8" w:rsidRDefault="00553A62">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7.</w:t>
      </w:r>
      <w:r>
        <w:rPr>
          <w:rFonts w:ascii="方正黑体_GBK" w:eastAsia="方正黑体_GBK" w:hAnsi="宋体" w:cs="宋体" w:hint="eastAsia"/>
          <w:sz w:val="15"/>
          <w:szCs w:val="15"/>
        </w:rPr>
        <w:t>甲方有权根据产品运作的需要选任必要的业务合作机构，并确定合作模式等相关内容。</w:t>
      </w:r>
    </w:p>
    <w:p w14:paraId="5C06AE83" w14:textId="77777777" w:rsidR="005C13D8" w:rsidRDefault="00553A62">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sz w:val="15"/>
          <w:szCs w:val="15"/>
        </w:rPr>
        <w:t>8.</w:t>
      </w:r>
      <w:r>
        <w:rPr>
          <w:rFonts w:ascii="方正黑体_GBK" w:eastAsia="方正黑体_GBK" w:hAnsi="宋体" w:cs="宋体" w:hint="eastAsia"/>
          <w:b/>
          <w:bCs/>
          <w:sz w:val="15"/>
          <w:szCs w:val="15"/>
        </w:rPr>
        <w:t>在本理财产品存续期内：</w:t>
      </w:r>
    </w:p>
    <w:p w14:paraId="06C2FE89" w14:textId="77777777" w:rsidR="005C13D8" w:rsidRDefault="00553A62">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1</w:t>
      </w:r>
      <w:r>
        <w:rPr>
          <w:rFonts w:ascii="方正黑体_GBK" w:eastAsia="方正黑体_GBK" w:hAnsi="宋体" w:cs="宋体" w:hint="eastAsia"/>
          <w:b/>
          <w:bCs/>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52B0403" w14:textId="77777777" w:rsidR="005C13D8" w:rsidRDefault="00553A62">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2</w:t>
      </w:r>
      <w:r>
        <w:rPr>
          <w:rFonts w:ascii="方正黑体_GBK" w:eastAsia="方正黑体_GBK" w:hAnsi="宋体" w:cs="宋体" w:hint="eastAsia"/>
          <w:b/>
          <w:bCs/>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EC19117" w14:textId="77777777" w:rsidR="005C13D8" w:rsidRDefault="00553A62">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投资者特此同意并授权甲方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14:paraId="17129908" w14:textId="77777777" w:rsidR="005C13D8" w:rsidRDefault="00553A62">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10.</w:t>
      </w:r>
      <w:r>
        <w:rPr>
          <w:rFonts w:ascii="方正黑体_GBK" w:eastAsia="方正黑体_GBK" w:hAnsi="宋体" w:cs="宋体" w:hint="eastAsia"/>
          <w:sz w:val="15"/>
          <w:szCs w:val="15"/>
        </w:rPr>
        <w:t>法律法规规定或理财产品销售文件约定的其它权利及义务。</w:t>
      </w:r>
    </w:p>
    <w:p w14:paraId="13592ACA" w14:textId="77777777" w:rsidR="005C13D8" w:rsidRDefault="00553A6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（二）乙方的权利与义务</w:t>
      </w:r>
    </w:p>
    <w:p w14:paraId="57DCF328" w14:textId="77777777" w:rsidR="005C13D8" w:rsidRDefault="00553A62">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乙方保证具有完全民事行为能力，有完全适当的资格与能力订立并履行本协议。</w:t>
      </w:r>
    </w:p>
    <w:p w14:paraId="4C6DF5CC" w14:textId="77777777" w:rsidR="005C13D8" w:rsidRDefault="00553A62">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乙方能够自行识别、判断和承担理财产品的相关风险；不存在法律法规、有权机关或主管机关禁止或限制购买理财产品的各种情形。乙方按其购买金额在对应期次理财协议中享有相应的权利，承担相应的义务和风险。</w:t>
      </w:r>
    </w:p>
    <w:p w14:paraId="2D400B33" w14:textId="77777777" w:rsidR="005C13D8" w:rsidRDefault="00553A62">
      <w:pPr>
        <w:pStyle w:val="11"/>
        <w:spacing w:line="300" w:lineRule="auto"/>
        <w:ind w:firstLineChars="280"/>
        <w:rPr>
          <w:rFonts w:ascii="方正黑体_GBK" w:eastAsia="方正黑体_GBK" w:hAnsi="宋体" w:cs="宋体" w:hint="eastAsia"/>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乙方自愿购买甲方管理的理财产品，接受甲方提供的投资理财服务。甲方向乙方提供的市场分析和预测（如有）仅供参考，乙方据此做出的任何决策均出于乙方自身的判断，甲方不承担任何责任。</w:t>
      </w:r>
    </w:p>
    <w:p w14:paraId="48732347" w14:textId="77777777" w:rsidR="005C13D8" w:rsidRDefault="00553A62">
      <w:pPr>
        <w:pStyle w:val="11"/>
        <w:spacing w:line="300" w:lineRule="auto"/>
        <w:ind w:firstLineChars="280"/>
        <w:rPr>
          <w:rFonts w:ascii="方正黑体_GBK" w:eastAsia="方正黑体_GBK" w:hAnsi="宋体" w:cs="宋体" w:hint="eastAsia"/>
          <w:sz w:val="15"/>
          <w:szCs w:val="15"/>
        </w:rPr>
      </w:pPr>
      <w:r>
        <w:rPr>
          <w:rFonts w:ascii="方正黑体_GBK" w:eastAsia="方正黑体_GBK" w:hAnsi="宋体" w:cs="宋体" w:hint="eastAsia"/>
          <w:sz w:val="15"/>
          <w:szCs w:val="15"/>
        </w:rPr>
        <w:lastRenderedPageBreak/>
        <w:t>4.</w:t>
      </w:r>
      <w:r>
        <w:rPr>
          <w:rFonts w:ascii="方正黑体_GBK" w:eastAsia="方正黑体_GBK" w:hAnsi="宋体" w:cs="宋体" w:hint="eastAsia"/>
          <w:sz w:val="15"/>
          <w:szCs w:val="15"/>
        </w:rPr>
        <w:t>乙方已仔细阅读《投资者权益须知》《理财产品说明书》并清楚知晓其内容，接受并签署《理财产品风险揭示书》《理财产品销售协议书》和本协议。</w:t>
      </w:r>
    </w:p>
    <w:p w14:paraId="7241D02A" w14:textId="77777777" w:rsidR="005C13D8" w:rsidRDefault="00553A62">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乙方已充分知悉对应期次理财产品风险等级（该产品通过代理销售机构渠道销售的，理财产品评级应当以代理销售机构最终披露的评级结果为准），并确定以相应理财资金购买对应期次理财产品，乙方承诺由此产生的相关风险由其自身承担。</w:t>
      </w:r>
    </w:p>
    <w:p w14:paraId="006C3C26" w14:textId="77777777" w:rsidR="005C13D8" w:rsidRDefault="00553A62">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6.</w:t>
      </w:r>
      <w:r>
        <w:rPr>
          <w:rFonts w:ascii="方正黑体_GBK" w:eastAsia="方正黑体_GBK" w:hAnsi="宋体" w:cs="宋体" w:hint="eastAsia"/>
          <w:b/>
          <w:bCs/>
          <w:sz w:val="15"/>
          <w:szCs w:val="15"/>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14:paraId="69F59D49" w14:textId="77777777" w:rsidR="005C13D8" w:rsidRDefault="00553A62">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7.</w:t>
      </w:r>
      <w:r>
        <w:rPr>
          <w:rFonts w:ascii="方正黑体_GBK" w:eastAsia="方正黑体_GBK" w:hAnsi="宋体" w:cs="宋体" w:hint="eastAsia"/>
          <w:b/>
          <w:bCs/>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甲方或销售机构发现或有合理理由怀疑乙方或其资金存在洗钱、恐怖融资、逃税等嫌疑，甲方有权提前终止本协议，造成乙方损失的，甲方不承担责任。</w:t>
      </w:r>
    </w:p>
    <w:p w14:paraId="3E445F0E" w14:textId="77777777" w:rsidR="005C13D8" w:rsidRDefault="00553A62">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8</w:t>
      </w:r>
      <w:r>
        <w:rPr>
          <w:rFonts w:ascii="方正黑体_GBK" w:eastAsia="方正黑体_GBK" w:hAnsi="宋体" w:cs="宋体" w:hint="eastAsia"/>
          <w:sz w:val="15"/>
          <w:szCs w:val="15"/>
        </w:rPr>
        <w:t>.</w:t>
      </w:r>
      <w:r>
        <w:rPr>
          <w:rFonts w:ascii="方正黑体_GBK" w:eastAsia="方正黑体_GBK" w:hAnsi="宋体" w:cs="宋体" w:hint="eastAsia"/>
          <w:b/>
          <w:bCs/>
          <w:sz w:val="15"/>
          <w:szCs w:val="15"/>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14:paraId="6BC166C5" w14:textId="77777777" w:rsidR="005C13D8" w:rsidRDefault="00553A62">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40615730" w14:textId="77777777" w:rsidR="005C13D8" w:rsidRDefault="00553A62">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10.</w:t>
      </w:r>
      <w:r>
        <w:rPr>
          <w:rFonts w:ascii="方正黑体_GBK" w:eastAsia="方正黑体_GBK" w:hAnsi="宋体" w:cs="宋体" w:hint="eastAsia"/>
          <w:b/>
          <w:bCs/>
          <w:sz w:val="15"/>
          <w:szCs w:val="15"/>
        </w:rPr>
        <w:t>乙方对因购买、持有本理财产品而知悉的甲方及销售机构保密信息承担保密义务，乙方承诺不以任何方式向任何第三方披露甲方或销售机构的保密信息，法律法规另有规定的除外。</w:t>
      </w:r>
    </w:p>
    <w:p w14:paraId="3A81D3E9" w14:textId="77777777" w:rsidR="005C13D8" w:rsidRDefault="00553A62">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11.</w:t>
      </w:r>
      <w:r>
        <w:rPr>
          <w:rFonts w:ascii="方正黑体_GBK" w:eastAsia="方正黑体_GBK" w:hAnsi="宋体" w:cs="宋体" w:hint="eastAsia"/>
          <w:sz w:val="15"/>
          <w:szCs w:val="15"/>
        </w:rPr>
        <w:t>法律法规规定或理财产品销售文件约定的其它权利及义务。</w:t>
      </w:r>
    </w:p>
    <w:p w14:paraId="1491160A" w14:textId="77777777" w:rsidR="005C13D8" w:rsidRDefault="00553A62">
      <w:pPr>
        <w:pStyle w:val="11"/>
        <w:spacing w:line="300" w:lineRule="auto"/>
        <w:ind w:firstLine="301"/>
        <w:rPr>
          <w:rFonts w:ascii="方正黑体_GBK" w:eastAsia="方正黑体_GBK" w:hAnsi="宋体" w:cs="宋体" w:hint="eastAsia"/>
          <w:b/>
          <w:sz w:val="15"/>
          <w:szCs w:val="15"/>
        </w:rPr>
      </w:pPr>
      <w:r>
        <w:rPr>
          <w:rFonts w:ascii="方正黑体_GBK" w:eastAsia="方正黑体_GBK" w:hAnsi="宋体" w:cs="宋体" w:hint="eastAsia"/>
          <w:b/>
          <w:sz w:val="15"/>
          <w:szCs w:val="15"/>
        </w:rPr>
        <w:t>三、协议的生效和终止</w:t>
      </w:r>
    </w:p>
    <w:p w14:paraId="42C9CE2A" w14:textId="77777777" w:rsidR="005C13D8" w:rsidRDefault="00553A6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成立并生效。</w:t>
      </w:r>
    </w:p>
    <w:p w14:paraId="08F6CEA4" w14:textId="77777777" w:rsidR="005C13D8" w:rsidRDefault="00553A6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14:paraId="72C04F11" w14:textId="77777777" w:rsidR="005C13D8" w:rsidRDefault="00553A6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（三）乙方购买理财产品失败、甲方提前终止对应期次理财产品以及对应期次理财产品到期并结清后，本协议自动终止。</w:t>
      </w:r>
    </w:p>
    <w:p w14:paraId="69F7E1BE" w14:textId="77777777" w:rsidR="005C13D8" w:rsidRDefault="00553A62">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四、不可抗力及其他免责条款</w:t>
      </w:r>
    </w:p>
    <w:p w14:paraId="150708B0" w14:textId="77777777" w:rsidR="005C13D8" w:rsidRDefault="00553A62">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因法律法规及监管政策变化、自然灾害、战争等不能预见、不能避免、不能克服的不可抗力事件或系统故障、通讯故障、投资市场停止交易等意外事件，导致甲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14:paraId="42083A2F" w14:textId="77777777" w:rsidR="005C13D8" w:rsidRDefault="00553A62">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非因甲方原因（包括但不限于理财产品投资者遗失理财产品销售文件、理财产品销售文件被盗用等原因）造成的损失，甲方不承担责任。</w:t>
      </w:r>
    </w:p>
    <w:p w14:paraId="466911F8" w14:textId="77777777" w:rsidR="005C13D8" w:rsidRDefault="00553A62">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五、争议解决</w:t>
      </w:r>
    </w:p>
    <w:p w14:paraId="7BA0F718" w14:textId="77777777" w:rsidR="005C13D8" w:rsidRDefault="00553A62">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甲乙双方因履行本协议或与本协议有关的活动而产生的一切争议，应首先本着诚实信用原则通过友好协商解决；不能协商解决的，由甲方所在地人民法院诉讼解决。本协议适用中华人民共和国（为各项理财产品销售文件之目的，不包括香港特别行政区、澳门特别行政区和台湾地区）法律。</w:t>
      </w:r>
    </w:p>
    <w:p w14:paraId="222FFAD1" w14:textId="77777777" w:rsidR="005C13D8" w:rsidRDefault="00553A62">
      <w:pPr>
        <w:pStyle w:val="11"/>
        <w:spacing w:line="300" w:lineRule="auto"/>
        <w:ind w:firstLine="301"/>
        <w:rPr>
          <w:rFonts w:ascii="方正黑体_GBK" w:eastAsia="方正黑体_GBK" w:hAnsi="宋体" w:cs="宋体" w:hint="eastAsia"/>
          <w:sz w:val="15"/>
          <w:szCs w:val="15"/>
        </w:rPr>
      </w:pPr>
      <w:r>
        <w:rPr>
          <w:rFonts w:ascii="方正黑体_GBK" w:eastAsia="方正黑体_GBK" w:hAnsi="宋体" w:cs="宋体" w:hint="eastAsia"/>
          <w:b/>
          <w:bCs/>
          <w:sz w:val="15"/>
          <w:szCs w:val="15"/>
        </w:rPr>
        <w:t>六、</w:t>
      </w:r>
      <w:r>
        <w:rPr>
          <w:rFonts w:ascii="方正黑体_GBK" w:eastAsia="方正黑体_GBK" w:hAnsi="宋体" w:cs="宋体" w:hint="eastAsia"/>
          <w:sz w:val="15"/>
          <w:szCs w:val="15"/>
        </w:rPr>
        <w:t>本协议未尽事宜，以《理财产品说明书》《理财产品风险揭示书》《理财产品销售协议书》及《投资者权益须知》等销售文件的内容为准。</w:t>
      </w:r>
    </w:p>
    <w:p w14:paraId="01B57F7E" w14:textId="77777777" w:rsidR="005C13D8" w:rsidRDefault="005C13D8">
      <w:pPr>
        <w:pStyle w:val="11"/>
        <w:spacing w:line="300" w:lineRule="auto"/>
        <w:ind w:firstLine="300"/>
        <w:rPr>
          <w:rFonts w:ascii="方正黑体_GBK" w:eastAsia="方正黑体_GBK" w:hAnsi="宋体" w:cs="宋体" w:hint="eastAsia"/>
          <w:sz w:val="15"/>
          <w:szCs w:val="15"/>
        </w:rPr>
      </w:pPr>
    </w:p>
    <w:p w14:paraId="7D336962" w14:textId="77777777" w:rsidR="005C13D8" w:rsidRDefault="00553A62">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请投资者在购买本理财产品前认真阅读以上条款，尤其是加粗的条款。如果投资者不同意本协议的任何内容，或者无法准确理解相关条款的解释，请不要进行后续操作。</w:t>
      </w:r>
    </w:p>
    <w:p w14:paraId="56443D06" w14:textId="77777777" w:rsidR="005C13D8" w:rsidRDefault="00553A6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（以下无正文）</w:t>
      </w:r>
    </w:p>
    <w:p w14:paraId="36F66CBB" w14:textId="77777777" w:rsidR="005C13D8" w:rsidRDefault="005C13D8">
      <w:pPr>
        <w:pStyle w:val="11"/>
        <w:spacing w:line="300" w:lineRule="auto"/>
        <w:ind w:firstLine="300"/>
        <w:rPr>
          <w:rFonts w:ascii="方正黑体_GBK" w:eastAsia="方正黑体_GBK" w:hAnsi="宋体" w:cs="宋体" w:hint="eastAsia"/>
          <w:sz w:val="15"/>
          <w:szCs w:val="15"/>
        </w:rPr>
      </w:pPr>
    </w:p>
    <w:p w14:paraId="794C953E" w14:textId="77777777" w:rsidR="005C13D8" w:rsidRDefault="00553A62">
      <w:pPr>
        <w:spacing w:line="300" w:lineRule="auto"/>
        <w:ind w:left="300"/>
        <w:rPr>
          <w:rFonts w:ascii="方正黑体_GBK" w:eastAsia="方正黑体_GBK" w:hAnsi="宋体" w:hint="eastAsia"/>
          <w:sz w:val="15"/>
          <w:szCs w:val="15"/>
        </w:rPr>
      </w:pPr>
      <w:r>
        <w:rPr>
          <w:rStyle w:val="fontstyle01"/>
          <w:rFonts w:ascii="方正黑体_GBK" w:eastAsia="方正黑体_GBK" w:hint="eastAsia"/>
          <w:sz w:val="15"/>
          <w:szCs w:val="15"/>
        </w:rPr>
        <w:t>个人投资者（如适用）：</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机构投资者（如适用）：</w:t>
      </w:r>
      <w:r>
        <w:rPr>
          <w:rFonts w:ascii="方正黑体_GBK" w:eastAsia="方正黑体_GBK" w:hint="eastAsia"/>
          <w:color w:val="000000"/>
          <w:sz w:val="15"/>
          <w:szCs w:val="15"/>
        </w:rPr>
        <w:br/>
      </w:r>
      <w:r>
        <w:rPr>
          <w:rStyle w:val="fontstyle01"/>
          <w:rFonts w:ascii="方正黑体_GBK" w:eastAsia="方正黑体_GBK" w:hint="eastAsia"/>
          <w:sz w:val="15"/>
          <w:szCs w:val="15"/>
        </w:rPr>
        <w:lastRenderedPageBreak/>
        <w:t>个人投资者：</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（签名或盖章）</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w:t>
      </w:r>
      <w:r>
        <w:rPr>
          <w:rFonts w:ascii="方正黑体_GBK" w:eastAsia="方正黑体_GBK" w:hAnsi="宋体" w:cs="宋体" w:hint="eastAsia"/>
          <w:sz w:val="15"/>
          <w:szCs w:val="15"/>
        </w:rPr>
        <w:t>公章或合同专用章</w:t>
      </w:r>
      <w:r>
        <w:rPr>
          <w:rStyle w:val="fontstyle01"/>
          <w:rFonts w:ascii="方正黑体_GBK" w:eastAsia="方正黑体_GBK" w:hint="eastAsia"/>
          <w:sz w:val="15"/>
          <w:szCs w:val="15"/>
        </w:rPr>
        <w:t>）</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法定代表人或授权代理人：（签名或盖章）</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p>
    <w:p w14:paraId="38C4DF42" w14:textId="77777777" w:rsidR="005C13D8" w:rsidRDefault="005C13D8">
      <w:pPr>
        <w:pStyle w:val="1"/>
      </w:pPr>
    </w:p>
    <w:p>
      <w:r>
        <w:br w:type="page"/>
      </w:r>
    </w:p>
    <w:sectPr w:rsidR="00A21956">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6273" w:rsidRDefault="00386273">
      <w:r>
        <w:separator/>
      </w:r>
    </w:p>
  </w:endnote>
  <w:endnote w:type="continuationSeparator" w:id="0">
    <w:p w:rsidR="00386273" w:rsidRDefault="00386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6273" w:rsidRDefault="00386273">
      <w:r>
        <w:separator/>
      </w:r>
    </w:p>
  </w:footnote>
  <w:footnote w:type="continuationSeparator" w:id="0">
    <w:p w:rsidR="00386273" w:rsidRDefault="00386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21956" w:rsidRDefault="00386273">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B299D"/>
    <w:multiLevelType w:val="hybridMultilevel"/>
    <w:tmpl w:val="3A4CE330"/>
    <w:lvl w:ilvl="0" w:tplc="56DA3B30">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25C09554">
      <w:start w:val="1"/>
      <w:numFmt w:val="lowerLetter"/>
      <w:lvlText w:val="%2)"/>
      <w:lvlJc w:val="left"/>
      <w:pPr>
        <w:tabs>
          <w:tab w:val="num" w:pos="0"/>
        </w:tabs>
        <w:ind w:left="1141" w:hanging="420"/>
      </w:pPr>
      <w:rPr>
        <w:rFonts w:ascii="方正黑体_GBK" w:eastAsia="方正黑体_GBK" w:hAnsi="方正黑体_GBK" w:hint="default"/>
      </w:rPr>
    </w:lvl>
    <w:lvl w:ilvl="2" w:tplc="3752BA08">
      <w:start w:val="1"/>
      <w:numFmt w:val="decimal"/>
      <w:lvlText w:val="%3."/>
      <w:lvlJc w:val="right"/>
      <w:pPr>
        <w:tabs>
          <w:tab w:val="num" w:pos="0"/>
        </w:tabs>
        <w:ind w:left="1561" w:hanging="420"/>
      </w:pPr>
      <w:rPr>
        <w:rFonts w:ascii="方正黑体_GBK" w:eastAsia="方正黑体_GBK" w:hAnsi="方正黑体_GBK" w:hint="default"/>
      </w:rPr>
    </w:lvl>
    <w:lvl w:ilvl="3" w:tplc="49D8340E">
      <w:start w:val="1"/>
      <w:numFmt w:val="decimal"/>
      <w:lvlText w:val="%4."/>
      <w:lvlJc w:val="left"/>
      <w:pPr>
        <w:tabs>
          <w:tab w:val="num" w:pos="0"/>
        </w:tabs>
        <w:ind w:left="1981" w:hanging="420"/>
      </w:pPr>
      <w:rPr>
        <w:rFonts w:ascii="方正黑体_GBK" w:eastAsia="方正黑体_GBK" w:hAnsi="方正黑体_GBK" w:hint="default"/>
      </w:rPr>
    </w:lvl>
    <w:lvl w:ilvl="4" w:tplc="63008654">
      <w:start w:val="1"/>
      <w:numFmt w:val="lowerLetter"/>
      <w:lvlText w:val="%5)"/>
      <w:lvlJc w:val="left"/>
      <w:pPr>
        <w:tabs>
          <w:tab w:val="num" w:pos="0"/>
        </w:tabs>
        <w:ind w:left="2401" w:hanging="420"/>
      </w:pPr>
      <w:rPr>
        <w:rFonts w:ascii="方正黑体_GBK" w:eastAsia="方正黑体_GBK" w:hAnsi="方正黑体_GBK" w:hint="default"/>
      </w:rPr>
    </w:lvl>
    <w:lvl w:ilvl="5" w:tplc="BED69976">
      <w:start w:val="1"/>
      <w:numFmt w:val="decimal"/>
      <w:lvlText w:val="%6."/>
      <w:lvlJc w:val="right"/>
      <w:pPr>
        <w:tabs>
          <w:tab w:val="num" w:pos="0"/>
        </w:tabs>
        <w:ind w:left="2821" w:hanging="420"/>
      </w:pPr>
      <w:rPr>
        <w:rFonts w:ascii="方正黑体_GBK" w:eastAsia="方正黑体_GBK" w:hAnsi="方正黑体_GBK" w:hint="default"/>
      </w:rPr>
    </w:lvl>
    <w:lvl w:ilvl="6" w:tplc="AB80C408">
      <w:start w:val="1"/>
      <w:numFmt w:val="decimal"/>
      <w:lvlText w:val="%7."/>
      <w:lvlJc w:val="left"/>
      <w:pPr>
        <w:tabs>
          <w:tab w:val="num" w:pos="0"/>
        </w:tabs>
        <w:ind w:left="3241" w:hanging="420"/>
      </w:pPr>
      <w:rPr>
        <w:rFonts w:ascii="方正黑体_GBK" w:eastAsia="方正黑体_GBK" w:hAnsi="方正黑体_GBK" w:hint="default"/>
      </w:rPr>
    </w:lvl>
    <w:lvl w:ilvl="7" w:tplc="FB382648">
      <w:start w:val="1"/>
      <w:numFmt w:val="lowerLetter"/>
      <w:lvlText w:val="%8)"/>
      <w:lvlJc w:val="left"/>
      <w:pPr>
        <w:tabs>
          <w:tab w:val="num" w:pos="0"/>
        </w:tabs>
        <w:ind w:left="3661" w:hanging="420"/>
      </w:pPr>
      <w:rPr>
        <w:rFonts w:ascii="方正黑体_GBK" w:eastAsia="方正黑体_GBK" w:hAnsi="方正黑体_GBK" w:hint="default"/>
      </w:rPr>
    </w:lvl>
    <w:lvl w:ilvl="8" w:tplc="EAC8B4A2">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49C97B75"/>
    <w:multiLevelType w:val="multilevel"/>
    <w:tmpl w:val="27F65BD2"/>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580743EA"/>
    <w:multiLevelType w:val="multilevel"/>
    <w:tmpl w:val="D67AC3A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65D902A4"/>
    <w:multiLevelType w:val="hybridMultilevel"/>
    <w:tmpl w:val="F2845268"/>
    <w:lvl w:ilvl="0" w:tplc="BECC0C34">
      <w:start w:val="1"/>
      <w:numFmt w:val="decimal"/>
      <w:lvlRestart w:val="0"/>
      <w:lvlText w:val="%1."/>
      <w:lvlJc w:val="left"/>
      <w:pPr>
        <w:tabs>
          <w:tab w:val="num" w:pos="0"/>
        </w:tabs>
        <w:ind w:left="660" w:hanging="360"/>
      </w:pPr>
      <w:rPr>
        <w:rFonts w:ascii="方正黑体_GBK" w:eastAsia="方正黑体_GBK" w:hAnsi="方正黑体_GBK" w:hint="default"/>
      </w:rPr>
    </w:lvl>
    <w:lvl w:ilvl="1" w:tplc="7E0AC644">
      <w:start w:val="1"/>
      <w:numFmt w:val="lowerLetter"/>
      <w:lvlText w:val="%2)"/>
      <w:lvlJc w:val="left"/>
      <w:pPr>
        <w:tabs>
          <w:tab w:val="num" w:pos="0"/>
        </w:tabs>
        <w:ind w:left="1140" w:hanging="420"/>
      </w:pPr>
      <w:rPr>
        <w:rFonts w:ascii="方正黑体_GBK" w:eastAsia="方正黑体_GBK" w:hAnsi="方正黑体_GBK" w:hint="default"/>
      </w:rPr>
    </w:lvl>
    <w:lvl w:ilvl="2" w:tplc="9FAC3722">
      <w:start w:val="1"/>
      <w:numFmt w:val="decimal"/>
      <w:lvlText w:val="%3."/>
      <w:lvlJc w:val="right"/>
      <w:pPr>
        <w:tabs>
          <w:tab w:val="num" w:pos="0"/>
        </w:tabs>
        <w:ind w:left="1560" w:hanging="420"/>
      </w:pPr>
      <w:rPr>
        <w:rFonts w:ascii="方正黑体_GBK" w:eastAsia="方正黑体_GBK" w:hAnsi="方正黑体_GBK" w:hint="default"/>
      </w:rPr>
    </w:lvl>
    <w:lvl w:ilvl="3" w:tplc="6CC66BBC">
      <w:start w:val="1"/>
      <w:numFmt w:val="decimal"/>
      <w:lvlText w:val="%4."/>
      <w:lvlJc w:val="left"/>
      <w:pPr>
        <w:tabs>
          <w:tab w:val="num" w:pos="0"/>
        </w:tabs>
        <w:ind w:left="1980" w:hanging="420"/>
      </w:pPr>
      <w:rPr>
        <w:rFonts w:ascii="方正黑体_GBK" w:eastAsia="方正黑体_GBK" w:hAnsi="方正黑体_GBK" w:hint="default"/>
      </w:rPr>
    </w:lvl>
    <w:lvl w:ilvl="4" w:tplc="98DA67A0">
      <w:start w:val="1"/>
      <w:numFmt w:val="lowerLetter"/>
      <w:lvlText w:val="%5)"/>
      <w:lvlJc w:val="left"/>
      <w:pPr>
        <w:tabs>
          <w:tab w:val="num" w:pos="0"/>
        </w:tabs>
        <w:ind w:left="2400" w:hanging="420"/>
      </w:pPr>
      <w:rPr>
        <w:rFonts w:ascii="方正黑体_GBK" w:eastAsia="方正黑体_GBK" w:hAnsi="方正黑体_GBK" w:hint="default"/>
      </w:rPr>
    </w:lvl>
    <w:lvl w:ilvl="5" w:tplc="FFA87180">
      <w:start w:val="1"/>
      <w:numFmt w:val="decimal"/>
      <w:lvlText w:val="%6."/>
      <w:lvlJc w:val="right"/>
      <w:pPr>
        <w:tabs>
          <w:tab w:val="num" w:pos="0"/>
        </w:tabs>
        <w:ind w:left="2820" w:hanging="420"/>
      </w:pPr>
      <w:rPr>
        <w:rFonts w:ascii="方正黑体_GBK" w:eastAsia="方正黑体_GBK" w:hAnsi="方正黑体_GBK" w:hint="default"/>
      </w:rPr>
    </w:lvl>
    <w:lvl w:ilvl="6" w:tplc="9A16BED0">
      <w:start w:val="1"/>
      <w:numFmt w:val="decimal"/>
      <w:lvlText w:val="%7."/>
      <w:lvlJc w:val="left"/>
      <w:pPr>
        <w:tabs>
          <w:tab w:val="num" w:pos="0"/>
        </w:tabs>
        <w:ind w:left="3240" w:hanging="420"/>
      </w:pPr>
      <w:rPr>
        <w:rFonts w:ascii="方正黑体_GBK" w:eastAsia="方正黑体_GBK" w:hAnsi="方正黑体_GBK" w:hint="default"/>
      </w:rPr>
    </w:lvl>
    <w:lvl w:ilvl="7" w:tplc="CD4095A0">
      <w:start w:val="1"/>
      <w:numFmt w:val="lowerLetter"/>
      <w:lvlText w:val="%8)"/>
      <w:lvlJc w:val="left"/>
      <w:pPr>
        <w:tabs>
          <w:tab w:val="num" w:pos="0"/>
        </w:tabs>
        <w:ind w:left="3660" w:hanging="420"/>
      </w:pPr>
      <w:rPr>
        <w:rFonts w:ascii="方正黑体_GBK" w:eastAsia="方正黑体_GBK" w:hAnsi="方正黑体_GBK" w:hint="default"/>
      </w:rPr>
    </w:lvl>
    <w:lvl w:ilvl="8" w:tplc="9B0EF69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4" w15:restartNumberingAfterBreak="0">
    <w:nsid w:val="03173B39"/>
    <w:multiLevelType w:val="singleLevel"/>
    <w:tmpl w:val="5DF84C9C"/>
    <w:lvl w:ilvl="0">
      <w:start w:val="1"/>
      <w:numFmt w:val="decimal"/>
      <w:suff w:val="nothing"/>
      <w:lvlText w:val="%1."/>
      <w:lvlJc w:val="left"/>
    </w:lvl>
  </w:abstractNum>
  <w:abstractNum w:abstractNumId="5" w15:restartNumberingAfterBreak="0">
    <w:nsid w:val="00E3756A"/>
    <w:multiLevelType w:val="singleLevel"/>
    <w:tmpl w:val="5DF84CBD"/>
    <w:lvl w:ilvl="0">
      <w:start w:val="1"/>
      <w:numFmt w:val="decimal"/>
      <w:suff w:val="nothing"/>
      <w:lvlText w:val="（%1）"/>
      <w:lvlJc w:val="left"/>
    </w:lvl>
  </w:abstractNum>
  <w:abstractNum w:abstractNumId="6" w15:restartNumberingAfterBreak="0">
    <w:nsid w:val="024D6203"/>
    <w:multiLevelType w:val="singleLevel"/>
    <w:tmpl w:val="5DF84D07"/>
    <w:lvl w:ilvl="0">
      <w:start w:val="1"/>
      <w:numFmt w:val="decimal"/>
      <w:suff w:val="nothing"/>
      <w:lvlText w:val="（%1）"/>
      <w:lvlJc w:val="left"/>
    </w:lvl>
  </w:abstractNum>
  <w:abstractNum w:abstractNumId="7" w15:restartNumberingAfterBreak="0">
    <w:nsid w:val="00A670EE"/>
    <w:multiLevelType w:val="singleLevel"/>
    <w:tmpl w:val="510A3506"/>
    <w:lvl w:ilvl="0">
      <w:start w:val="1"/>
      <w:numFmt w:val="decimal"/>
      <w:suff w:val="nothing"/>
      <w:lvlText w:val="（%1）"/>
      <w:lvlJc w:val="left"/>
    </w:lvl>
  </w:abstractNum>
  <w:abstractNum w:abstractNumId="8" w15:restartNumberingAfterBreak="0">
    <w:nsid w:val="0286C515"/>
    <w:multiLevelType w:val="multilevel"/>
    <w:tmpl w:val="54B02AA4"/>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2C3ECAB"/>
    <w:multiLevelType w:val="multilevel"/>
    <w:tmpl w:val="3CFA0BAF"/>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0D3D45F"/>
    <w:multiLevelType w:val="singleLevel"/>
    <w:tmpl w:val="7A29506B"/>
    <w:lvl w:ilvl="0">
      <w:start w:val="1"/>
      <w:numFmt w:val="decimal"/>
      <w:suff w:val="nothing"/>
      <w:lvlText w:val="（%1）"/>
      <w:lvlJc w:val="left"/>
    </w:lvl>
  </w:abstractNum>
  <w:abstractNum w:abstractNumId="11" w15:restartNumberingAfterBreak="0">
    <w:nsid w:val="0559A233"/>
    <w:multiLevelType w:val="multilevel"/>
    <w:tmpl w:val="38167239"/>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0C384B3"/>
    <w:multiLevelType w:val="multilevel"/>
    <w:tmpl w:val="2EA814D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190FD6F"/>
    <w:multiLevelType w:val="singleLevel"/>
    <w:tmpl w:val="6D2A3EBA"/>
    <w:lvl w:ilvl="0">
      <w:start w:val="1"/>
      <w:numFmt w:val="decimal"/>
      <w:suff w:val="nothing"/>
      <w:lvlText w:val="（%1）"/>
      <w:lvlJc w:val="left"/>
    </w:lvl>
  </w:abstractNum>
  <w:num w:numId="1" w16cid:durableId="1130978136">
    <w:abstractNumId w:val="2"/>
  </w:num>
  <w:num w:numId="2" w16cid:durableId="1155142045">
    <w:abstractNumId w:val="1"/>
  </w:num>
  <w:num w:numId="3" w16cid:durableId="1731229046">
    <w:abstractNumId w:val="0"/>
  </w:num>
  <w:num w:numId="5" w16cid:durableId="2000227284">
    <w:abstractNumId w:val="4"/>
  </w:num>
  <w:num w:numId="6" w16cid:durableId="1518694396">
    <w:abstractNumId w:val="5"/>
  </w:num>
  <w:num w:numId="7" w16cid:durableId="1447232232">
    <w:abstractNumId w:val="6"/>
  </w:num>
  <w:num w:numId="8" w16cid:durableId="1447232232">
    <w:abstractNumId w:val="6"/>
    <w:lvlOverride w:ilvl="0">
      <w:startOverride w:val="1"/>
    </w:lvlOverride>
  </w:num>
  <w:num w:numId="9" w16cid:durableId="1632636312">
    <w:abstractNumId w:val="7"/>
  </w:num>
  <w:num w:numId="10" w16cid:durableId="1489862097">
    <w:abstractNumId w:val="8"/>
  </w:num>
  <w:num w:numId="11" w16cid:durableId="1489862097">
    <w:abstractNumId w:val="8"/>
    <w:lvlOverride w:ilvl="0">
      <w:startOverride w:val="1"/>
    </w:lvlOverride>
  </w:num>
  <w:num w:numId="12" w16cid:durableId="1350333541">
    <w:abstractNumId w:val="9"/>
  </w:num>
  <w:num w:numId="13" w16cid:durableId="735511410">
    <w:abstractNumId w:val="10"/>
  </w:num>
  <w:num w:numId="14" w16cid:durableId="124278880">
    <w:abstractNumId w:val="11"/>
  </w:num>
  <w:num w:numId="15" w16cid:durableId="764764417">
    <w:abstractNumId w:val="12"/>
  </w:num>
  <w:num w:numId="16" w16cid:durableId="446394345">
    <w:abstractNumId w:val="13"/>
  </w:num>
  <w:num w:numId="4" w16cid:durableId="5875427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A21956"/>
    <w:rsid w:val="00386273"/>
    <w:rsid w:val="00A21956"/>
    <w:rsid w:val="00AC4D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071D14BE-8816-48B1-ABB9-BA4D06C89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0" w:line="240" w:lineRule="auto"/>
      <w:jc w:val="both"/>
    </w:pPr>
    <w:rPr>
      <w:rFonts w:ascii="方正黑体_GBK" w:eastAsia="方正黑体_GBK" w:hAnsi="方正黑体_GBK" w:cs="Times New Roman"/>
      <w:sz w:val="21"/>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e4c325cf">
    <w:name w:val="Normale4c325cf"/>
    <w:pPr>
      <w:widowControl w:val="0"/>
      <w:spacing w:after="0" w:line="240" w:lineRule="auto"/>
      <w:jc w:val="both"/>
    </w:pPr>
    <w:rPr>
      <w:rFonts w:ascii="方正黑体_GBK" w:eastAsia="方正黑体_GBK" w:hAnsi="方正黑体_GBK" w:cs="Times New Roman"/>
      <w:sz w:val="21"/>
      <w:szCs w:val="21"/>
    </w:rPr>
  </w:style>
  <w:style w:type="paragraph" w:customStyle="1" w:styleId="heading12761eece">
    <w:name w:val="heading 12761eece"/>
    <w:basedOn w:val="Normale4c325cf"/>
    <w:next w:val="a"/>
    <w:pPr>
      <w:keepNext/>
      <w:keepLines/>
      <w:spacing w:before="340" w:after="330" w:line="578" w:lineRule="auto"/>
      <w:outlineLvl w:val="0"/>
    </w:pPr>
    <w:rPr>
      <w:b/>
      <w:bCs/>
      <w:kern w:val="44"/>
      <w:sz w:val="44"/>
    </w:rPr>
  </w:style>
  <w:style w:type="paragraph" w:customStyle="1" w:styleId="heading278c09758">
    <w:name w:val="heading 278c09758"/>
    <w:basedOn w:val="Normale4c325cf"/>
    <w:next w:val="a"/>
    <w:pPr>
      <w:keepNext/>
      <w:keepLines/>
      <w:spacing w:before="260" w:after="260" w:line="415" w:lineRule="auto"/>
      <w:outlineLvl w:val="1"/>
    </w:pPr>
    <w:rPr>
      <w:b/>
      <w:sz w:val="32"/>
    </w:rPr>
  </w:style>
  <w:style w:type="paragraph" w:customStyle="1" w:styleId="heading35ac29b69">
    <w:name w:val="heading 35ac29b69"/>
    <w:basedOn w:val="Normale4c325cf"/>
    <w:next w:val="a"/>
    <w:pPr>
      <w:keepNext/>
      <w:keepLines/>
      <w:spacing w:before="260" w:after="260" w:line="415" w:lineRule="auto"/>
      <w:outlineLvl w:val="2"/>
    </w:pPr>
    <w:rPr>
      <w:b/>
      <w:sz w:val="32"/>
    </w:rPr>
  </w:style>
  <w:style w:type="character" w:customStyle="1" w:styleId="DefaultParagraphFont73d5d01d">
    <w:name w:val="Default Paragraph Font73d5d01d"/>
  </w:style>
  <w:style w:type="paragraph" w:customStyle="1" w:styleId="toc1758d72df">
    <w:name w:val="toc 1758d72df"/>
    <w:basedOn w:val="Normale4c325cf"/>
    <w:next w:val="a"/>
    <w:autoRedefine/>
  </w:style>
  <w:style w:type="paragraph" w:customStyle="1" w:styleId="toc259cd8e96">
    <w:name w:val="toc 259cd8e96"/>
    <w:basedOn w:val="Normale4c325cf"/>
    <w:next w:val="a"/>
    <w:autoRedefine/>
    <w:pPr>
      <w:ind w:left="420"/>
    </w:pPr>
  </w:style>
  <w:style w:type="paragraph" w:customStyle="1" w:styleId="toc3bf76737d">
    <w:name w:val="toc 3bf76737d"/>
    <w:basedOn w:val="Normale4c325cf"/>
    <w:next w:val="a"/>
    <w:autoRedefine/>
    <w:pPr>
      <w:ind w:left="840"/>
    </w:pPr>
  </w:style>
  <w:style w:type="paragraph" w:customStyle="1" w:styleId="toc4d9a0779d">
    <w:name w:val="toc 4d9a0779d"/>
    <w:basedOn w:val="Normale4c325cf"/>
    <w:next w:val="a"/>
    <w:autoRedefine/>
    <w:pPr>
      <w:ind w:left="1260"/>
    </w:pPr>
  </w:style>
  <w:style w:type="paragraph" w:customStyle="1" w:styleId="toc5f82ad485">
    <w:name w:val="toc 5f82ad485"/>
    <w:basedOn w:val="Normale4c325cf"/>
    <w:next w:val="a"/>
    <w:autoRedefine/>
    <w:pPr>
      <w:ind w:left="1680"/>
    </w:pPr>
  </w:style>
  <w:style w:type="paragraph" w:customStyle="1" w:styleId="header83ce39fa">
    <w:name w:val="header83ce39fa"/>
    <w:basedOn w:val="Normale4c325cf"/>
    <w:pPr>
      <w:pBdr>
        <w:bottom w:val="single" w:sz="6" w:space="1" w:color="auto"/>
      </w:pBdr>
      <w:tabs>
        <w:tab w:val="center" w:pos="4153"/>
        <w:tab w:val="right" w:pos="8307"/>
      </w:tabs>
      <w:snapToGrid w:val="0"/>
      <w:jc w:val="center"/>
    </w:pPr>
    <w:rPr>
      <w:sz w:val="18"/>
    </w:rPr>
  </w:style>
  <w:style w:type="paragraph" w:customStyle="1" w:styleId="footer89b19aff">
    <w:name w:val="footer89b19aff"/>
    <w:basedOn w:val="Normale4c325cf"/>
    <w:pPr>
      <w:tabs>
        <w:tab w:val="center" w:pos="4153"/>
        <w:tab w:val="right" w:pos="8307"/>
      </w:tabs>
      <w:snapToGrid w:val="0"/>
      <w:jc w:val="left"/>
    </w:pPr>
    <w:rPr>
      <w:sz w:val="18"/>
    </w:rPr>
  </w:style>
  <w:style w:type="character" w:customStyle="1" w:styleId="Strong46c7fd02">
    <w:name w:val="Strong46c7fd02"/>
    <w:rPr>
      <w:b/>
    </w:rPr>
  </w:style>
  <w:style w:type="paragraph" w:customStyle="1" w:styleId="annotationtext23">
    <w:name w:val="annotation text23"/>
    <w:next w:val="TOC1"/>
    <w:pPr>
      <w:widowControl w:val="0"/>
      <w:spacing w:after="0" w:line="240" w:lineRule="auto"/>
    </w:pPr>
    <w:rPr>
      <w:rFonts w:ascii="方正黑体_GBK" w:eastAsia="方正黑体_GBK" w:hAnsi="方正黑体_GBK" w:cs="Times New Roman"/>
      <w:sz w:val="21"/>
      <w:szCs w:val="21"/>
    </w:rPr>
  </w:style>
  <w:style w:type="paragraph" w:customStyle="1" w:styleId="Normal9da23eb9">
    <w:name w:val="Normal9da23eb9"/>
    <w:next w:val="TOC1"/>
    <w:pPr>
      <w:widowControl w:val="0"/>
      <w:spacing w:after="0" w:line="240" w:lineRule="auto"/>
      <w:jc w:val="both"/>
    </w:pPr>
    <w:rPr>
      <w:rFonts w:ascii="方正黑体_GBK" w:eastAsia="方正黑体_GBK" w:hAnsi="方正黑体_GBK" w:cs="Times New Roman"/>
      <w:sz w:val="18"/>
      <w:szCs w:val="18"/>
    </w:rPr>
  </w:style>
  <w:style w:type="paragraph" w:customStyle="1" w:styleId="heading1743d62ec">
    <w:name w:val="heading 1743d62ec"/>
    <w:basedOn w:val="Normal9da23eb9"/>
    <w:next w:val="a"/>
    <w:pPr>
      <w:keepNext/>
      <w:keepLines/>
      <w:spacing w:before="340" w:after="330" w:line="578" w:lineRule="auto"/>
      <w:outlineLvl w:val="0"/>
    </w:pPr>
    <w:rPr>
      <w:b/>
      <w:bCs/>
      <w:kern w:val="44"/>
      <w:sz w:val="44"/>
    </w:rPr>
  </w:style>
  <w:style w:type="paragraph" w:customStyle="1" w:styleId="heading270ac5cf3">
    <w:name w:val="heading 270ac5cf3"/>
    <w:basedOn w:val="Normal9da23eb9"/>
    <w:next w:val="a"/>
    <w:pPr>
      <w:keepNext/>
      <w:keepLines/>
      <w:spacing w:before="260" w:after="260" w:line="415" w:lineRule="auto"/>
      <w:outlineLvl w:val="1"/>
    </w:pPr>
    <w:rPr>
      <w:b/>
      <w:sz w:val="32"/>
    </w:rPr>
  </w:style>
  <w:style w:type="paragraph" w:customStyle="1" w:styleId="heading357097303">
    <w:name w:val="heading 357097303"/>
    <w:basedOn w:val="Normal9da23eb9"/>
    <w:next w:val="a"/>
    <w:pPr>
      <w:keepNext/>
      <w:keepLines/>
      <w:spacing w:before="260" w:after="260" w:line="415" w:lineRule="auto"/>
      <w:outlineLvl w:val="2"/>
    </w:pPr>
    <w:rPr>
      <w:b/>
      <w:sz w:val="32"/>
    </w:rPr>
  </w:style>
  <w:style w:type="character" w:customStyle="1" w:styleId="DefaultParagraphFont7e5298be">
    <w:name w:val="Default Paragraph Font7e5298be"/>
  </w:style>
  <w:style w:type="paragraph" w:customStyle="1" w:styleId="NormalIndente902bc53">
    <w:name w:val="Normal Indente902bc53"/>
    <w:basedOn w:val="Normal9da23eb9"/>
    <w:pPr>
      <w:ind w:firstLineChars="200" w:firstLine="200"/>
    </w:pPr>
  </w:style>
  <w:style w:type="paragraph" w:customStyle="1" w:styleId="toc59495430f">
    <w:name w:val="toc 59495430f"/>
    <w:basedOn w:val="Normal9da23eb9"/>
    <w:next w:val="a"/>
    <w:pPr>
      <w:ind w:left="1680"/>
    </w:pPr>
  </w:style>
  <w:style w:type="paragraph" w:customStyle="1" w:styleId="toc36cbc6f21">
    <w:name w:val="toc 36cbc6f21"/>
    <w:basedOn w:val="Normal9da23eb9"/>
    <w:next w:val="a"/>
    <w:pPr>
      <w:ind w:left="840"/>
    </w:pPr>
  </w:style>
  <w:style w:type="paragraph" w:customStyle="1" w:styleId="footer87948da3">
    <w:name w:val="footer87948da3"/>
    <w:basedOn w:val="Normal9da23eb9"/>
    <w:pPr>
      <w:tabs>
        <w:tab w:val="center" w:pos="4153"/>
        <w:tab w:val="right" w:pos="8307"/>
      </w:tabs>
      <w:snapToGrid w:val="0"/>
      <w:jc w:val="left"/>
    </w:pPr>
  </w:style>
  <w:style w:type="paragraph" w:customStyle="1" w:styleId="headerb9e2fe1d">
    <w:name w:val="headerb9e2fe1d"/>
    <w:basedOn w:val="Normal9da23eb9"/>
    <w:pPr>
      <w:pBdr>
        <w:bottom w:val="single" w:sz="6" w:space="1" w:color="auto"/>
      </w:pBdr>
      <w:tabs>
        <w:tab w:val="center" w:pos="4153"/>
        <w:tab w:val="right" w:pos="8307"/>
      </w:tabs>
      <w:snapToGrid w:val="0"/>
      <w:jc w:val="center"/>
    </w:pPr>
  </w:style>
  <w:style w:type="paragraph" w:customStyle="1" w:styleId="toc12cefae58">
    <w:name w:val="toc 12cefae58"/>
    <w:basedOn w:val="Normal9da23eb9"/>
    <w:next w:val="a"/>
  </w:style>
  <w:style w:type="paragraph" w:customStyle="1" w:styleId="toc4b0c259a0">
    <w:name w:val="toc 4b0c259a0"/>
    <w:basedOn w:val="Normal9da23eb9"/>
    <w:next w:val="a"/>
    <w:pPr>
      <w:ind w:left="1260"/>
    </w:pPr>
  </w:style>
  <w:style w:type="paragraph" w:customStyle="1" w:styleId="toc29c2192c1">
    <w:name w:val="toc 29c2192c1"/>
    <w:basedOn w:val="Normal9da23eb9"/>
    <w:next w:val="a"/>
    <w:pPr>
      <w:ind w:left="420"/>
    </w:pPr>
  </w:style>
  <w:style w:type="paragraph" w:customStyle="1" w:styleId="NormalWebba366249">
    <w:name w:val="Normal (Web)ba366249"/>
    <w:next w:val="a3"/>
    <w:pPr>
      <w:spacing w:before="102" w:after="102" w:line="1099" w:lineRule="atLeast"/>
      <w:ind w:firstLine="419"/>
      <w:textAlignment w:val="baseline"/>
    </w:pPr>
    <w:rPr>
      <w:rFonts w:ascii="方正黑体_GBK" w:eastAsia="方正黑体_GBK" w:hAnsi="方正黑体_GBK" w:cs="Times New Roman"/>
      <w:kern w:val="0"/>
      <w:sz w:val="24"/>
    </w:rPr>
  </w:style>
  <w:style w:type="paragraph" w:customStyle="1" w:styleId="124">
    <w:name w:val="引文目录124"/>
    <w:next w:val="a"/>
    <w:pPr>
      <w:widowControl w:val="0"/>
      <w:spacing w:before="100" w:beforeAutospacing="1" w:after="100" w:afterAutospacing="1" w:line="240" w:lineRule="auto"/>
      <w:ind w:leftChars="200" w:left="200"/>
      <w:jc w:val="both"/>
      <w:textAlignment w:val="baseline"/>
    </w:pPr>
    <w:rPr>
      <w:rFonts w:ascii="方正黑体_GBK" w:eastAsia="方正黑体_GBK" w:hAnsi="方正黑体_GBK" w:cs="Times New Roman"/>
      <w:sz w:val="21"/>
      <w:szCs w:val="21"/>
    </w:rPr>
  </w:style>
  <w:style w:type="paragraph" w:customStyle="1" w:styleId="Normalf42a7b4ff42a7b4f">
    <w:name w:val="Normalf42a7b4ff42a7b4f"/>
    <w:next w:val="TOC1"/>
    <w:pPr>
      <w:widowControl w:val="0"/>
      <w:spacing w:after="0" w:line="240" w:lineRule="auto"/>
      <w:jc w:val="both"/>
    </w:pPr>
    <w:rPr>
      <w:rFonts w:ascii="方正黑体_GBK" w:eastAsia="方正黑体_GBK" w:hAnsi="方正黑体_GBK" w:cs="Times New Roman"/>
      <w:sz w:val="21"/>
      <w:szCs w:val="21"/>
    </w:rPr>
  </w:style>
  <w:style w:type="paragraph" w:customStyle="1" w:styleId="heading1c51843cdc51843cd">
    <w:name w:val="heading 1c51843cdc51843cd"/>
    <w:basedOn w:val="Normalf42a7b4ff42a7b4f"/>
    <w:next w:val="a"/>
    <w:pPr>
      <w:keepNext/>
      <w:keepLines/>
      <w:spacing w:before="340" w:after="330" w:line="578" w:lineRule="auto"/>
      <w:outlineLvl w:val="0"/>
    </w:pPr>
    <w:rPr>
      <w:b/>
      <w:bCs/>
      <w:kern w:val="44"/>
      <w:sz w:val="44"/>
    </w:rPr>
  </w:style>
  <w:style w:type="paragraph" w:customStyle="1" w:styleId="heading2661209a4661209a4">
    <w:name w:val="heading 2661209a4661209a4"/>
    <w:basedOn w:val="Normalf42a7b4ff42a7b4f"/>
    <w:next w:val="a"/>
    <w:pPr>
      <w:keepNext/>
      <w:keepLines/>
      <w:spacing w:before="260" w:after="260" w:line="415" w:lineRule="auto"/>
      <w:outlineLvl w:val="1"/>
    </w:pPr>
    <w:rPr>
      <w:b/>
      <w:sz w:val="32"/>
    </w:rPr>
  </w:style>
  <w:style w:type="paragraph" w:customStyle="1" w:styleId="heading3a5e65734a5e65734">
    <w:name w:val="heading 3a5e65734a5e65734"/>
    <w:basedOn w:val="Normalf42a7b4ff42a7b4f"/>
    <w:next w:val="a"/>
    <w:pPr>
      <w:keepNext/>
      <w:keepLines/>
      <w:spacing w:before="260" w:after="260" w:line="415" w:lineRule="auto"/>
      <w:outlineLvl w:val="2"/>
    </w:pPr>
    <w:rPr>
      <w:b/>
      <w:sz w:val="32"/>
    </w:rPr>
  </w:style>
  <w:style w:type="character" w:customStyle="1" w:styleId="DefaultParagraphFont1be0626c1be0626c">
    <w:name w:val="Default Paragraph Font1be0626c1be0626c"/>
  </w:style>
  <w:style w:type="paragraph" w:customStyle="1" w:styleId="167dda8e067dda8e0">
    <w:name w:val="引文目录167dda8e067dda8e0"/>
    <w:basedOn w:val="Normalf42a7b4ff42a7b4f"/>
    <w:next w:val="a"/>
    <w:pPr>
      <w:ind w:leftChars="200" w:left="200"/>
    </w:pPr>
  </w:style>
  <w:style w:type="paragraph" w:customStyle="1" w:styleId="toc5aa13eed4aa13eed4">
    <w:name w:val="toc 5aa13eed4aa13eed4"/>
    <w:basedOn w:val="Normalf42a7b4ff42a7b4f"/>
    <w:next w:val="a"/>
    <w:pPr>
      <w:ind w:left="1680"/>
    </w:pPr>
  </w:style>
  <w:style w:type="paragraph" w:customStyle="1" w:styleId="toc3eabd9062eabd9062">
    <w:name w:val="toc 3eabd9062eabd9062"/>
    <w:basedOn w:val="Normalf42a7b4ff42a7b4f"/>
    <w:next w:val="a"/>
    <w:pPr>
      <w:ind w:left="840"/>
    </w:pPr>
  </w:style>
  <w:style w:type="paragraph" w:customStyle="1" w:styleId="footere9541af3e9541af3">
    <w:name w:val="footere9541af3e9541af3"/>
    <w:basedOn w:val="Normalf42a7b4ff42a7b4f"/>
    <w:pPr>
      <w:tabs>
        <w:tab w:val="center" w:pos="4153"/>
        <w:tab w:val="right" w:pos="8307"/>
      </w:tabs>
      <w:snapToGrid w:val="0"/>
      <w:jc w:val="left"/>
    </w:pPr>
    <w:rPr>
      <w:sz w:val="18"/>
    </w:rPr>
  </w:style>
  <w:style w:type="paragraph" w:customStyle="1" w:styleId="header5ceaf7025ceaf702">
    <w:name w:val="header5ceaf7025ceaf702"/>
    <w:basedOn w:val="Normalf42a7b4ff42a7b4f"/>
    <w:pPr>
      <w:pBdr>
        <w:bottom w:val="single" w:sz="6" w:space="1" w:color="auto"/>
      </w:pBdr>
      <w:tabs>
        <w:tab w:val="center" w:pos="4153"/>
        <w:tab w:val="right" w:pos="8307"/>
      </w:tabs>
      <w:snapToGrid w:val="0"/>
      <w:jc w:val="center"/>
    </w:pPr>
    <w:rPr>
      <w:sz w:val="18"/>
    </w:rPr>
  </w:style>
  <w:style w:type="paragraph" w:customStyle="1" w:styleId="toc13801b2ea3801b2ea">
    <w:name w:val="toc 13801b2ea3801b2ea"/>
    <w:basedOn w:val="Normalf42a7b4ff42a7b4f"/>
    <w:next w:val="a"/>
  </w:style>
  <w:style w:type="paragraph" w:customStyle="1" w:styleId="toc42e2492062e249206">
    <w:name w:val="toc 42e2492062e249206"/>
    <w:basedOn w:val="Normalf42a7b4ff42a7b4f"/>
    <w:next w:val="a"/>
    <w:pPr>
      <w:ind w:left="1260"/>
    </w:pPr>
  </w:style>
  <w:style w:type="paragraph" w:customStyle="1" w:styleId="toc23a48c0b53a48c0b5">
    <w:name w:val="toc 23a48c0b53a48c0b5"/>
    <w:basedOn w:val="Normalf42a7b4ff42a7b4f"/>
    <w:next w:val="a"/>
    <w:pPr>
      <w:ind w:left="420"/>
    </w:pPr>
  </w:style>
  <w:style w:type="paragraph" w:customStyle="1" w:styleId="131bc259c31bc259c">
    <w:name w:val="列出段落131bc259c31bc259c"/>
    <w:pPr>
      <w:widowControl w:val="0"/>
      <w:spacing w:after="0" w:line="240" w:lineRule="auto"/>
      <w:ind w:firstLineChars="200" w:firstLine="200"/>
      <w:jc w:val="both"/>
    </w:pPr>
    <w:rPr>
      <w:rFonts w:ascii="方正黑体_GBK" w:eastAsia="方正黑体_GBK" w:hAnsi="方正黑体_GBK" w:cs="Times New Roman"/>
      <w:sz w:val="21"/>
      <w:szCs w:val="21"/>
    </w:rPr>
  </w:style>
  <w:style w:type="paragraph" w:customStyle="1" w:styleId="10">
    <w:name w:val="列出段落1"/>
    <w:basedOn w:val="a"/>
    <w:uiPriority w:val="99"/>
    <w:qFormat/>
    <w:pPr>
      <w:ind w:firstLineChars="200" w:firstLine="420"/>
    </w:pPr>
  </w:style>
  <w:style w:type="paragraph" w:customStyle="1" w:styleId="11">
    <w:name w:val="列表段落1"/>
    <w:basedOn w:val="a"/>
    <w:uiPriority w:val="34"/>
    <w:unhideWhenUsed/>
    <w:qFormat/>
    <w:pPr>
      <w:ind w:firstLineChars="200" w:firstLine="420"/>
    </w:pPr>
  </w:style>
  <w:style w:type="character" w:customStyle="1" w:styleId="fontstyle01">
    <w:name w:val="fontstyle01"/>
    <w:qFormat/>
    <w:rPr>
      <w:rFonts w:ascii="MicrosoftYaHei_PDF_Subset" w:hAnsi="MicrosoftYaHei_PDF_Subse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25440</Words>
  <Characters>26318</Characters>
  <Application>Microsoft Office Word</Application>
  <DocSecurity>0</DocSecurity>
  <Lines>895</Lines>
  <Paragraphs>415</Paragraphs>
  <ScaleCrop>false</ScaleCrop>
  <Company/>
  <LinksUpToDate>false</LinksUpToDate>
  <CharactersWithSpaces>26543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15951866553@163.com</cp:lastModifiedBy>
  <cp:revision>2</cp:revision>
  <dcterms:created xsi:type="dcterms:W3CDTF">2025-10-31T08:33:00Z</dcterms:created>
  <dcterms:modified xsi:type="dcterms:W3CDTF">2025-10-31T08:33:00Z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