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01E1649">
      <w:pPr>
        <w:pStyle w:val="30"/>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hAnsi="方正黑体_GBK" w:eastAsia="方正黑体_GBK"/>
          <w:b/>
          <w:bCs/>
          <w:caps w:val="0"/>
          <w:smallCaps w:val="0"/>
          <w:snapToGrid/>
          <w:vanish w:val="0"/>
          <w:color w:val="auto"/>
          <w:kern w:val="0"/>
          <w:sz w:val="24"/>
          <w:szCs w:val="24"/>
          <w:vertAlign w:val="baseline"/>
        </w:rPr>
      </w:pPr>
      <w:bookmarkStart w:id="0" w:name="_GoBack"/>
      <w:bookmarkEnd w:id="0"/>
      <w:r>
        <w:rPr>
          <w:rFonts w:ascii="方正黑体_GBK" w:hAnsi="方正黑体_GBK" w:eastAsia="方正黑体_GBK"/>
          <w:b/>
          <w:bCs/>
          <w:caps w:val="0"/>
          <w:smallCaps w:val="0"/>
          <w:snapToGrid/>
          <w:vanish w:val="0"/>
          <w:color w:val="auto"/>
          <w:kern w:val="0"/>
          <w:sz w:val="24"/>
          <w:szCs w:val="15"/>
          <w:vertAlign w:val="baseline"/>
        </w:rPr>
        <w:t xml:space="preserve"> </w:t>
      </w:r>
      <w:r>
        <w:rPr>
          <w:rFonts w:hint="eastAsia" w:ascii="方正黑体_GBK" w:hAnsi="方正黑体_GBK" w:eastAsia="方正黑体_GBK"/>
          <w:b/>
          <w:bCs/>
          <w:caps w:val="0"/>
          <w:smallCaps w:val="0"/>
          <w:snapToGrid/>
          <w:vanish w:val="0"/>
          <w:color w:val="auto"/>
          <w:kern w:val="0"/>
          <w:sz w:val="24"/>
          <w:szCs w:val="24"/>
          <w:vertAlign w:val="baseline"/>
        </w:rPr>
        <w:t>理财产品说明书</w:t>
      </w:r>
    </w:p>
    <w:p w14:paraId="2AE87C59">
      <w:pPr>
        <w:pStyle w:val="30"/>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hAnsi="方正黑体_GBK" w:eastAsia="方正黑体_GBK"/>
          <w:b/>
          <w:bCs/>
          <w:i/>
          <w:iCs/>
          <w:caps w:val="0"/>
          <w:smallCaps w:val="0"/>
          <w:snapToGrid/>
          <w:vanish w:val="0"/>
          <w:color w:val="auto"/>
          <w:kern w:val="0"/>
          <w:sz w:val="24"/>
          <w:szCs w:val="24"/>
          <w:u w:val="single"/>
          <w:vertAlign w:val="baseline"/>
        </w:rPr>
      </w:pPr>
      <w:r>
        <w:rPr>
          <w:rFonts w:ascii="方正黑体_GBK" w:hAnsi="方正黑体_GBK" w:eastAsia="方正黑体_GBK"/>
          <w:b/>
          <w:bCs/>
          <w:i/>
          <w:iCs/>
          <w:caps w:val="0"/>
          <w:smallCaps w:val="0"/>
          <w:snapToGrid/>
          <w:vanish w:val="0"/>
          <w:color w:val="auto"/>
          <w:kern w:val="0"/>
          <w:sz w:val="24"/>
          <w:szCs w:val="24"/>
          <w:u w:val="single"/>
          <w:vertAlign w:val="baseline"/>
        </w:rPr>
        <w:t>“</w:t>
      </w:r>
      <w:r>
        <w:rPr>
          <w:rFonts w:hint="eastAsia" w:ascii="方正黑体_GBK" w:hAnsi="方正黑体_GBK" w:eastAsia="方正黑体_GBK"/>
          <w:b/>
          <w:bCs/>
          <w:i/>
          <w:iCs/>
          <w:caps w:val="0"/>
          <w:smallCaps w:val="0"/>
          <w:snapToGrid/>
          <w:vanish w:val="0"/>
          <w:color w:val="auto"/>
          <w:kern w:val="0"/>
          <w:sz w:val="24"/>
          <w:szCs w:val="24"/>
          <w:u w:val="single"/>
          <w:vertAlign w:val="baseline"/>
        </w:rPr>
        <w:t>理财非存款、产品有风险、投资须谨慎</w:t>
      </w:r>
      <w:r>
        <w:rPr>
          <w:rFonts w:ascii="方正黑体_GBK" w:hAnsi="方正黑体_GBK" w:eastAsia="方正黑体_GBK"/>
          <w:b/>
          <w:bCs/>
          <w:i/>
          <w:iCs/>
          <w:caps w:val="0"/>
          <w:smallCaps w:val="0"/>
          <w:snapToGrid/>
          <w:vanish w:val="0"/>
          <w:color w:val="auto"/>
          <w:kern w:val="0"/>
          <w:sz w:val="24"/>
          <w:szCs w:val="24"/>
          <w:u w:val="single"/>
          <w:vertAlign w:val="baseline"/>
        </w:rPr>
        <w:t>”</w:t>
      </w:r>
      <w:r>
        <w:rPr>
          <w:rFonts w:hint="eastAsia" w:ascii="方正黑体_GBK" w:hAnsi="方正黑体_GBK" w:eastAsia="方正黑体_GBK"/>
          <w:b/>
          <w:bCs/>
          <w:i/>
          <w:iCs/>
          <w:caps w:val="0"/>
          <w:smallCaps w:val="0"/>
          <w:snapToGrid/>
          <w:vanish w:val="0"/>
          <w:color w:val="auto"/>
          <w:kern w:val="0"/>
          <w:sz w:val="24"/>
          <w:szCs w:val="24"/>
          <w:u w:val="single"/>
          <w:vertAlign w:val="baseline"/>
        </w:rPr>
        <w:t>！</w:t>
      </w:r>
    </w:p>
    <w:p w14:paraId="54700675">
      <w:pPr>
        <w:pStyle w:val="43"/>
        <w:keepNext w:val="0"/>
        <w:keepLines w:val="0"/>
        <w:pageBreakBefore w:val="0"/>
        <w:widowControl/>
        <w:suppressLineNumbers w:val="0"/>
        <w:suppressAutoHyphens w:val="0"/>
        <w:spacing w:line="200" w:lineRule="exact"/>
        <w:ind w:firstLine="0"/>
        <w:jc w:val="both"/>
        <w:textAlignment w:val="baseline"/>
        <w:rPr>
          <w:rFonts w:ascii="方正黑体_GBK" w:hAnsi="方正黑体_GBK" w:eastAsia="方正黑体_GBK"/>
          <w:b/>
          <w:bCs w:val="0"/>
          <w:caps w:val="0"/>
          <w:smallCaps w:val="0"/>
          <w:snapToGrid/>
          <w:vanish w:val="0"/>
          <w:color w:val="3D3D3D"/>
          <w:kern w:val="0"/>
          <w:sz w:val="15"/>
          <w:szCs w:val="15"/>
          <w:vertAlign w:val="baseline"/>
        </w:rPr>
      </w:pPr>
      <w:r>
        <w:rPr>
          <w:rFonts w:hint="eastAsia" w:ascii="方正黑体_GBK" w:hAnsi="方正黑体_GBK" w:eastAsia="方正黑体_GBK"/>
          <w:b/>
          <w:bCs w:val="0"/>
          <w:caps w:val="0"/>
          <w:smallCaps w:val="0"/>
          <w:snapToGrid/>
          <w:vanish w:val="0"/>
          <w:color w:val="3D3D3D"/>
          <w:kern w:val="0"/>
          <w:sz w:val="15"/>
          <w:szCs w:val="15"/>
          <w:vertAlign w:val="baseline"/>
        </w:rPr>
        <w:t>第一条</w:t>
      </w:r>
      <w:r>
        <w:rPr>
          <w:rFonts w:ascii="方正黑体_GBK" w:hAnsi="方正黑体_GBK" w:eastAsia="方正黑体_GBK" w:cs="Times New Roman"/>
          <w:b/>
          <w:bCs w:val="0"/>
          <w:caps w:val="0"/>
          <w:smallCaps w:val="0"/>
          <w:snapToGrid/>
          <w:vanish w:val="0"/>
          <w:color w:val="3D3D3D"/>
          <w:kern w:val="0"/>
          <w:sz w:val="15"/>
          <w:szCs w:val="15"/>
          <w:vertAlign w:val="baseline"/>
        </w:rPr>
        <w:t xml:space="preserve">  </w:t>
      </w:r>
      <w:r>
        <w:rPr>
          <w:rFonts w:hint="eastAsia" w:ascii="方正黑体_GBK" w:hAnsi="方正黑体_GBK" w:eastAsia="方正黑体_GBK"/>
          <w:b/>
          <w:bCs w:val="0"/>
          <w:caps w:val="0"/>
          <w:smallCaps w:val="0"/>
          <w:snapToGrid/>
          <w:vanish w:val="0"/>
          <w:color w:val="3D3D3D"/>
          <w:kern w:val="0"/>
          <w:sz w:val="15"/>
          <w:szCs w:val="15"/>
          <w:vertAlign w:val="baseline"/>
        </w:rPr>
        <w:t>产品基本要素</w:t>
      </w:r>
    </w:p>
    <w:tbl>
      <w:tblPr>
        <w:tblStyle w:val="12"/>
        <w:tblW w:w="7815" w:type="dxa"/>
        <w:jc w:val="center"/>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Layout w:type="fixed"/>
        <w:tblCellMar>
          <w:top w:w="57" w:type="dxa"/>
          <w:left w:w="108" w:type="dxa"/>
          <w:bottom w:w="57" w:type="dxa"/>
          <w:right w:w="108" w:type="dxa"/>
        </w:tblCellMar>
      </w:tblPr>
      <w:tblGrid>
        <w:gridCol w:w="2272"/>
        <w:gridCol w:w="5543"/>
      </w:tblGrid>
      <w:tr w14:paraId="3B73E726">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2" w:space="0"/>
              <w:right w:val="single" w:color="auto" w:sz="4" w:space="0"/>
              <w:tl2br w:val="nil"/>
              <w:tr2bl w:val="nil"/>
            </w:tcBorders>
            <w:vAlign w:val="center"/>
          </w:tcPr>
          <w:p w14:paraId="029B6AD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产品名称</w:t>
            </w:r>
          </w:p>
        </w:tc>
        <w:tc>
          <w:tcPr>
            <w:tcW w:w="5543" w:type="dxa"/>
            <w:tcBorders>
              <w:top w:val="single" w:color="auto" w:sz="4" w:space="0"/>
              <w:left w:val="nil"/>
              <w:bottom w:val="single" w:color="auto" w:sz="2" w:space="0"/>
              <w:right w:val="single" w:color="auto" w:sz="4" w:space="0"/>
              <w:tl2br w:val="nil"/>
              <w:tr2bl w:val="nil"/>
            </w:tcBorders>
            <w:vAlign w:val="center"/>
          </w:tcPr>
          <w:p w14:paraId="622E579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南银理财珠联璧合安稳1903一年定开公募人民币理财产品</w:t>
            </w:r>
          </w:p>
        </w:tc>
      </w:tr>
      <w:tr w14:paraId="7951D895">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2" w:space="0"/>
              <w:left w:val="single" w:color="auto" w:sz="2" w:space="0"/>
              <w:bottom w:val="single" w:color="auto" w:sz="2" w:space="0"/>
              <w:right w:val="single" w:color="auto" w:sz="2" w:space="0"/>
            </w:tcBorders>
            <w:vAlign w:val="center"/>
          </w:tcPr>
          <w:p w14:paraId="3F7CB20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产品类型</w:t>
            </w:r>
          </w:p>
        </w:tc>
        <w:tc>
          <w:tcPr>
            <w:tcW w:w="5543" w:type="dxa"/>
            <w:tcBorders>
              <w:top w:val="single" w:color="auto" w:sz="2" w:space="0"/>
              <w:left w:val="single" w:color="auto" w:sz="2" w:space="0"/>
              <w:bottom w:val="single" w:color="auto" w:sz="2" w:space="0"/>
              <w:right w:val="single" w:color="auto" w:sz="2" w:space="0"/>
            </w:tcBorders>
            <w:vAlign w:val="center"/>
          </w:tcPr>
          <w:p w14:paraId="3D54689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定期开放式、固定收益类、公募、净值型</w:t>
            </w:r>
          </w:p>
        </w:tc>
      </w:tr>
      <w:tr w14:paraId="5A71E0ED">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2" w:space="0"/>
              <w:left w:val="single" w:color="auto" w:sz="2" w:space="0"/>
              <w:bottom w:val="single" w:color="auto" w:sz="2" w:space="0"/>
              <w:right w:val="single" w:color="auto" w:sz="2" w:space="0"/>
            </w:tcBorders>
            <w:vAlign w:val="center"/>
          </w:tcPr>
          <w:p w14:paraId="5EAB6BD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募集方式</w:t>
            </w:r>
          </w:p>
        </w:tc>
        <w:tc>
          <w:tcPr>
            <w:tcW w:w="5543" w:type="dxa"/>
            <w:tcBorders>
              <w:top w:val="single" w:color="auto" w:sz="2" w:space="0"/>
              <w:left w:val="single" w:color="auto" w:sz="2" w:space="0"/>
              <w:bottom w:val="single" w:color="auto" w:sz="2" w:space="0"/>
              <w:right w:val="single" w:color="auto" w:sz="2" w:space="0"/>
            </w:tcBorders>
            <w:vAlign w:val="center"/>
          </w:tcPr>
          <w:p w14:paraId="69ED53D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公开募集</w:t>
            </w:r>
          </w:p>
        </w:tc>
      </w:tr>
      <w:tr w14:paraId="0F5C7827">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2" w:space="0"/>
              <w:left w:val="single" w:color="auto" w:sz="4" w:space="0"/>
              <w:bottom w:val="single" w:color="auto" w:sz="4" w:space="0"/>
              <w:right w:val="single" w:color="auto" w:sz="4" w:space="0"/>
              <w:tl2br w:val="nil"/>
              <w:tr2bl w:val="nil"/>
            </w:tcBorders>
            <w:vAlign w:val="center"/>
          </w:tcPr>
          <w:p w14:paraId="0818DA5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理财产品代码</w:t>
            </w:r>
          </w:p>
        </w:tc>
        <w:tc>
          <w:tcPr>
            <w:tcW w:w="5543" w:type="dxa"/>
            <w:tcBorders>
              <w:top w:val="single" w:color="auto" w:sz="2" w:space="0"/>
              <w:left w:val="nil"/>
              <w:bottom w:val="single" w:color="auto" w:sz="4" w:space="0"/>
              <w:right w:val="single" w:color="auto" w:sz="4" w:space="0"/>
              <w:tl2br w:val="nil"/>
              <w:tr2bl w:val="nil"/>
            </w:tcBorders>
            <w:vAlign w:val="center"/>
          </w:tcPr>
          <w:p w14:paraId="2E8C9F4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ZC108691944590</w:t>
            </w:r>
          </w:p>
        </w:tc>
      </w:tr>
      <w:tr w14:paraId="439C7D7F">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25"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C32C07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产品登记编码</w:t>
            </w:r>
          </w:p>
        </w:tc>
        <w:tc>
          <w:tcPr>
            <w:tcW w:w="5543" w:type="dxa"/>
            <w:tcBorders>
              <w:top w:val="single" w:color="auto" w:sz="4" w:space="0"/>
              <w:left w:val="nil"/>
              <w:bottom w:val="single" w:color="auto" w:sz="4" w:space="0"/>
              <w:right w:val="single" w:color="auto" w:sz="4" w:space="0"/>
              <w:tl2br w:val="nil"/>
              <w:tr2bl w:val="nil"/>
            </w:tcBorders>
            <w:vAlign w:val="center"/>
          </w:tcPr>
          <w:p w14:paraId="134AB8E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宋体"/>
                <w:caps w:val="0"/>
                <w:smallCaps w:val="0"/>
                <w:snapToGrid/>
                <w:vanish w:val="0"/>
                <w:color w:val="auto"/>
                <w:kern w:val="0"/>
                <w:sz w:val="18"/>
                <w:szCs w:val="18"/>
                <w:vertAlign w:val="baseline"/>
              </w:rPr>
              <w:t>Z7003221000028(投资者可依据该编码在中国理财网www.chinawealth.com.cn查询理财产品相关信息）</w:t>
            </w:r>
          </w:p>
        </w:tc>
      </w:tr>
      <w:tr w14:paraId="5EE9C5C3">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FEA452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内部销售代码</w:t>
            </w:r>
          </w:p>
        </w:tc>
        <w:tc>
          <w:tcPr>
            <w:tcW w:w="5543" w:type="dxa"/>
            <w:tcBorders>
              <w:top w:val="single" w:color="auto" w:sz="4" w:space="0"/>
              <w:left w:val="nil"/>
              <w:bottom w:val="single" w:color="auto" w:sz="4" w:space="0"/>
              <w:right w:val="single" w:color="auto" w:sz="4" w:space="0"/>
              <w:tl2br w:val="nil"/>
              <w:tr2bl w:val="nil"/>
            </w:tcBorders>
            <w:vAlign w:val="center"/>
          </w:tcPr>
          <w:p w14:paraId="30CDFE2B">
            <w:pPr>
              <w:spacing w:line="200" w:lineRule="exact"/>
            </w:pPr>
            <w:r>
              <w:rPr>
                <w:rFonts w:ascii="方正黑体_GBK" w:hAnsi="方正黑体_GBK" w:eastAsia="方正黑体_GBK" w:cs="宋体"/>
                <w:sz w:val="18"/>
                <w:szCs w:val="18"/>
              </w:rPr>
              <w:t>A份额：Z10024</w:t>
            </w:r>
          </w:p>
          <w:p w14:paraId="66C42D71">
            <w:pPr>
              <w:spacing w:line="200" w:lineRule="exact"/>
            </w:pPr>
            <w:r>
              <w:rPr>
                <w:rFonts w:ascii="方正黑体_GBK" w:hAnsi="方正黑体_GBK" w:eastAsia="方正黑体_GBK" w:cs="宋体"/>
                <w:sz w:val="18"/>
                <w:szCs w:val="18"/>
              </w:rPr>
              <w:t>B份额：ZB10024</w:t>
            </w:r>
          </w:p>
          <w:p w14:paraId="214F696B">
            <w:pPr>
              <w:spacing w:line="200" w:lineRule="exact"/>
            </w:pPr>
            <w:r>
              <w:rPr>
                <w:rFonts w:ascii="方正黑体_GBK" w:hAnsi="方正黑体_GBK" w:eastAsia="方正黑体_GBK" w:cs="宋体"/>
                <w:sz w:val="18"/>
                <w:szCs w:val="18"/>
              </w:rPr>
              <w:t>C份额：ZC10024</w:t>
            </w:r>
          </w:p>
          <w:p w14:paraId="12C2C7BB">
            <w:pPr>
              <w:spacing w:line="200" w:lineRule="exact"/>
            </w:pPr>
            <w:r>
              <w:rPr>
                <w:rFonts w:ascii="方正黑体_GBK" w:hAnsi="方正黑体_GBK" w:eastAsia="方正黑体_GBK" w:cs="宋体"/>
                <w:sz w:val="18"/>
                <w:szCs w:val="18"/>
              </w:rPr>
              <w:t>D份额：ZD10024</w:t>
            </w:r>
          </w:p>
          <w:p w14:paraId="0A5660FC">
            <w:pPr>
              <w:spacing w:line="200" w:lineRule="exact"/>
            </w:pPr>
            <w:r>
              <w:rPr>
                <w:rFonts w:ascii="方正黑体_GBK" w:hAnsi="方正黑体_GBK" w:eastAsia="方正黑体_GBK" w:cs="宋体"/>
                <w:sz w:val="18"/>
                <w:szCs w:val="18"/>
              </w:rPr>
              <w:t>E份额：ZE10024</w:t>
            </w:r>
          </w:p>
          <w:p w14:paraId="1C4D3F8A">
            <w:pPr>
              <w:spacing w:line="200" w:lineRule="exact"/>
            </w:pPr>
            <w:r>
              <w:rPr>
                <w:rFonts w:ascii="方正黑体_GBK" w:hAnsi="方正黑体_GBK" w:eastAsia="方正黑体_GBK" w:cs="宋体"/>
                <w:sz w:val="18"/>
                <w:szCs w:val="18"/>
              </w:rPr>
              <w:t>F份额：ZF10024</w:t>
            </w:r>
          </w:p>
          <w:p w14:paraId="301B1356">
            <w:pPr>
              <w:spacing w:line="200" w:lineRule="exact"/>
            </w:pPr>
            <w:r>
              <w:rPr>
                <w:rFonts w:ascii="方正黑体_GBK" w:hAnsi="方正黑体_GBK" w:eastAsia="方正黑体_GBK" w:cs="宋体"/>
                <w:sz w:val="18"/>
                <w:szCs w:val="18"/>
              </w:rPr>
              <w:t>A2份额：Z11024</w:t>
            </w:r>
          </w:p>
          <w:p w14:paraId="38E87753">
            <w:pPr>
              <w:spacing w:line="200" w:lineRule="exact"/>
            </w:pPr>
            <w:r>
              <w:rPr>
                <w:rFonts w:ascii="方正黑体_GBK" w:hAnsi="方正黑体_GBK" w:eastAsia="方正黑体_GBK" w:cs="宋体"/>
                <w:sz w:val="18"/>
                <w:szCs w:val="18"/>
              </w:rPr>
              <w:t>B2份额：ZB11024</w:t>
            </w:r>
          </w:p>
          <w:p w14:paraId="6786BAAA">
            <w:pPr>
              <w:spacing w:line="200" w:lineRule="exact"/>
            </w:pPr>
            <w:r>
              <w:rPr>
                <w:rFonts w:ascii="方正黑体_GBK" w:hAnsi="方正黑体_GBK" w:eastAsia="方正黑体_GBK" w:cs="宋体"/>
                <w:sz w:val="18"/>
                <w:szCs w:val="18"/>
              </w:rPr>
              <w:t>C2份额：ZC11024</w:t>
            </w:r>
          </w:p>
          <w:p w14:paraId="5A56E81B">
            <w:pPr>
              <w:spacing w:line="200" w:lineRule="exact"/>
            </w:pPr>
            <w:r>
              <w:rPr>
                <w:rFonts w:ascii="方正黑体_GBK" w:hAnsi="方正黑体_GBK" w:eastAsia="方正黑体_GBK" w:cs="宋体"/>
                <w:sz w:val="18"/>
                <w:szCs w:val="18"/>
              </w:rPr>
              <w:t>D2份额：ZD11024</w:t>
            </w:r>
          </w:p>
          <w:p w14:paraId="736A8639">
            <w:pPr>
              <w:spacing w:line="200" w:lineRule="exact"/>
              <w:rPr>
                <w:rFonts w:ascii="方正黑体_GBK" w:hAnsi="方正黑体_GBK" w:eastAsia="方正黑体_GBK" w:cs="宋体"/>
                <w:sz w:val="18"/>
                <w:szCs w:val="18"/>
              </w:rPr>
            </w:pPr>
            <w:r>
              <w:rPr>
                <w:rFonts w:ascii="方正黑体_GBK" w:hAnsi="方正黑体_GBK" w:eastAsia="方正黑体_GBK" w:cs="宋体"/>
                <w:sz w:val="18"/>
                <w:szCs w:val="18"/>
              </w:rPr>
              <w:t>E2份额：ZE11024</w:t>
            </w:r>
          </w:p>
          <w:p w14:paraId="419B7EE8">
            <w:pPr>
              <w:spacing w:line="200" w:lineRule="exact"/>
            </w:pPr>
            <w:r>
              <w:rPr>
                <w:rFonts w:ascii="方正黑体_GBK" w:hAnsi="方正黑体_GBK" w:eastAsia="方正黑体_GBK" w:cs="宋体"/>
                <w:sz w:val="18"/>
                <w:szCs w:val="18"/>
              </w:rPr>
              <w:t>F2份额：ZF11024</w:t>
            </w:r>
          </w:p>
          <w:p w14:paraId="656987AD">
            <w:pPr>
              <w:spacing w:line="200" w:lineRule="exact"/>
              <w:rPr>
                <w:rFonts w:ascii="方正黑体_GBK" w:hAnsi="方正黑体_GBK" w:eastAsia="方正黑体_GBK" w:cs="宋体"/>
                <w:sz w:val="18"/>
                <w:szCs w:val="18"/>
              </w:rPr>
            </w:pPr>
            <w:r>
              <w:rPr>
                <w:rFonts w:ascii="方正黑体_GBK" w:hAnsi="方正黑体_GBK" w:eastAsia="方正黑体_GBK" w:cs="宋体"/>
                <w:sz w:val="18"/>
                <w:szCs w:val="18"/>
              </w:rPr>
              <w:t>G2份额：ZG11024</w:t>
            </w:r>
          </w:p>
          <w:p w14:paraId="1719A0D9">
            <w:pPr>
              <w:spacing w:line="200" w:lineRule="exact"/>
            </w:pPr>
            <w:r>
              <w:rPr>
                <w:rFonts w:ascii="方正黑体_GBK" w:hAnsi="方正黑体_GBK" w:eastAsia="方正黑体_GBK" w:cs="宋体"/>
                <w:sz w:val="18"/>
                <w:szCs w:val="18"/>
              </w:rPr>
              <w:t>A3份额：Z12024</w:t>
            </w:r>
          </w:p>
          <w:p w14:paraId="1938EED2">
            <w:pPr>
              <w:spacing w:line="200" w:lineRule="exact"/>
            </w:pPr>
            <w:r>
              <w:rPr>
                <w:rFonts w:ascii="方正黑体_GBK" w:hAnsi="方正黑体_GBK" w:eastAsia="方正黑体_GBK" w:cs="宋体"/>
                <w:sz w:val="18"/>
                <w:szCs w:val="18"/>
              </w:rPr>
              <w:t>B3份额：ZB12024</w:t>
            </w:r>
          </w:p>
          <w:p w14:paraId="379407FE">
            <w:pPr>
              <w:spacing w:line="200" w:lineRule="exact"/>
            </w:pPr>
            <w:r>
              <w:rPr>
                <w:rFonts w:ascii="方正黑体_GBK" w:hAnsi="方正黑体_GBK" w:eastAsia="方正黑体_GBK" w:cs="宋体"/>
                <w:sz w:val="18"/>
                <w:szCs w:val="18"/>
              </w:rPr>
              <w:t>C3份额：ZC12024</w:t>
            </w:r>
          </w:p>
          <w:p w14:paraId="1F3FD728">
            <w:pPr>
              <w:spacing w:line="200" w:lineRule="exact"/>
            </w:pPr>
            <w:r>
              <w:rPr>
                <w:rFonts w:ascii="方正黑体_GBK" w:hAnsi="方正黑体_GBK" w:eastAsia="方正黑体_GBK" w:cs="宋体"/>
                <w:sz w:val="18"/>
                <w:szCs w:val="18"/>
              </w:rPr>
              <w:t>D3份额：ZD12024</w:t>
            </w:r>
          </w:p>
          <w:p w14:paraId="238ADD7B">
            <w:pPr>
              <w:spacing w:line="200" w:lineRule="exact"/>
            </w:pPr>
            <w:r>
              <w:rPr>
                <w:rFonts w:ascii="方正黑体_GBK" w:hAnsi="方正黑体_GBK" w:eastAsia="方正黑体_GBK" w:cs="宋体"/>
                <w:sz w:val="18"/>
                <w:szCs w:val="18"/>
              </w:rPr>
              <w:t>E3份额：ZE12024</w:t>
            </w:r>
          </w:p>
          <w:p w14:paraId="4730D1B3">
            <w:pPr>
              <w:spacing w:line="200" w:lineRule="exact"/>
            </w:pPr>
            <w:r>
              <w:rPr>
                <w:rFonts w:ascii="方正黑体_GBK" w:hAnsi="方正黑体_GBK" w:eastAsia="方正黑体_GBK" w:cs="宋体"/>
                <w:sz w:val="18"/>
                <w:szCs w:val="18"/>
              </w:rPr>
              <w:t>F3份额：ZF12024</w:t>
            </w:r>
          </w:p>
          <w:p w14:paraId="637F0C95">
            <w:pPr>
              <w:spacing w:line="200" w:lineRule="exact"/>
            </w:pPr>
            <w:r>
              <w:rPr>
                <w:rFonts w:ascii="方正黑体_GBK" w:hAnsi="方正黑体_GBK" w:eastAsia="方正黑体_GBK" w:cs="宋体"/>
                <w:b/>
                <w:sz w:val="18"/>
                <w:szCs w:val="18"/>
              </w:rPr>
              <w:t>注：本产品不同份额针对不同的销售机构及客群进行销售，设置有不同的销售费和管理费，具体客群划分标准以销售机构为准。</w:t>
            </w:r>
          </w:p>
        </w:tc>
      </w:tr>
      <w:tr w14:paraId="2A48C637">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78D503D">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aps w:val="0"/>
                <w:smallCaps w:val="0"/>
                <w:snapToGrid/>
                <w:vanish w:val="0"/>
                <w:color w:val="auto"/>
                <w:kern w:val="0"/>
                <w:sz w:val="18"/>
                <w:szCs w:val="18"/>
                <w:vertAlign w:val="baseline"/>
              </w:rPr>
            </w:pPr>
            <w:r>
              <w:rPr>
                <w:rFonts w:ascii="方正黑体_GBK" w:hAnsi="方正黑体_GBK" w:eastAsia="方正黑体_GBK"/>
                <w:caps w:val="0"/>
                <w:smallCaps w:val="0"/>
                <w:snapToGrid/>
                <w:vanish w:val="0"/>
                <w:color w:val="auto"/>
                <w:kern w:val="0"/>
                <w:sz w:val="18"/>
                <w:szCs w:val="18"/>
                <w:vertAlign w:val="baseline"/>
              </w:rPr>
              <w:t>理财期限</w:t>
            </w:r>
          </w:p>
        </w:tc>
        <w:tc>
          <w:tcPr>
            <w:tcW w:w="5543" w:type="dxa"/>
            <w:tcBorders>
              <w:top w:val="single" w:color="auto" w:sz="4" w:space="0"/>
              <w:left w:val="nil"/>
              <w:bottom w:val="single" w:color="auto" w:sz="4" w:space="0"/>
              <w:right w:val="single" w:color="auto" w:sz="4" w:space="0"/>
              <w:tl2br w:val="nil"/>
              <w:tr2bl w:val="nil"/>
            </w:tcBorders>
            <w:vAlign w:val="center"/>
          </w:tcPr>
          <w:p w14:paraId="31605740">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textAlignment w:val="center"/>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sz w:val="18"/>
                <w:szCs w:val="18"/>
              </w:rPr>
              <w:t>10年</w:t>
            </w:r>
            <w:r>
              <w:rPr>
                <w:rFonts w:hint="eastAsia" w:ascii="方正黑体_GBK" w:hAnsi="方正黑体_GBK" w:eastAsia="方正黑体_GBK" w:cs="宋体"/>
                <w:kern w:val="0"/>
                <w:sz w:val="18"/>
                <w:szCs w:val="18"/>
                <w:lang w:val="en-US" w:eastAsia="zh-CN"/>
              </w:rPr>
              <w:t>（管理人有权提前终止或延期终止）</w:t>
            </w:r>
          </w:p>
        </w:tc>
      </w:tr>
      <w:tr w14:paraId="65DE7491">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7C2CFB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销售区域</w:t>
            </w:r>
          </w:p>
        </w:tc>
        <w:tc>
          <w:tcPr>
            <w:tcW w:w="5543" w:type="dxa"/>
            <w:tcBorders>
              <w:top w:val="single" w:color="auto" w:sz="4" w:space="0"/>
              <w:left w:val="nil"/>
              <w:bottom w:val="single" w:color="auto" w:sz="4" w:space="0"/>
              <w:right w:val="single" w:color="auto" w:sz="4" w:space="0"/>
              <w:tl2br w:val="nil"/>
              <w:tr2bl w:val="nil"/>
            </w:tcBorders>
            <w:vAlign w:val="center"/>
          </w:tcPr>
          <w:p w14:paraId="7131D181">
            <w:pPr>
              <w:spacing w:line="200" w:lineRule="exact"/>
            </w:pPr>
            <w:r>
              <w:rPr>
                <w:rFonts w:ascii="方正黑体_GBK" w:hAnsi="方正黑体_GBK" w:eastAsia="方正黑体_GBK" w:cs="宋体"/>
                <w:sz w:val="18"/>
                <w:szCs w:val="18"/>
              </w:rPr>
              <w:t>全国</w:t>
            </w:r>
          </w:p>
        </w:tc>
      </w:tr>
      <w:tr w14:paraId="51B4682B">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CB5022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币种</w:t>
            </w:r>
          </w:p>
        </w:tc>
        <w:tc>
          <w:tcPr>
            <w:tcW w:w="5543" w:type="dxa"/>
            <w:tcBorders>
              <w:top w:val="single" w:color="auto" w:sz="4" w:space="0"/>
              <w:left w:val="nil"/>
              <w:bottom w:val="single" w:color="auto" w:sz="4" w:space="0"/>
              <w:right w:val="single" w:color="auto" w:sz="4" w:space="0"/>
              <w:tl2br w:val="nil"/>
              <w:tr2bl w:val="nil"/>
            </w:tcBorders>
            <w:vAlign w:val="center"/>
          </w:tcPr>
          <w:p w14:paraId="49D2C333">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textAlignment w:val="center"/>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kern w:val="0"/>
                <w:sz w:val="18"/>
                <w:szCs w:val="18"/>
              </w:rPr>
              <w:t>人民币</w:t>
            </w:r>
          </w:p>
        </w:tc>
      </w:tr>
      <w:tr w14:paraId="75781016">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0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7458DC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产品规模</w:t>
            </w:r>
          </w:p>
        </w:tc>
        <w:tc>
          <w:tcPr>
            <w:tcW w:w="5543" w:type="dxa"/>
            <w:tcBorders>
              <w:top w:val="single" w:color="auto" w:sz="4" w:space="0"/>
              <w:left w:val="nil"/>
              <w:bottom w:val="single" w:color="auto" w:sz="4" w:space="0"/>
              <w:right w:val="single" w:color="auto" w:sz="4" w:space="0"/>
              <w:tl2br w:val="nil"/>
              <w:tr2bl w:val="nil"/>
            </w:tcBorders>
            <w:vAlign w:val="center"/>
          </w:tcPr>
          <w:p w14:paraId="3BE17AEF">
            <w:pPr>
              <w:spacing w:line="200" w:lineRule="exact"/>
            </w:pPr>
            <w:r>
              <w:rPr>
                <w:rFonts w:ascii="方正黑体_GBK" w:hAnsi="方正黑体_GBK" w:eastAsia="方正黑体_GBK" w:cs="宋体"/>
                <w:sz w:val="18"/>
                <w:szCs w:val="18"/>
              </w:rPr>
              <w:t>本理财产品规模上限为500亿元。理财产品管理人有权对上述规模上限根据实际业务需求进行调整。</w:t>
            </w:r>
          </w:p>
        </w:tc>
      </w:tr>
      <w:tr w14:paraId="2AAF10D5">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0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C52187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风险等级</w:t>
            </w:r>
          </w:p>
        </w:tc>
        <w:tc>
          <w:tcPr>
            <w:tcW w:w="5543" w:type="dxa"/>
            <w:tcBorders>
              <w:top w:val="single" w:color="auto" w:sz="4" w:space="0"/>
              <w:left w:val="nil"/>
              <w:bottom w:val="single" w:color="auto" w:sz="4" w:space="0"/>
              <w:right w:val="single" w:color="auto" w:sz="4" w:space="0"/>
              <w:tl2br w:val="nil"/>
              <w:tr2bl w:val="nil"/>
            </w:tcBorders>
            <w:vAlign w:val="center"/>
          </w:tcPr>
          <w:p w14:paraId="3EA0AB3C">
            <w:pPr>
              <w:spacing w:line="200" w:lineRule="exact"/>
            </w:pPr>
            <w:r>
              <w:rPr>
                <w:rFonts w:ascii="方正黑体_GBK" w:hAnsi="方正黑体_GBK" w:eastAsia="方正黑体_GBK" w:cs="宋体"/>
                <w:sz w:val="18"/>
                <w:szCs w:val="18"/>
              </w:rPr>
              <w:t>根据理财产品管理人对理财产品的内部风险评估，本理财产品风险等级为</w:t>
            </w:r>
            <w:r>
              <w:rPr>
                <w:rFonts w:ascii="方正黑体_GBK" w:hAnsi="方正黑体_GBK" w:eastAsia="方正黑体_GBK" w:cs="宋体"/>
                <w:b/>
                <w:sz w:val="18"/>
                <w:szCs w:val="18"/>
              </w:rPr>
              <w:t>中低风险</w:t>
            </w:r>
            <w:r>
              <w:rPr>
                <w:rFonts w:ascii="方正黑体_GBK" w:hAnsi="方正黑体_GBK" w:eastAsia="方正黑体_GBK" w:cs="宋体"/>
                <w:sz w:val="18"/>
                <w:szCs w:val="18"/>
              </w:rPr>
              <w:t>（本风险等级为管理人内部风险评估结果，仅供参考）。</w:t>
            </w:r>
          </w:p>
          <w:p w14:paraId="1325EFE5">
            <w:pPr>
              <w:spacing w:line="200" w:lineRule="exact"/>
            </w:pPr>
            <w:r>
              <w:rPr>
                <w:rFonts w:ascii="方正黑体_GBK" w:hAnsi="方正黑体_GBK" w:eastAsia="方正黑体_GBK" w:cs="宋体"/>
                <w:sz w:val="18"/>
                <w:szCs w:val="18"/>
              </w:rPr>
              <w:t>代销机构应当设置科学合理的理财产品风险评级的方式和方法，对理财产品进行评级；该产品通过代销机构渠道销售的，理财产品评级应当以代销机构最终披露的评级结果为准。</w:t>
            </w:r>
          </w:p>
        </w:tc>
      </w:tr>
      <w:tr w14:paraId="6225222F">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3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C27BC1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发行对象</w:t>
            </w:r>
          </w:p>
        </w:tc>
        <w:tc>
          <w:tcPr>
            <w:tcW w:w="5543" w:type="dxa"/>
            <w:tcBorders>
              <w:top w:val="single" w:color="auto" w:sz="4" w:space="0"/>
              <w:left w:val="nil"/>
              <w:bottom w:val="single" w:color="auto" w:sz="4" w:space="0"/>
              <w:right w:val="single" w:color="auto" w:sz="4" w:space="0"/>
              <w:tl2br w:val="nil"/>
              <w:tr2bl w:val="nil"/>
            </w:tcBorders>
            <w:vAlign w:val="center"/>
          </w:tcPr>
          <w:p w14:paraId="2D57E444">
            <w:pPr>
              <w:spacing w:line="200" w:lineRule="exact"/>
              <w:jc w:val="left"/>
            </w:pPr>
            <w:r>
              <w:rPr>
                <w:rFonts w:ascii="方正黑体_GBK" w:hAnsi="方正黑体_GBK" w:eastAsia="方正黑体_GBK" w:cs="宋体"/>
                <w:sz w:val="18"/>
                <w:szCs w:val="18"/>
              </w:rPr>
              <w:t>符合相关法律法规、监管规定要求的，经销售机构的风险承受能力评估体系评定为适合的机构投资者。</w:t>
            </w:r>
          </w:p>
          <w:p w14:paraId="44D44917">
            <w:pPr>
              <w:spacing w:line="200" w:lineRule="exact"/>
            </w:pPr>
            <w:r>
              <w:rPr>
                <w:rFonts w:ascii="方正黑体_GBK" w:hAnsi="方正黑体_GBK" w:eastAsia="方正黑体_GBK" w:cs="宋体"/>
                <w:sz w:val="18"/>
                <w:szCs w:val="18"/>
              </w:rPr>
              <w:t>A份额：南京银行股份有限公司、南银理财有限责任公司、昆山鹿城村镇银行股份有限公司、深圳前海微众银行股份有限公司、日照银行股份有限公司、秦皇岛银行股份有限公司、泰安银行股份有限公司、齐鲁银行股份有限公司、云南红塔银行股份有限公司、九江银行股份有限公司、互金平台、无锡锡商银行股份有限公司、江苏南通农村商业银行股份有限公司、江苏江阴农村商业银行股份有限公司、北京中关村银行股份有限公司客户。</w:t>
            </w:r>
          </w:p>
          <w:p w14:paraId="4A2416C1">
            <w:pPr>
              <w:spacing w:line="200" w:lineRule="exact"/>
            </w:pPr>
            <w:r>
              <w:rPr>
                <w:rFonts w:ascii="方正黑体_GBK" w:hAnsi="方正黑体_GBK" w:eastAsia="方正黑体_GBK" w:cs="宋体"/>
                <w:sz w:val="18"/>
                <w:szCs w:val="18"/>
              </w:rPr>
              <w:t>B份额：天津农村商业银行股份有限公司（大众客群）、中原银行股份有限公司、江苏靖江农村商业银行股份有限公司、江苏建湖农村商业银行股份有限公司、江苏镇江农村商业银行股份有限公司客户、江苏如皋农村商业银行股份有限公司、江苏仪征农村商业银行股份有限公司。</w:t>
            </w:r>
          </w:p>
          <w:p w14:paraId="531D02B2">
            <w:pPr>
              <w:spacing w:line="200" w:lineRule="exact"/>
            </w:pPr>
            <w:r>
              <w:rPr>
                <w:rFonts w:ascii="方正黑体_GBK" w:hAnsi="方正黑体_GBK" w:eastAsia="方正黑体_GBK" w:cs="宋体"/>
                <w:sz w:val="18"/>
                <w:szCs w:val="18"/>
              </w:rPr>
              <w:t>C份额：河北银行股份有限公司、江苏扬州农村商业银行股份有限公司客户。</w:t>
            </w:r>
          </w:p>
          <w:p w14:paraId="5AA6313D">
            <w:pPr>
              <w:spacing w:line="200" w:lineRule="exact"/>
            </w:pPr>
            <w:r>
              <w:rPr>
                <w:rFonts w:ascii="方正黑体_GBK" w:hAnsi="方正黑体_GBK" w:eastAsia="方正黑体_GBK" w:cs="宋体"/>
                <w:sz w:val="18"/>
                <w:szCs w:val="18"/>
              </w:rPr>
              <w:t>D份额：天津农村商业银行股份有限公司（专属客户）、甘肃银行股份有限公司、江苏镇江农村商业银行股份有限公司（20万元起购）客户。</w:t>
            </w:r>
          </w:p>
          <w:p w14:paraId="7C8910D5">
            <w:pPr>
              <w:spacing w:line="200" w:lineRule="exact"/>
            </w:pPr>
            <w:r>
              <w:rPr>
                <w:rFonts w:ascii="方正黑体_GBK" w:hAnsi="方正黑体_GBK" w:eastAsia="方正黑体_GBK" w:cs="宋体"/>
                <w:sz w:val="18"/>
                <w:szCs w:val="18"/>
              </w:rPr>
              <w:t>E份额：天津农村商业银行股份有限公司（特邀客户）、江苏镇江农村商业银行股份有限公司（100万元起购）客户。</w:t>
            </w:r>
          </w:p>
          <w:p w14:paraId="32B4C383">
            <w:pPr>
              <w:spacing w:line="200" w:lineRule="exact"/>
            </w:pPr>
            <w:r>
              <w:rPr>
                <w:rFonts w:ascii="方正黑体_GBK" w:hAnsi="方正黑体_GBK" w:eastAsia="方正黑体_GBK" w:cs="宋体"/>
                <w:sz w:val="18"/>
                <w:szCs w:val="18"/>
              </w:rPr>
              <w:t>F份额：南京银行私行客户、钻石客户、新晋私行客户、新晋钻石户及南京银行认定的其他符合标准的客户。</w:t>
            </w:r>
          </w:p>
          <w:p w14:paraId="322F17AE">
            <w:pPr>
              <w:spacing w:line="200" w:lineRule="exact"/>
            </w:pPr>
            <w:r>
              <w:rPr>
                <w:rFonts w:ascii="方正黑体_GBK" w:hAnsi="方正黑体_GBK" w:eastAsia="方正黑体_GBK" w:cs="宋体"/>
                <w:sz w:val="18"/>
                <w:szCs w:val="18"/>
              </w:rPr>
              <w:t>A2份额：南京银行股份有限公司、南银理财有限责任公司、无锡锡商银行股份有限公司、江苏南通农村商业银行股份有限公司、江苏江阴农村商业银行股份有限公司客户。</w:t>
            </w:r>
          </w:p>
          <w:p w14:paraId="45FB3AC6">
            <w:pPr>
              <w:spacing w:line="200" w:lineRule="exact"/>
            </w:pPr>
            <w:r>
              <w:rPr>
                <w:rFonts w:ascii="方正黑体_GBK" w:hAnsi="方正黑体_GBK" w:eastAsia="方正黑体_GBK" w:cs="宋体"/>
                <w:sz w:val="18"/>
                <w:szCs w:val="18"/>
              </w:rPr>
              <w:t>B2份额：天津农村商业银行股份有限公司（大众客群）、中原银行股份有限公司、江苏靖江农村商业银行股份有限公司、江苏建湖农村商业银行股份有限公司、江苏镇江农村商业银行股份有限公司客户、江苏如皋农村商业银行股份有限公司、江苏仪征农村商业银行股份有限公司。</w:t>
            </w:r>
          </w:p>
          <w:p w14:paraId="5E38800C">
            <w:pPr>
              <w:spacing w:line="200" w:lineRule="exact"/>
            </w:pPr>
            <w:r>
              <w:rPr>
                <w:rFonts w:ascii="方正黑体_GBK" w:hAnsi="方正黑体_GBK" w:eastAsia="方正黑体_GBK" w:cs="宋体"/>
                <w:sz w:val="18"/>
                <w:szCs w:val="18"/>
              </w:rPr>
              <w:t>C2份额：河北银行股份有限公司、江苏扬州农村商业银行股份有限公司客户。</w:t>
            </w:r>
          </w:p>
          <w:p w14:paraId="761104F8">
            <w:pPr>
              <w:spacing w:line="200" w:lineRule="exact"/>
            </w:pPr>
            <w:r>
              <w:rPr>
                <w:rFonts w:ascii="方正黑体_GBK" w:hAnsi="方正黑体_GBK" w:eastAsia="方正黑体_GBK" w:cs="宋体"/>
                <w:sz w:val="18"/>
                <w:szCs w:val="18"/>
              </w:rPr>
              <w:t>D2份额：天津农村商业银行股份有限公司（专属客户）、甘肃银行股份有限公司、江苏镇江农村商业银行股份有限公司（20万元起购）客户。</w:t>
            </w:r>
          </w:p>
          <w:p w14:paraId="55F662B4">
            <w:pPr>
              <w:spacing w:line="200" w:lineRule="exact"/>
              <w:rPr>
                <w:rFonts w:ascii="方正黑体_GBK" w:hAnsi="方正黑体_GBK" w:eastAsia="方正黑体_GBK" w:cs="宋体"/>
                <w:sz w:val="18"/>
                <w:szCs w:val="18"/>
              </w:rPr>
            </w:pPr>
            <w:r>
              <w:rPr>
                <w:rFonts w:ascii="方正黑体_GBK" w:hAnsi="方正黑体_GBK" w:eastAsia="方正黑体_GBK" w:cs="宋体"/>
                <w:sz w:val="18"/>
                <w:szCs w:val="18"/>
              </w:rPr>
              <w:t>E2份额：天津农村商业银行股份有限公司（特邀客户）、江苏镇江农村商业银行股份有限公司（100万元起购）客户。</w:t>
            </w:r>
          </w:p>
          <w:p w14:paraId="7B62D246">
            <w:pPr>
              <w:spacing w:line="200" w:lineRule="exact"/>
            </w:pPr>
            <w:r>
              <w:rPr>
                <w:rFonts w:ascii="方正黑体_GBK" w:hAnsi="方正黑体_GBK" w:eastAsia="方正黑体_GBK" w:cs="宋体"/>
                <w:sz w:val="18"/>
                <w:szCs w:val="18"/>
              </w:rPr>
              <w:t>F2份额：南京银行私行客户、钻石客户、新晋私行客户、新晋钻石户及南京银行认定的其他符合标准的客户。</w:t>
            </w:r>
          </w:p>
          <w:p w14:paraId="3FE0E165">
            <w:pPr>
              <w:spacing w:line="200" w:lineRule="exact"/>
              <w:rPr>
                <w:rFonts w:ascii="方正黑体_GBK" w:hAnsi="方正黑体_GBK" w:eastAsia="方正黑体_GBK" w:cs="宋体"/>
                <w:sz w:val="18"/>
                <w:szCs w:val="18"/>
              </w:rPr>
            </w:pPr>
            <w:r>
              <w:rPr>
                <w:rFonts w:ascii="方正黑体_GBK" w:hAnsi="方正黑体_GBK" w:eastAsia="方正黑体_GBK" w:cs="宋体"/>
                <w:sz w:val="18"/>
                <w:szCs w:val="18"/>
              </w:rPr>
              <w:t>G2份额：南京银行代发专属。代发是指近90天内有过代发记录的客户(不含跨行代发、批量兑付、批量付息)。</w:t>
            </w:r>
          </w:p>
          <w:p w14:paraId="50319516">
            <w:pPr>
              <w:spacing w:line="200" w:lineRule="exact"/>
            </w:pPr>
            <w:r>
              <w:rPr>
                <w:rFonts w:ascii="方正黑体_GBK" w:hAnsi="方正黑体_GBK" w:eastAsia="方正黑体_GBK" w:cs="宋体"/>
                <w:sz w:val="18"/>
                <w:szCs w:val="18"/>
              </w:rPr>
              <w:t>A3份额：南京银行股份有限公司、南银理财有限责任公司、无锡锡商银行股份有限公司、江苏南通农村商业银行股份有限公司、江苏江阴农村商业银行股份有限公司客户。</w:t>
            </w:r>
          </w:p>
          <w:p w14:paraId="56377E4D">
            <w:pPr>
              <w:spacing w:line="200" w:lineRule="exact"/>
            </w:pPr>
            <w:r>
              <w:rPr>
                <w:rFonts w:ascii="方正黑体_GBK" w:hAnsi="方正黑体_GBK" w:eastAsia="方正黑体_GBK" w:cs="宋体"/>
                <w:sz w:val="18"/>
                <w:szCs w:val="18"/>
              </w:rPr>
              <w:t>B3份额：天津农村商业银行股份有限公司（大众客群）、中原银行股份有限公司、江苏靖江农村商业银行股份有限公司、江苏建湖农村商业银行股份有限公司、江苏镇江农村商业银行股份有限公司客户、江苏如皋农村商业银行股份有限公司、江苏仪征农村商业银行股份有限公司。</w:t>
            </w:r>
          </w:p>
          <w:p w14:paraId="623B19F9">
            <w:pPr>
              <w:spacing w:line="200" w:lineRule="exact"/>
            </w:pPr>
            <w:r>
              <w:rPr>
                <w:rFonts w:ascii="方正黑体_GBK" w:hAnsi="方正黑体_GBK" w:eastAsia="方正黑体_GBK" w:cs="宋体"/>
                <w:sz w:val="18"/>
                <w:szCs w:val="18"/>
              </w:rPr>
              <w:t>C3份额：河北银行股份有限公司、江苏扬州农村商业银行股份有限公司客户。</w:t>
            </w:r>
          </w:p>
          <w:p w14:paraId="0BE23087">
            <w:pPr>
              <w:spacing w:line="200" w:lineRule="exact"/>
            </w:pPr>
            <w:r>
              <w:rPr>
                <w:rFonts w:ascii="方正黑体_GBK" w:hAnsi="方正黑体_GBK" w:eastAsia="方正黑体_GBK" w:cs="宋体"/>
                <w:sz w:val="18"/>
                <w:szCs w:val="18"/>
              </w:rPr>
              <w:t>D3份额：天津农村商业银行股份有限公司（专属客户）、甘肃银行股份有限公司、江苏镇江农村商业银行股份有限公司（20万元起购）客户。</w:t>
            </w:r>
          </w:p>
          <w:p w14:paraId="787CC79A">
            <w:pPr>
              <w:spacing w:line="200" w:lineRule="exact"/>
            </w:pPr>
            <w:r>
              <w:rPr>
                <w:rFonts w:ascii="方正黑体_GBK" w:hAnsi="方正黑体_GBK" w:eastAsia="方正黑体_GBK" w:cs="宋体"/>
                <w:sz w:val="18"/>
                <w:szCs w:val="18"/>
              </w:rPr>
              <w:t>E3份额：天津农村商业银行股份有限公司（特邀客户）、江苏镇江农村商业银行股份有限公司（100万元起购）客户。</w:t>
            </w:r>
          </w:p>
          <w:p w14:paraId="16642D6F">
            <w:pPr>
              <w:spacing w:line="200" w:lineRule="exact"/>
            </w:pPr>
            <w:r>
              <w:rPr>
                <w:rFonts w:ascii="方正黑体_GBK" w:hAnsi="方正黑体_GBK" w:eastAsia="方正黑体_GBK" w:cs="宋体"/>
                <w:sz w:val="18"/>
                <w:szCs w:val="18"/>
              </w:rPr>
              <w:t>F3份额：南京银行私行客户、钻石客户、新晋私行客户、新晋钻石户及南京银行认定的其他符合标准的客户。</w:t>
            </w:r>
          </w:p>
          <w:p w14:paraId="60B2F4ED">
            <w:pPr>
              <w:spacing w:line="200" w:lineRule="exact"/>
            </w:pPr>
            <w:r>
              <w:rPr>
                <w:rFonts w:ascii="方正黑体_GBK" w:hAnsi="方正黑体_GBK" w:eastAsia="方正黑体_GBK" w:cs="宋体"/>
                <w:b/>
                <w:sz w:val="18"/>
                <w:szCs w:val="18"/>
              </w:rPr>
              <w:t>注：本产品不同份额针对不同的销售机构及客群进行销售，设置有不同的销售费和管理费，具体客群划分标准以销售机构为准。</w:t>
            </w:r>
          </w:p>
        </w:tc>
      </w:tr>
      <w:tr w14:paraId="25B35E50">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1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CE59D6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投资起点金额、递增金额</w:t>
            </w:r>
          </w:p>
        </w:tc>
        <w:tc>
          <w:tcPr>
            <w:tcW w:w="5543" w:type="dxa"/>
            <w:tcBorders>
              <w:top w:val="single" w:color="auto" w:sz="4" w:space="0"/>
              <w:left w:val="nil"/>
              <w:bottom w:val="single" w:color="auto" w:sz="4" w:space="0"/>
              <w:right w:val="single" w:color="auto" w:sz="4" w:space="0"/>
              <w:tl2br w:val="nil"/>
              <w:tr2bl w:val="nil"/>
            </w:tcBorders>
            <w:vAlign w:val="center"/>
          </w:tcPr>
          <w:p w14:paraId="20A6249D">
            <w:pPr>
              <w:spacing w:line="200" w:lineRule="exact"/>
            </w:pPr>
            <w:r>
              <w:rPr>
                <w:rFonts w:ascii="方正黑体_GBK" w:hAnsi="方正黑体_GBK" w:eastAsia="方正黑体_GBK" w:cs="宋体"/>
                <w:sz w:val="18"/>
                <w:szCs w:val="18"/>
              </w:rPr>
              <w:t>个人投资者投资起点金额1元人民币，以1元的整数倍递增；</w:t>
            </w:r>
          </w:p>
          <w:p w14:paraId="5204AE74">
            <w:pPr>
              <w:spacing w:line="200" w:lineRule="exact"/>
            </w:pPr>
            <w:r>
              <w:rPr>
                <w:rFonts w:ascii="方正黑体_GBK" w:hAnsi="方正黑体_GBK" w:eastAsia="方正黑体_GBK" w:cs="宋体"/>
                <w:sz w:val="18"/>
                <w:szCs w:val="18"/>
              </w:rPr>
              <w:t>机构投资者投资起点金额1元人民币，以1元的整数倍递增；</w:t>
            </w:r>
          </w:p>
          <w:p w14:paraId="3ABB7EE4">
            <w:pPr>
              <w:spacing w:line="200" w:lineRule="exact"/>
            </w:pPr>
            <w:r>
              <w:rPr>
                <w:rFonts w:ascii="方正黑体_GBK" w:hAnsi="方正黑体_GBK" w:eastAsia="方正黑体_GBK" w:cs="宋体"/>
                <w:sz w:val="18"/>
                <w:szCs w:val="18"/>
              </w:rPr>
              <w:t>后续在符合监管政策规定的条件下，理财产品管理人有权对上述投资起点金额和递增金额进行调整，并在调整日前至少3个工作日进行信息披露。</w:t>
            </w:r>
          </w:p>
          <w:p w14:paraId="4C40FE85">
            <w:pPr>
              <w:spacing w:line="200" w:lineRule="exact"/>
            </w:pPr>
            <w:r>
              <w:rPr>
                <w:rFonts w:ascii="方正黑体_GBK" w:hAnsi="方正黑体_GBK" w:eastAsia="方正黑体_GBK" w:cs="宋体"/>
                <w:sz w:val="18"/>
                <w:szCs w:val="18"/>
              </w:rPr>
              <w:t>代销机构可根据其销售需要对投资起点金额、递增金额进行重新设定，投资者通过代销机构购买本理财产品的，以该代销机构最终披露的投资起点金额、递增金额为准。</w:t>
            </w:r>
          </w:p>
        </w:tc>
      </w:tr>
      <w:tr w14:paraId="4C6260BE">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9262CD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s="Times New Roman"/>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单一投资者持有比例上限</w:t>
            </w:r>
          </w:p>
        </w:tc>
        <w:tc>
          <w:tcPr>
            <w:tcW w:w="5543" w:type="dxa"/>
            <w:tcBorders>
              <w:top w:val="single" w:color="auto" w:sz="4" w:space="0"/>
              <w:left w:val="nil"/>
              <w:bottom w:val="single" w:color="auto" w:sz="4" w:space="0"/>
              <w:right w:val="single" w:color="auto" w:sz="4" w:space="0"/>
              <w:tl2br w:val="nil"/>
              <w:tr2bl w:val="nil"/>
            </w:tcBorders>
            <w:vAlign w:val="center"/>
          </w:tcPr>
          <w:p w14:paraId="163BCAE3">
            <w:pPr>
              <w:spacing w:line="200" w:lineRule="exact"/>
              <w:jc w:val="left"/>
            </w:pPr>
            <w:r>
              <w:rPr>
                <w:rFonts w:ascii="方正黑体_GBK" w:hAnsi="方正黑体_GBK" w:eastAsia="方正黑体_GBK" w:cs="宋体"/>
                <w:sz w:val="18"/>
                <w:szCs w:val="18"/>
              </w:rPr>
              <w:t>本理财产品单一投资者持有的份额（含已确认和待确认的份额）不得超过本理财产品总份额的50%，管理人有权拒绝导致投资者持有份额突破前述50%比例限制的认申购申请。</w:t>
            </w:r>
          </w:p>
          <w:p w14:paraId="7F38F07A">
            <w:pPr>
              <w:spacing w:line="200" w:lineRule="exact"/>
              <w:jc w:val="left"/>
            </w:pPr>
            <w:r>
              <w:rPr>
                <w:rFonts w:ascii="方正黑体_GBK" w:hAnsi="方正黑体_GBK" w:eastAsia="方正黑体_GBK" w:cs="宋体"/>
                <w:sz w:val="18"/>
                <w:szCs w:val="18"/>
              </w:rPr>
              <w:t>非因管理人主观因素导致突破上述50%比例限制的，在单一投资者持有比例降至50%以下之前，管理人不再接受该投资者对本理财产品的认申购申请。</w:t>
            </w:r>
          </w:p>
        </w:tc>
      </w:tr>
      <w:tr w14:paraId="0F8C71E6">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9BFA7F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募集期</w:t>
            </w:r>
          </w:p>
        </w:tc>
        <w:tc>
          <w:tcPr>
            <w:tcW w:w="5543" w:type="dxa"/>
            <w:tcBorders>
              <w:top w:val="single" w:color="auto" w:sz="4" w:space="0"/>
              <w:left w:val="nil"/>
              <w:bottom w:val="single" w:color="auto" w:sz="4" w:space="0"/>
              <w:right w:val="single" w:color="auto" w:sz="4" w:space="0"/>
              <w:tl2br w:val="nil"/>
              <w:tr2bl w:val="nil"/>
            </w:tcBorders>
            <w:vAlign w:val="center"/>
          </w:tcPr>
          <w:p w14:paraId="66D5A42D">
            <w:pPr>
              <w:spacing w:line="200" w:lineRule="exact"/>
            </w:pPr>
            <w:r>
              <w:rPr>
                <w:rFonts w:ascii="方正黑体_GBK" w:hAnsi="方正黑体_GBK" w:eastAsia="方正黑体_GBK" w:cs="宋体"/>
                <w:color w:val="000000"/>
                <w:sz w:val="18"/>
                <w:szCs w:val="18"/>
              </w:rPr>
              <w:t>2019年02月27日 09:00—2019年03月05日 17:00（管理人有权根据市场变化情况缩短或延长募集期并提前成立或推迟成立，产品提前或推迟成立时管理人将调整相关日期并进行信息披露）代销机构可根据其销售需要在本募集期范围内对募集时间进行重新设定，投资者通过代销机构购买本理财产品的，以该代销机构最终披露的募集时间为准。</w:t>
            </w:r>
          </w:p>
        </w:tc>
      </w:tr>
      <w:tr w14:paraId="3509EF41">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06EFAFF">
            <w:pPr>
              <w:keepNext w:val="0"/>
              <w:keepLines w:val="0"/>
              <w:pageBreakBefore w:val="0"/>
              <w:widowControl/>
              <w:suppressLineNumbers w:val="0"/>
              <w:suppressAutoHyphens w:val="0"/>
              <w:spacing w:line="200" w:lineRule="exact"/>
              <w:jc w:val="left"/>
              <w:rPr>
                <w:rFonts w:ascii="方正黑体_GBK" w:hAnsi="方正黑体_GBK" w:eastAsia="方正黑体_GBK"/>
                <w:caps w:val="0"/>
                <w:smallCaps w:val="0"/>
                <w:snapToGrid/>
                <w:vanish w:val="0"/>
                <w:color w:val="auto"/>
                <w:kern w:val="0"/>
                <w:sz w:val="18"/>
                <w:szCs w:val="18"/>
                <w:vertAlign w:val="baseline"/>
              </w:rPr>
            </w:pPr>
            <w:r>
              <w:rPr>
                <w:rFonts w:ascii="方正黑体_GBK" w:hAnsi="方正黑体_GBK" w:eastAsia="方正黑体_GBK"/>
                <w:caps w:val="0"/>
                <w:smallCaps w:val="0"/>
                <w:snapToGrid/>
                <w:vanish w:val="0"/>
                <w:color w:val="auto"/>
                <w:kern w:val="0"/>
                <w:sz w:val="18"/>
                <w:szCs w:val="18"/>
                <w:vertAlign w:val="baseline"/>
              </w:rPr>
              <w:t>认购份额计算</w:t>
            </w:r>
          </w:p>
        </w:tc>
        <w:tc>
          <w:tcPr>
            <w:tcW w:w="5543" w:type="dxa"/>
            <w:tcBorders>
              <w:top w:val="single" w:color="auto" w:sz="4" w:space="0"/>
              <w:left w:val="nil"/>
              <w:bottom w:val="single" w:color="auto" w:sz="4" w:space="0"/>
              <w:right w:val="single" w:color="auto" w:sz="4" w:space="0"/>
              <w:tl2br w:val="nil"/>
              <w:tr2bl w:val="nil"/>
            </w:tcBorders>
            <w:vAlign w:val="center"/>
          </w:tcPr>
          <w:p w14:paraId="087775AB">
            <w:pPr>
              <w:spacing w:line="200" w:lineRule="exact"/>
            </w:pPr>
            <w:r>
              <w:rPr>
                <w:rFonts w:ascii="方正黑体_GBK" w:hAnsi="方正黑体_GBK" w:eastAsia="方正黑体_GBK" w:cs="宋体"/>
                <w:sz w:val="18"/>
                <w:szCs w:val="18"/>
              </w:rPr>
              <w:t>认购份额=确认认购金额/1。（认购份额以去尾法保留两位小数）</w:t>
            </w:r>
          </w:p>
        </w:tc>
      </w:tr>
      <w:tr w14:paraId="104EB1F6">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28A8E2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理财封闭期</w:t>
            </w:r>
          </w:p>
        </w:tc>
        <w:tc>
          <w:tcPr>
            <w:tcW w:w="5543" w:type="dxa"/>
            <w:tcBorders>
              <w:top w:val="single" w:color="auto" w:sz="4" w:space="0"/>
              <w:left w:val="nil"/>
              <w:bottom w:val="single" w:color="auto" w:sz="4" w:space="0"/>
              <w:right w:val="single" w:color="auto" w:sz="4" w:space="0"/>
              <w:tl2br w:val="nil"/>
              <w:tr2bl w:val="nil"/>
            </w:tcBorders>
            <w:vAlign w:val="center"/>
          </w:tcPr>
          <w:p w14:paraId="31336CD2">
            <w:pPr>
              <w:spacing w:line="200" w:lineRule="exact"/>
            </w:pPr>
            <w:r>
              <w:rPr>
                <w:rFonts w:ascii="方正黑体_GBK" w:hAnsi="方正黑体_GBK" w:eastAsia="方正黑体_GBK" w:cs="宋体"/>
                <w:sz w:val="18"/>
                <w:szCs w:val="18"/>
              </w:rPr>
              <w:t>本理财产品每期封闭期为一年，当期封闭期起止时间以公告为准。</w:t>
            </w:r>
          </w:p>
        </w:tc>
      </w:tr>
      <w:tr w14:paraId="7B398330">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800AAA0">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认购确认日</w:t>
            </w:r>
          </w:p>
        </w:tc>
        <w:tc>
          <w:tcPr>
            <w:tcW w:w="5543" w:type="dxa"/>
            <w:tcBorders>
              <w:top w:val="single" w:color="auto" w:sz="4" w:space="0"/>
              <w:left w:val="nil"/>
              <w:bottom w:val="single" w:color="auto" w:sz="4" w:space="0"/>
              <w:right w:val="single" w:color="auto" w:sz="4" w:space="0"/>
              <w:tl2br w:val="nil"/>
              <w:tr2bl w:val="nil"/>
            </w:tcBorders>
            <w:vAlign w:val="center"/>
          </w:tcPr>
          <w:p w14:paraId="36CAA557">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rPr>
                <w:rFonts w:ascii="方正黑体_GBK" w:hAnsi="方正黑体_GBK" w:eastAsia="方正黑体_GBK"/>
                <w:color w:val="000000"/>
                <w:kern w:val="0"/>
                <w:sz w:val="18"/>
                <w:szCs w:val="18"/>
              </w:rPr>
            </w:pPr>
            <w:r>
              <w:rPr>
                <w:rFonts w:hint="eastAsia" w:ascii="方正黑体_GBK" w:hAnsi="方正黑体_GBK" w:eastAsia="方正黑体_GBK"/>
                <w:color w:val="000000"/>
                <w:kern w:val="0"/>
                <w:sz w:val="18"/>
                <w:szCs w:val="18"/>
              </w:rPr>
              <w:t>同产品成立日</w:t>
            </w:r>
          </w:p>
        </w:tc>
      </w:tr>
      <w:tr w14:paraId="75AD385F">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B7EAC5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产品成立日</w:t>
            </w:r>
          </w:p>
        </w:tc>
        <w:tc>
          <w:tcPr>
            <w:tcW w:w="5543" w:type="dxa"/>
            <w:tcBorders>
              <w:top w:val="single" w:color="auto" w:sz="4" w:space="0"/>
              <w:left w:val="nil"/>
              <w:bottom w:val="single" w:color="auto" w:sz="4" w:space="0"/>
              <w:right w:val="single" w:color="auto" w:sz="4" w:space="0"/>
              <w:tl2br w:val="nil"/>
              <w:tr2bl w:val="nil"/>
            </w:tcBorders>
            <w:vAlign w:val="center"/>
          </w:tcPr>
          <w:p w14:paraId="633A4DAF">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pPr>
            <w:r>
              <w:rPr>
                <w:rFonts w:hint="eastAsia" w:ascii="方正黑体_GBK" w:hAnsi="方正黑体_GBK" w:eastAsia="方正黑体_GBK"/>
                <w:kern w:val="0"/>
                <w:sz w:val="18"/>
                <w:szCs w:val="18"/>
              </w:rPr>
              <w:t>2019年03月06日</w:t>
            </w:r>
          </w:p>
        </w:tc>
      </w:tr>
      <w:tr w14:paraId="019C7BC4">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C06179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产品存续期</w:t>
            </w:r>
          </w:p>
        </w:tc>
        <w:tc>
          <w:tcPr>
            <w:tcW w:w="5543" w:type="dxa"/>
            <w:tcBorders>
              <w:top w:val="single" w:color="auto" w:sz="4" w:space="0"/>
              <w:left w:val="nil"/>
              <w:bottom w:val="single" w:color="auto" w:sz="4" w:space="0"/>
              <w:right w:val="single" w:color="auto" w:sz="4" w:space="0"/>
              <w:tl2br w:val="nil"/>
              <w:tr2bl w:val="nil"/>
            </w:tcBorders>
            <w:vAlign w:val="center"/>
          </w:tcPr>
          <w:p w14:paraId="19B44BC2">
            <w:pPr>
              <w:spacing w:line="200" w:lineRule="exact"/>
            </w:pPr>
            <w:r>
              <w:rPr>
                <w:rFonts w:ascii="方正黑体_GBK" w:hAnsi="方正黑体_GBK" w:eastAsia="方正黑体_GBK" w:cs="宋体"/>
                <w:sz w:val="18"/>
                <w:szCs w:val="18"/>
              </w:rPr>
              <w:t>2019年03月06日—实际到期日（若本理财产品未被提前终止或延期终止，则实际到期日即为名义到期日，存续期限10年；若本理财产品被提前终止或延期终止，则实际到期日为提前终止日或延期终止日。</w:t>
            </w:r>
            <w:r>
              <w:rPr>
                <w:rFonts w:ascii="方正黑体_GBK" w:hAnsi="方正黑体_GBK" w:eastAsia="方正黑体_GBK" w:cs="宋体"/>
                <w:b/>
                <w:sz w:val="18"/>
                <w:szCs w:val="18"/>
              </w:rPr>
              <w:t>理财产品管理人有权根据市场变化情况调整产品存续期，届时管理人将调整相关日期并进行信息披露。）</w:t>
            </w:r>
          </w:p>
        </w:tc>
      </w:tr>
      <w:tr w14:paraId="4EF7791F">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25"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FD3D38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名义到期日</w:t>
            </w:r>
          </w:p>
        </w:tc>
        <w:tc>
          <w:tcPr>
            <w:tcW w:w="5543" w:type="dxa"/>
            <w:tcBorders>
              <w:top w:val="single" w:color="auto" w:sz="4" w:space="0"/>
              <w:left w:val="nil"/>
              <w:bottom w:val="single" w:color="auto" w:sz="4" w:space="0"/>
              <w:right w:val="single" w:color="auto" w:sz="4" w:space="0"/>
              <w:tl2br w:val="nil"/>
              <w:tr2bl w:val="nil"/>
            </w:tcBorders>
            <w:vAlign w:val="center"/>
          </w:tcPr>
          <w:p w14:paraId="6104E9F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2029年12月28日</w:t>
            </w:r>
            <w:r>
              <w:rPr>
                <w:rFonts w:hint="eastAsia" w:ascii="方正黑体_GBK" w:hAnsi="方正黑体_GBK" w:eastAsia="方正黑体_GBK" w:cs="Times New Roman"/>
                <w:b/>
                <w:bCs/>
                <w:caps w:val="0"/>
                <w:smallCaps w:val="0"/>
                <w:snapToGrid/>
                <w:vanish w:val="0"/>
                <w:color w:val="auto"/>
                <w:kern w:val="0"/>
                <w:sz w:val="18"/>
                <w:szCs w:val="18"/>
                <w:vertAlign w:val="baseline"/>
              </w:rPr>
              <w:t>（如遇国家法定节假日，管理人可结合国家法定节假日安排进行调整，并进行</w:t>
            </w:r>
            <w:r>
              <w:rPr>
                <w:rFonts w:hint="eastAsia" w:ascii="方正黑体_GBK" w:hAnsi="方正黑体_GBK" w:eastAsia="方正黑体_GBK"/>
                <w:b/>
                <w:bCs/>
                <w:caps w:val="0"/>
                <w:smallCaps w:val="0"/>
                <w:snapToGrid/>
                <w:vanish w:val="0"/>
                <w:color w:val="auto"/>
                <w:kern w:val="0"/>
                <w:sz w:val="18"/>
                <w:szCs w:val="18"/>
                <w:vertAlign w:val="baseline"/>
              </w:rPr>
              <w:t>信息披露</w:t>
            </w:r>
            <w:r>
              <w:rPr>
                <w:rFonts w:hint="eastAsia" w:ascii="方正黑体_GBK" w:hAnsi="方正黑体_GBK" w:eastAsia="方正黑体_GBK" w:cs="Times New Roman"/>
                <w:b/>
                <w:bCs/>
                <w:caps w:val="0"/>
                <w:smallCaps w:val="0"/>
                <w:snapToGrid/>
                <w:vanish w:val="0"/>
                <w:color w:val="auto"/>
                <w:kern w:val="0"/>
                <w:sz w:val="18"/>
                <w:szCs w:val="18"/>
                <w:vertAlign w:val="baseline"/>
              </w:rPr>
              <w:t>）</w:t>
            </w:r>
          </w:p>
        </w:tc>
      </w:tr>
      <w:tr w14:paraId="4978002F">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84DF7AB">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s="Times New Roman"/>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申购开放日和确认日</w:t>
            </w:r>
          </w:p>
        </w:tc>
        <w:tc>
          <w:tcPr>
            <w:tcW w:w="5543" w:type="dxa"/>
            <w:tcBorders>
              <w:top w:val="single" w:color="auto" w:sz="4" w:space="0"/>
              <w:left w:val="nil"/>
              <w:bottom w:val="single" w:color="auto" w:sz="4" w:space="0"/>
              <w:right w:val="single" w:color="auto" w:sz="4" w:space="0"/>
              <w:tl2br w:val="nil"/>
              <w:tr2bl w:val="nil"/>
            </w:tcBorders>
            <w:vAlign w:val="center"/>
          </w:tcPr>
          <w:p w14:paraId="0C194C76">
            <w:pPr>
              <w:spacing w:line="200" w:lineRule="exact"/>
            </w:pPr>
            <w:r>
              <w:rPr>
                <w:rFonts w:ascii="方正黑体_GBK" w:hAnsi="方正黑体_GBK" w:eastAsia="方正黑体_GBK" w:cs="宋体"/>
                <w:sz w:val="18"/>
                <w:szCs w:val="18"/>
              </w:rPr>
              <w:t>本理财产品存续期内按每一年开放申购，如遇节假日调整，申购开放日和申购确认日以公告为准。</w:t>
            </w:r>
          </w:p>
        </w:tc>
      </w:tr>
      <w:tr w14:paraId="3F1716CA">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26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C05C7CF">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s="Times New Roman"/>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赎回开放日和确认日</w:t>
            </w:r>
          </w:p>
        </w:tc>
        <w:tc>
          <w:tcPr>
            <w:tcW w:w="5543" w:type="dxa"/>
            <w:tcBorders>
              <w:top w:val="single" w:color="auto" w:sz="4" w:space="0"/>
              <w:left w:val="nil"/>
              <w:bottom w:val="single" w:color="auto" w:sz="4" w:space="0"/>
              <w:right w:val="single" w:color="auto" w:sz="4" w:space="0"/>
              <w:tl2br w:val="nil"/>
              <w:tr2bl w:val="nil"/>
            </w:tcBorders>
            <w:vAlign w:val="center"/>
          </w:tcPr>
          <w:p w14:paraId="3CD671FA">
            <w:pPr>
              <w:spacing w:line="200" w:lineRule="exact"/>
            </w:pPr>
            <w:r>
              <w:rPr>
                <w:rFonts w:ascii="方正黑体_GBK" w:hAnsi="方正黑体_GBK" w:eastAsia="方正黑体_GBK" w:cs="宋体"/>
                <w:sz w:val="18"/>
                <w:szCs w:val="18"/>
              </w:rPr>
              <w:t>本理财产品存续期内按每一年开放赎回，如遇节假日调整，赎回开放日和赎回确认日以公告为准，投资者可提交赎回申请，系统不自动赎回。产品终止时，产品将对所有份额进行强制赎回。</w:t>
            </w:r>
          </w:p>
        </w:tc>
      </w:tr>
      <w:tr w14:paraId="31B91367">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26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5AA9111">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aps w:val="0"/>
                <w:smallCaps w:val="0"/>
                <w:snapToGrid/>
                <w:vanish w:val="0"/>
                <w:color w:val="auto"/>
                <w:kern w:val="0"/>
                <w:sz w:val="18"/>
                <w:szCs w:val="18"/>
                <w:vertAlign w:val="baseline"/>
              </w:rPr>
            </w:pPr>
            <w:r>
              <w:rPr>
                <w:rFonts w:ascii="方正黑体_GBK" w:hAnsi="方正黑体_GBK" w:eastAsia="方正黑体_GBK"/>
                <w:caps w:val="0"/>
                <w:smallCaps w:val="0"/>
                <w:snapToGrid/>
                <w:vanish w:val="0"/>
                <w:color w:val="auto"/>
                <w:kern w:val="0"/>
                <w:sz w:val="18"/>
                <w:szCs w:val="18"/>
                <w:vertAlign w:val="baseline"/>
              </w:rPr>
              <w:t>申购/赎回规则</w:t>
            </w:r>
          </w:p>
        </w:tc>
        <w:tc>
          <w:tcPr>
            <w:tcW w:w="5543" w:type="dxa"/>
            <w:tcBorders>
              <w:top w:val="single" w:color="auto" w:sz="4" w:space="0"/>
              <w:left w:val="nil"/>
              <w:bottom w:val="single" w:color="auto" w:sz="4" w:space="0"/>
              <w:right w:val="single" w:color="auto" w:sz="4" w:space="0"/>
              <w:tl2br w:val="nil"/>
              <w:tr2bl w:val="nil"/>
            </w:tcBorders>
            <w:vAlign w:val="center"/>
          </w:tcPr>
          <w:p w14:paraId="26FAC690">
            <w:pPr>
              <w:spacing w:line="200" w:lineRule="exact"/>
              <w:jc w:val="left"/>
            </w:pPr>
            <w:r>
              <w:rPr>
                <w:rFonts w:ascii="方正黑体_GBK" w:hAnsi="方正黑体_GBK" w:eastAsia="方正黑体_GBK" w:cs="宋体"/>
                <w:sz w:val="18"/>
                <w:szCs w:val="18"/>
              </w:rPr>
              <w:t>A份额/F份额：本次开放期为2025年4月22日9：00至2025年4月28日17：00,下一个开放期为2026年5月26日9：00至2026年6月1日17：00，投资者可以提交或撤销申购/赎回申请。</w:t>
            </w:r>
          </w:p>
          <w:p w14:paraId="2D504795">
            <w:pPr>
              <w:spacing w:line="200" w:lineRule="exact"/>
              <w:jc w:val="left"/>
            </w:pPr>
            <w:r>
              <w:rPr>
                <w:rFonts w:ascii="方正黑体_GBK" w:hAnsi="方正黑体_GBK" w:eastAsia="方正黑体_GBK" w:cs="宋体"/>
                <w:sz w:val="18"/>
                <w:szCs w:val="18"/>
              </w:rPr>
              <w:t>B份额/C份额/D份额/E份额：本次开放期为2025年4月22日9：00至2025年4月28日17：00，投资者可以提交或撤销申购申请；确认申购成功的份额均将于下一个开放期（2026年5月26日9：00至2026年6月1日17：00）由系统自动发起赎回申请。</w:t>
            </w:r>
          </w:p>
          <w:p w14:paraId="44F0C537">
            <w:pPr>
              <w:spacing w:line="200" w:lineRule="exact"/>
              <w:jc w:val="left"/>
            </w:pPr>
            <w:r>
              <w:rPr>
                <w:rFonts w:ascii="方正黑体_GBK" w:hAnsi="方正黑体_GBK" w:eastAsia="方正黑体_GBK" w:cs="宋体"/>
                <w:sz w:val="18"/>
                <w:szCs w:val="18"/>
              </w:rPr>
              <w:t>A2份额/F2份额：本次开放期为2025年4月29日9：00至2025年5月6日17：00，投资者可以提交或撤销申购申请。下一个赎回开放期为2026年5月26日9：00至2026年6月1日17：00，投资者可以提交或撤销赎回申请；下一个申购开放期为2026年6月2日9：00至2026年6月8日17：00，投资者可以提交或撤销申购申请；</w:t>
            </w:r>
          </w:p>
          <w:p w14:paraId="3D49AFE6">
            <w:pPr>
              <w:spacing w:line="200" w:lineRule="exact"/>
              <w:jc w:val="left"/>
            </w:pPr>
            <w:r>
              <w:rPr>
                <w:rFonts w:ascii="方正黑体_GBK" w:hAnsi="方正黑体_GBK" w:eastAsia="方正黑体_GBK" w:cs="宋体"/>
                <w:sz w:val="18"/>
                <w:szCs w:val="18"/>
              </w:rPr>
              <w:t>B2份额/C2份额/D2份额/E2份额/G2份额：本次开放期为2025年4月29日9：00至2025年5月6日17：00，投资者可以提交或撤销申购申请；确认申购成功的份额均将于下一个开放期（2026年5月26日9：00至2026年6月1日17：00）由系统自动发起赎回申请。</w:t>
            </w:r>
          </w:p>
          <w:p w14:paraId="7BCA568F">
            <w:pPr>
              <w:spacing w:line="200" w:lineRule="exact"/>
              <w:jc w:val="left"/>
            </w:pPr>
            <w:r>
              <w:rPr>
                <w:rFonts w:ascii="方正黑体_GBK" w:hAnsi="方正黑体_GBK" w:eastAsia="方正黑体_GBK" w:cs="宋体"/>
                <w:sz w:val="18"/>
                <w:szCs w:val="18"/>
              </w:rPr>
              <w:t>A3份额/F3份额：本次开放期为2025年5月7日9：00至2025年5月12日17：00，投资者可以提交或撤销申购申请。下一个赎回开放期为2026年5月26日9：00至2026年6月1日17：00，投资者可以提交或撤销赎回申请，下一个申购开放期为2026年6月9日9：00至2026年6月15日17：00，投资者可以提交或撤销申购申请；</w:t>
            </w:r>
          </w:p>
          <w:p w14:paraId="787EF3D1">
            <w:pPr>
              <w:spacing w:line="200" w:lineRule="exact"/>
              <w:jc w:val="left"/>
            </w:pPr>
            <w:r>
              <w:rPr>
                <w:rFonts w:ascii="方正黑体_GBK" w:hAnsi="方正黑体_GBK" w:eastAsia="方正黑体_GBK" w:cs="宋体"/>
                <w:sz w:val="18"/>
                <w:szCs w:val="18"/>
              </w:rPr>
              <w:t>B3份额/C3份额/D3份额/E3份额：本次开放期为2025年5月7日9：00至2025年5月12日17：00，投资者可以提交或撤销申购申请；确认申购成功的份额均将于下一个开放期（2026年5月26日9：00至2026年6月1日17：00）由系统自动发起赎回申请。</w:t>
            </w:r>
          </w:p>
          <w:p w14:paraId="7FA00579">
            <w:pPr>
              <w:spacing w:line="200" w:lineRule="exact"/>
              <w:jc w:val="left"/>
            </w:pPr>
            <w:r>
              <w:rPr>
                <w:rFonts w:ascii="方正黑体_GBK" w:hAnsi="方正黑体_GBK" w:eastAsia="方正黑体_GBK" w:cs="宋体"/>
                <w:sz w:val="18"/>
                <w:szCs w:val="18"/>
              </w:rPr>
              <w:t>产品开放期如有调整以管理人公告为准。</w:t>
            </w:r>
          </w:p>
          <w:p w14:paraId="74DF7B41">
            <w:pPr>
              <w:spacing w:line="200" w:lineRule="exact"/>
            </w:pPr>
            <w:r>
              <w:rPr>
                <w:rFonts w:ascii="方正黑体_GBK" w:hAnsi="方正黑体_GBK" w:eastAsia="方正黑体_GBK" w:cs="宋体"/>
                <w:sz w:val="18"/>
                <w:szCs w:val="18"/>
              </w:rPr>
              <w:t>在销售机构支持的前提下，申购/赎回开放期末日17:00前可以撤销申购/赎回申请。</w:t>
            </w:r>
          </w:p>
          <w:p w14:paraId="347B05CC">
            <w:pPr>
              <w:spacing w:line="200" w:lineRule="exact"/>
            </w:pPr>
            <w:r>
              <w:rPr>
                <w:rFonts w:ascii="方正黑体_GBK" w:hAnsi="方正黑体_GBK" w:eastAsia="方正黑体_GBK" w:cs="宋体"/>
                <w:sz w:val="18"/>
                <w:szCs w:val="18"/>
              </w:rPr>
              <w:t>代销机构可根据其销售需要在管理人设定的申购/赎回时间范围内对申购/赎回时间进行重新设定，投资者通过代销机构购买本理财产品的，以该代销机构最终披露的时间为准。</w:t>
            </w:r>
          </w:p>
        </w:tc>
      </w:tr>
      <w:tr w14:paraId="02616731">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28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0692429">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申购</w:t>
            </w:r>
            <w:r>
              <w:rPr>
                <w:rFonts w:hint="eastAsia" w:ascii="方正黑体_GBK" w:hAnsi="方正黑体_GBK" w:eastAsia="方正黑体_GBK"/>
                <w:caps w:val="0"/>
                <w:smallCaps w:val="0"/>
                <w:snapToGrid/>
                <w:vanish w:val="0"/>
                <w:color w:val="auto"/>
                <w:kern w:val="0"/>
                <w:sz w:val="18"/>
                <w:szCs w:val="18"/>
                <w:vertAlign w:val="baseline"/>
              </w:rPr>
              <w:t>份额计算</w:t>
            </w:r>
          </w:p>
        </w:tc>
        <w:tc>
          <w:tcPr>
            <w:tcW w:w="5543" w:type="dxa"/>
            <w:tcBorders>
              <w:top w:val="single" w:color="auto" w:sz="4" w:space="0"/>
              <w:left w:val="nil"/>
              <w:bottom w:val="single" w:color="auto" w:sz="4" w:space="0"/>
              <w:right w:val="single" w:color="auto" w:sz="4" w:space="0"/>
              <w:tl2br w:val="nil"/>
              <w:tr2bl w:val="nil"/>
            </w:tcBorders>
            <w:vAlign w:val="center"/>
          </w:tcPr>
          <w:p w14:paraId="707C0DD0">
            <w:pPr>
              <w:spacing w:line="200" w:lineRule="exact"/>
            </w:pPr>
            <w:r>
              <w:rPr>
                <w:rFonts w:ascii="方正黑体_GBK" w:hAnsi="方正黑体_GBK" w:eastAsia="方正黑体_GBK" w:cs="宋体"/>
                <w:sz w:val="18"/>
                <w:szCs w:val="18"/>
              </w:rPr>
              <w:t>申购份额=确认申购金额/S。S为申购确认日理财产品单位净值（已扣除相关费用）。申购份额以去尾法保留两位小数。</w:t>
            </w:r>
          </w:p>
        </w:tc>
      </w:tr>
      <w:tr w14:paraId="7AF32FB7">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9BC6BD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赎回金额计算</w:t>
            </w:r>
          </w:p>
        </w:tc>
        <w:tc>
          <w:tcPr>
            <w:tcW w:w="5543" w:type="dxa"/>
            <w:tcBorders>
              <w:top w:val="single" w:color="auto" w:sz="4" w:space="0"/>
              <w:left w:val="nil"/>
              <w:bottom w:val="single" w:color="auto" w:sz="4" w:space="0"/>
              <w:right w:val="single" w:color="auto" w:sz="4" w:space="0"/>
              <w:tl2br w:val="nil"/>
              <w:tr2bl w:val="nil"/>
            </w:tcBorders>
            <w:vAlign w:val="center"/>
          </w:tcPr>
          <w:p w14:paraId="65B74EAC">
            <w:pPr>
              <w:spacing w:line="200" w:lineRule="exact"/>
            </w:pPr>
            <w:r>
              <w:rPr>
                <w:rFonts w:ascii="方正黑体_GBK" w:hAnsi="方正黑体_GBK" w:eastAsia="方正黑体_GBK" w:cs="宋体"/>
                <w:sz w:val="18"/>
                <w:szCs w:val="18"/>
              </w:rPr>
              <w:t>赎回金额=确认赎回份额×R。 R为赎回确认日理财产品单位净值（已扣除相关费用，赎回金额以去尾法保留两位小数）</w:t>
            </w:r>
          </w:p>
        </w:tc>
      </w:tr>
      <w:tr w14:paraId="6FF3321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8F7EDF2">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kern w:val="0"/>
                <w:sz w:val="18"/>
                <w:szCs w:val="18"/>
              </w:rPr>
              <w:t>到期兑付金额计算</w:t>
            </w:r>
          </w:p>
        </w:tc>
        <w:tc>
          <w:tcPr>
            <w:tcW w:w="5543" w:type="dxa"/>
            <w:tcBorders>
              <w:top w:val="single" w:color="auto" w:sz="4" w:space="0"/>
              <w:left w:val="nil"/>
              <w:bottom w:val="single" w:color="auto" w:sz="4" w:space="0"/>
              <w:right w:val="single" w:color="auto" w:sz="4" w:space="0"/>
              <w:tl2br w:val="nil"/>
              <w:tr2bl w:val="nil"/>
            </w:tcBorders>
            <w:vAlign w:val="center"/>
          </w:tcPr>
          <w:p w14:paraId="6D3BBC62">
            <w:pPr>
              <w:spacing w:line="200" w:lineRule="exact"/>
            </w:pPr>
            <w:r>
              <w:rPr>
                <w:rFonts w:ascii="方正黑体_GBK" w:hAnsi="方正黑体_GBK" w:eastAsia="方正黑体_GBK" w:cs="宋体"/>
                <w:color w:val="000000"/>
                <w:sz w:val="18"/>
                <w:szCs w:val="18"/>
              </w:rPr>
              <w:t>到期兑付金额=到期时持有份额×P。 P为期末理财产品单位净值。（已扣除相关费用，到期兑付金额以去尾法保留两位小数）</w:t>
            </w:r>
          </w:p>
        </w:tc>
      </w:tr>
      <w:tr w14:paraId="3A6095DE">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F94CC2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收益分配</w:t>
            </w:r>
          </w:p>
        </w:tc>
        <w:tc>
          <w:tcPr>
            <w:tcW w:w="5543" w:type="dxa"/>
            <w:tcBorders>
              <w:top w:val="single" w:color="auto" w:sz="4" w:space="0"/>
              <w:left w:val="nil"/>
              <w:bottom w:val="single" w:color="auto" w:sz="4" w:space="0"/>
              <w:right w:val="single" w:color="auto" w:sz="4" w:space="0"/>
              <w:tl2br w:val="nil"/>
              <w:tr2bl w:val="nil"/>
            </w:tcBorders>
            <w:vAlign w:val="center"/>
          </w:tcPr>
          <w:p w14:paraId="391B4789">
            <w:pPr>
              <w:spacing w:line="200" w:lineRule="exact"/>
            </w:pPr>
            <w:r>
              <w:rPr>
                <w:rFonts w:ascii="方正黑体_GBK" w:hAnsi="方正黑体_GBK" w:eastAsia="方正黑体_GBK" w:cs="宋体"/>
                <w:sz w:val="18"/>
                <w:szCs w:val="18"/>
              </w:rPr>
              <w:t>当理财产品单位净值不低于1时，管理人可以根据实际情况进行收益分配，分配方式为现金分红，具体分配方案以信息披露为准（分配后理财产品净值不低于1）。</w:t>
            </w:r>
          </w:p>
          <w:p w14:paraId="7BE8E7A3">
            <w:pPr>
              <w:spacing w:line="200" w:lineRule="exact"/>
            </w:pPr>
            <w:r>
              <w:rPr>
                <w:rFonts w:ascii="方正黑体_GBK" w:hAnsi="方正黑体_GBK" w:eastAsia="方正黑体_GBK" w:cs="宋体"/>
                <w:sz w:val="18"/>
                <w:szCs w:val="18"/>
              </w:rPr>
              <w:t>产品到期后，理财产品管理人和代销机构将根据理财资金所投资资产实际运作情况向投资者分配到期款项。</w:t>
            </w:r>
          </w:p>
        </w:tc>
      </w:tr>
      <w:tr w14:paraId="763C0E08">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29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DA9C16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资金到账日</w:t>
            </w:r>
          </w:p>
        </w:tc>
        <w:tc>
          <w:tcPr>
            <w:tcW w:w="5543" w:type="dxa"/>
            <w:tcBorders>
              <w:top w:val="single" w:color="auto" w:sz="4" w:space="0"/>
              <w:left w:val="nil"/>
              <w:bottom w:val="single" w:color="auto" w:sz="4" w:space="0"/>
              <w:right w:val="single" w:color="auto" w:sz="4" w:space="0"/>
              <w:tl2br w:val="nil"/>
              <w:tr2bl w:val="nil"/>
            </w:tcBorders>
            <w:vAlign w:val="center"/>
          </w:tcPr>
          <w:p w14:paraId="48E9D51A">
            <w:pPr>
              <w:spacing w:line="200" w:lineRule="exact"/>
              <w:jc w:val="left"/>
            </w:pPr>
            <w:r>
              <w:rPr>
                <w:rFonts w:ascii="方正黑体_GBK" w:hAnsi="方正黑体_GBK" w:eastAsia="方正黑体_GBK" w:cs="宋体"/>
                <w:sz w:val="18"/>
                <w:szCs w:val="18"/>
              </w:rPr>
              <w:t>赎回资金、分红资金（如有）、到期资金将于赎回确认日、分红权益登记日（如有）、实际到期日后5个工作日内划入投资者授权指定账户，赎回确认日、分红权益登记日（如有）、实际到期日后至投资者收益划到投资者授权指定账户之前不计任何收益。</w:t>
            </w:r>
          </w:p>
          <w:p w14:paraId="4D8793AA">
            <w:pPr>
              <w:spacing w:line="200" w:lineRule="exact"/>
              <w:jc w:val="left"/>
            </w:pPr>
            <w:r>
              <w:rPr>
                <w:rFonts w:ascii="方正黑体_GBK" w:hAnsi="方正黑体_GBK" w:eastAsia="方正黑体_GBK" w:cs="宋体"/>
                <w:sz w:val="18"/>
                <w:szCs w:val="18"/>
              </w:rPr>
              <w:t>分红权益登记日指管理人确认投资者所持份额是否享受本次分红的日期。</w:t>
            </w:r>
          </w:p>
        </w:tc>
      </w:tr>
      <w:tr w14:paraId="7E4BD9F0">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25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E5E942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投资范围</w:t>
            </w:r>
          </w:p>
        </w:tc>
        <w:tc>
          <w:tcPr>
            <w:tcW w:w="5543" w:type="dxa"/>
            <w:tcBorders>
              <w:top w:val="single" w:color="auto" w:sz="4" w:space="0"/>
              <w:left w:val="nil"/>
              <w:bottom w:val="single" w:color="auto" w:sz="4" w:space="0"/>
              <w:right w:val="single" w:color="auto" w:sz="4" w:space="0"/>
              <w:tl2br w:val="nil"/>
              <w:tr2bl w:val="nil"/>
            </w:tcBorders>
            <w:vAlign w:val="center"/>
          </w:tcPr>
          <w:p w14:paraId="6FEB40DA">
            <w:pPr>
              <w:spacing w:line="200" w:lineRule="exact"/>
              <w:jc w:val="left"/>
            </w:pPr>
            <w:r>
              <w:rPr>
                <w:rFonts w:ascii="方正黑体_GBK" w:hAnsi="方正黑体_GBK" w:eastAsia="方正黑体_GBK" w:cs="宋体"/>
                <w:sz w:val="18"/>
                <w:szCs w:val="18"/>
              </w:rPr>
              <w:t>本理财产品募集的资金投资于以下金融资产和金融工具，包括但不限于：</w:t>
            </w:r>
          </w:p>
          <w:p w14:paraId="2F5D4387">
            <w:pPr>
              <w:spacing w:line="200" w:lineRule="exact"/>
              <w:jc w:val="left"/>
            </w:pPr>
            <w:r>
              <w:rPr>
                <w:rFonts w:ascii="方正黑体_GBK" w:hAnsi="方正黑体_GBK" w:eastAsia="方正黑体_GBK" w:cs="宋体"/>
                <w:sz w:val="18"/>
                <w:szCs w:val="18"/>
              </w:rPr>
              <w:t>1.现金、银行存款、银行承兑汇票、同业存款、大额存单、同业存单、债券回购、货币基金等货币市场工具；</w:t>
            </w:r>
          </w:p>
          <w:p w14:paraId="3493AD90">
            <w:pPr>
              <w:spacing w:line="200" w:lineRule="exact"/>
              <w:jc w:val="left"/>
            </w:pPr>
            <w:r>
              <w:rPr>
                <w:rFonts w:ascii="方正黑体_GBK" w:hAnsi="方正黑体_GBK" w:eastAsia="方正黑体_GBK" w:cs="宋体"/>
                <w:sz w:val="18"/>
                <w:szCs w:val="18"/>
              </w:rPr>
              <w:t>2.国债、央票、企业债、金融债、政策性金融债、次级债、二级资本债、永续债、资产支持证券、资产支持票据、地方政府债、中期票据、超短期融资券、短期融资券、公司债、可转债、可交债、非公开定向债务融资工具(PPN)、公募债券型证券投资基金等标准化债权类资产；</w:t>
            </w:r>
          </w:p>
          <w:p w14:paraId="2099774A">
            <w:pPr>
              <w:spacing w:line="200" w:lineRule="exact"/>
              <w:jc w:val="left"/>
            </w:pPr>
            <w:r>
              <w:rPr>
                <w:rFonts w:ascii="方正黑体_GBK" w:hAnsi="方正黑体_GBK" w:eastAsia="方正黑体_GBK" w:cs="宋体"/>
                <w:sz w:val="18"/>
                <w:szCs w:val="18"/>
              </w:rPr>
              <w:t>3.信托贷款、收受益权、应收账款、债权融资类产品、同业借款、收益凭证、债权投资计划和资产支持计划、信贷资产流转和收益权转让产品、场内股票质押回购、场外股票质押融资等资产，以及符合监管要求的其他非标准化债权类资产；</w:t>
            </w:r>
          </w:p>
          <w:p w14:paraId="33E817AA">
            <w:pPr>
              <w:spacing w:line="200" w:lineRule="exact"/>
              <w:jc w:val="left"/>
            </w:pPr>
            <w:r>
              <w:rPr>
                <w:rFonts w:ascii="方正黑体_GBK" w:hAnsi="方正黑体_GBK" w:eastAsia="方正黑体_GBK" w:cs="宋体"/>
                <w:sz w:val="18"/>
                <w:szCs w:val="18"/>
              </w:rPr>
              <w:t>4.投资范围为上述资产的信托计划、资产管理计划等资产管理产品；</w:t>
            </w:r>
          </w:p>
          <w:p w14:paraId="1C9103BD">
            <w:pPr>
              <w:spacing w:line="200" w:lineRule="exact"/>
              <w:jc w:val="left"/>
            </w:pPr>
            <w:r>
              <w:rPr>
                <w:rFonts w:ascii="方正黑体_GBK" w:hAnsi="方正黑体_GBK" w:eastAsia="方正黑体_GBK" w:cs="宋体"/>
                <w:sz w:val="18"/>
                <w:szCs w:val="18"/>
              </w:rPr>
              <w:t>5.法律法规或监管机构允许投资的符合本理财产品投资性质的其他金融工具；</w:t>
            </w:r>
          </w:p>
          <w:p w14:paraId="62DB4984">
            <w:pPr>
              <w:spacing w:line="200" w:lineRule="exact"/>
              <w:jc w:val="left"/>
            </w:pPr>
            <w:r>
              <w:rPr>
                <w:rFonts w:ascii="方正黑体_GBK" w:hAnsi="方正黑体_GBK" w:eastAsia="方正黑体_GBK" w:cs="宋体"/>
                <w:sz w:val="18"/>
                <w:szCs w:val="18"/>
              </w:rPr>
              <w:t>6.如存在法律法规或监管机构以后允许投资的其他品种或法律法规或监管政策出现调整，管理人在履行本理财产品销售文件规定的适当程序后，有权调整以上品种。</w:t>
            </w:r>
          </w:p>
        </w:tc>
      </w:tr>
      <w:tr w14:paraId="6EFF3806">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8C61F9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投资比例</w:t>
            </w:r>
          </w:p>
        </w:tc>
        <w:tc>
          <w:tcPr>
            <w:tcW w:w="5543" w:type="dxa"/>
            <w:tcBorders>
              <w:top w:val="single" w:color="auto" w:sz="4" w:space="0"/>
              <w:left w:val="nil"/>
              <w:bottom w:val="single" w:color="auto" w:sz="4" w:space="0"/>
              <w:right w:val="single" w:color="auto" w:sz="4" w:space="0"/>
              <w:tl2br w:val="nil"/>
              <w:tr2bl w:val="nil"/>
            </w:tcBorders>
            <w:vAlign w:val="center"/>
          </w:tcPr>
          <w:p w14:paraId="5E3B7522">
            <w:pPr>
              <w:spacing w:line="200" w:lineRule="exact"/>
            </w:pPr>
            <w:r>
              <w:rPr>
                <w:rFonts w:ascii="方正黑体_GBK" w:hAnsi="方正黑体_GBK" w:eastAsia="方正黑体_GBK" w:cs="宋体"/>
                <w:sz w:val="18"/>
                <w:szCs w:val="18"/>
              </w:rPr>
              <w:t>本理财产品投资于固定收益类资产的比例不低于80%,投资于非标准化债权类资产的比例不高于50%。</w:t>
            </w:r>
          </w:p>
          <w:p w14:paraId="0F51FD13">
            <w:pPr>
              <w:spacing w:line="200" w:lineRule="exact"/>
            </w:pPr>
            <w:r>
              <w:rPr>
                <w:rFonts w:ascii="方正黑体_GBK" w:hAnsi="方正黑体_GBK" w:eastAsia="方正黑体_GBK" w:cs="宋体"/>
                <w:sz w:val="18"/>
                <w:szCs w:val="18"/>
              </w:rPr>
              <w:t>注：非因管理人主观因素导致突破上述比例限制的，管理人将在流动性受限资产可出售、可转让或者恢复交易的15个交易日内将投资比例调整至符合说明书约定的范围。如果法律法规或者监管机构变更投资品种的投资比例限制，理财产品管理人在履行本理财产品销售文件约定的适当程序后，可以调整上述投资品种的投资比例。</w:t>
            </w:r>
          </w:p>
        </w:tc>
      </w:tr>
      <w:tr w14:paraId="0EA6E0C0">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9653D7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投资策略</w:t>
            </w:r>
          </w:p>
        </w:tc>
        <w:tc>
          <w:tcPr>
            <w:tcW w:w="5543" w:type="dxa"/>
            <w:tcBorders>
              <w:top w:val="single" w:color="auto" w:sz="4" w:space="0"/>
              <w:left w:val="nil"/>
              <w:bottom w:val="single" w:color="auto" w:sz="4" w:space="0"/>
              <w:right w:val="single" w:color="auto" w:sz="4" w:space="0"/>
              <w:tl2br w:val="nil"/>
              <w:tr2bl w:val="nil"/>
            </w:tcBorders>
            <w:vAlign w:val="center"/>
          </w:tcPr>
          <w:p w14:paraId="6E48991C">
            <w:pPr>
              <w:spacing w:line="200" w:lineRule="exact"/>
            </w:pPr>
            <w:r>
              <w:rPr>
                <w:rFonts w:ascii="方正黑体_GBK" w:hAnsi="方正黑体_GBK" w:eastAsia="方正黑体_GBK" w:cs="宋体"/>
                <w:sz w:val="18"/>
                <w:szCs w:val="18"/>
              </w:rPr>
              <w:t>本理财产品通过对宏观经济、政策环境、市场状况和资金供求的深入分析，自上而下进行积极主动的资产配置，对债券等资产进行品种和行业的价值分析，构建合理的投资组合方案。力争控制回撤幅度，追求稳健的投资回报。</w:t>
            </w:r>
          </w:p>
        </w:tc>
      </w:tr>
      <w:tr w14:paraId="4E4D14F0">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6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7887F79">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拟投资非标准化债权类资产</w:t>
            </w:r>
          </w:p>
        </w:tc>
        <w:tc>
          <w:tcPr>
            <w:tcW w:w="5543" w:type="dxa"/>
            <w:tcBorders>
              <w:top w:val="single" w:color="auto" w:sz="4" w:space="0"/>
              <w:left w:val="nil"/>
              <w:bottom w:val="single" w:color="auto" w:sz="4" w:space="0"/>
              <w:right w:val="single" w:color="auto" w:sz="4" w:space="0"/>
              <w:tl2br w:val="nil"/>
              <w:tr2bl w:val="nil"/>
            </w:tcBorders>
            <w:vAlign w:val="center"/>
          </w:tcPr>
          <w:p w14:paraId="1C597EF1">
            <w:pPr>
              <w:spacing w:line="200" w:lineRule="exact"/>
            </w:pPr>
            <w:r>
              <w:rPr>
                <w:rFonts w:ascii="方正黑体_GBK" w:hAnsi="方正黑体_GBK" w:eastAsia="方正黑体_GBK" w:cs="宋体"/>
                <w:b/>
                <w:sz w:val="18"/>
                <w:szCs w:val="18"/>
              </w:rPr>
              <w:t>本理财产品拟投资以下备选非标准化债权类资产：</w:t>
            </w:r>
          </w:p>
          <w:p w14:paraId="1BF023EC">
            <w:pPr>
              <w:spacing w:line="200" w:lineRule="exact"/>
            </w:pPr>
            <w:r>
              <w:rPr>
                <w:rFonts w:ascii="方正黑体_GBK" w:hAnsi="方正黑体_GBK" w:eastAsia="方正黑体_GBK" w:cs="宋体"/>
                <w:sz w:val="18"/>
                <w:szCs w:val="18"/>
              </w:rPr>
              <w:t>(1)信托贷款：资产类型为信托公司设立的资金信托计划，底层资产为京东及信托公司双重审核、信托公司自主风控后发放的“白条”个人消费贷款债权，资产到期日不超过理财产品最近一次开放日。</w:t>
            </w:r>
          </w:p>
          <w:p w14:paraId="4532AB81">
            <w:pPr>
              <w:spacing w:line="200" w:lineRule="exact"/>
            </w:pPr>
            <w:r>
              <w:rPr>
                <w:rFonts w:ascii="方正黑体_GBK" w:hAnsi="方正黑体_GBK" w:eastAsia="方正黑体_GBK" w:cs="宋体"/>
                <w:sz w:val="18"/>
                <w:szCs w:val="18"/>
              </w:rPr>
              <w:t>(2)信托贷款：资产类型为信托公司设立的资金信托计划，底层资产为京东及信托公司双重审核、信托公司自主风控后发放的“金条”个人消费贷款债权，资产到期日不超过理财产品最近一次开放日。</w:t>
            </w:r>
          </w:p>
          <w:p w14:paraId="7B5086CA">
            <w:pPr>
              <w:spacing w:line="200" w:lineRule="exact"/>
            </w:pPr>
            <w:r>
              <w:rPr>
                <w:rFonts w:ascii="方正黑体_GBK" w:hAnsi="方正黑体_GBK" w:eastAsia="方正黑体_GBK" w:cs="宋体"/>
                <w:sz w:val="18"/>
                <w:szCs w:val="18"/>
              </w:rPr>
              <w:t>(3)信托贷款：资产类型为信托公司设立的资金信托计划，底层资产为京东及信托公司双重审核、信托公司自主风控后发放的“白条取现”个人消费贷款债权，资产到期日不超过理财产品最近一次开放日。</w:t>
            </w:r>
          </w:p>
          <w:p w14:paraId="169F4FEC">
            <w:pPr>
              <w:spacing w:line="200" w:lineRule="exact"/>
            </w:pPr>
            <w:r>
              <w:rPr>
                <w:rFonts w:ascii="方正黑体_GBK" w:hAnsi="方正黑体_GBK" w:eastAsia="方正黑体_GBK" w:cs="宋体"/>
                <w:sz w:val="18"/>
                <w:szCs w:val="18"/>
              </w:rPr>
              <w:t>(4)资产支持计划：资产类型为保险资产管理公司设立的资产支持计划，底层资产为京东及信托公司双重审核、信托公司自主风控后发放的“白条”个人消费贷款债权，资产到期日不超过理财产品最近一次开放日。</w:t>
            </w:r>
          </w:p>
          <w:p w14:paraId="1D82A00C">
            <w:pPr>
              <w:spacing w:line="200" w:lineRule="exact"/>
            </w:pPr>
            <w:r>
              <w:rPr>
                <w:rFonts w:ascii="方正黑体_GBK" w:hAnsi="方正黑体_GBK" w:eastAsia="方正黑体_GBK" w:cs="宋体"/>
                <w:sz w:val="18"/>
                <w:szCs w:val="18"/>
              </w:rPr>
              <w:t>(5)资产支持计划：资产类型为保险资产管理公司设立的资产支持计划，底层资产为京东及信托公司双重审核、信托公司自主风控后发放的“金条”个人消费贷款债权，资产到期日不超过理财产品最近一次开放日。</w:t>
            </w:r>
          </w:p>
          <w:p w14:paraId="556E08B5">
            <w:pPr>
              <w:spacing w:line="200" w:lineRule="exact"/>
            </w:pPr>
            <w:r>
              <w:rPr>
                <w:rFonts w:ascii="方正黑体_GBK" w:hAnsi="方正黑体_GBK" w:eastAsia="方正黑体_GBK" w:cs="宋体"/>
                <w:sz w:val="18"/>
                <w:szCs w:val="18"/>
              </w:rPr>
              <w:t>(6)资产支持计划：资产类型为保险资产管理公司设立的资产支持计划，底层资产为京东及信托公司双重审核、信托公司自主风控后发放的“白条取现”个人消费贷款债权，资产到期日不超过理财产品最近一次开放日。</w:t>
            </w:r>
          </w:p>
          <w:p w14:paraId="6F9F700B">
            <w:pPr>
              <w:spacing w:line="200" w:lineRule="exact"/>
            </w:pPr>
            <w:r>
              <w:rPr>
                <w:rFonts w:ascii="方正黑体_GBK" w:hAnsi="方正黑体_GBK" w:eastAsia="方正黑体_GBK" w:cs="宋体"/>
                <w:sz w:val="18"/>
                <w:szCs w:val="18"/>
              </w:rPr>
              <w:t>(7)信托贷款：资产类型为信托公司设立的资金信托计划，底层资产为抖音及信托公司双重审核、信托公司自主风控后发放的“月付”个人消费贷款债权，资产到期日不超过理财产品最近一次开放日。</w:t>
            </w:r>
          </w:p>
          <w:p w14:paraId="0E5F0AAE">
            <w:pPr>
              <w:spacing w:line="200" w:lineRule="exact"/>
            </w:pPr>
            <w:r>
              <w:rPr>
                <w:rFonts w:ascii="方正黑体_GBK" w:hAnsi="方正黑体_GBK" w:eastAsia="方正黑体_GBK" w:cs="宋体"/>
                <w:sz w:val="18"/>
                <w:szCs w:val="18"/>
              </w:rPr>
              <w:t>(8)信托贷款：资产类型为信托公司设立的资金信托计划，底层资产为抖音及信托公司双重审核、信托公司自主风控后发放的“放心借”贷款资产，资产到期日不超过理财产品最近一次开放日。</w:t>
            </w:r>
          </w:p>
          <w:p w14:paraId="445057A3">
            <w:pPr>
              <w:spacing w:line="200" w:lineRule="exact"/>
            </w:pPr>
            <w:r>
              <w:rPr>
                <w:rFonts w:ascii="方正黑体_GBK" w:hAnsi="方正黑体_GBK" w:eastAsia="方正黑体_GBK" w:cs="宋体"/>
                <w:sz w:val="18"/>
                <w:szCs w:val="18"/>
              </w:rPr>
              <w:t>(9)资产支持计划：资产类型为保险资产管理公司设立的资产支持计划，底层资产为抖音及信托公司双重审核、信托公司自主风控后发放的“月付”个人消费贷款债权，资产到期日不超过理财产品最近一次开放日。</w:t>
            </w:r>
          </w:p>
          <w:p w14:paraId="67CC98A8">
            <w:pPr>
              <w:spacing w:line="200" w:lineRule="exact"/>
            </w:pPr>
            <w:r>
              <w:rPr>
                <w:rFonts w:ascii="方正黑体_GBK" w:hAnsi="方正黑体_GBK" w:eastAsia="方正黑体_GBK" w:cs="宋体"/>
                <w:sz w:val="18"/>
                <w:szCs w:val="18"/>
              </w:rPr>
              <w:t>(10)资产支持计划：资产类型为保险资产管理公司设立的资产支持计划，底层资产为抖音及信托公司双重审核、信托公司自主风控后发放的“放心借”贷款资产，资产到期日不超过理财产品最近一次开放日。</w:t>
            </w:r>
          </w:p>
          <w:p w14:paraId="305939FE">
            <w:pPr>
              <w:spacing w:line="200" w:lineRule="exact"/>
            </w:pPr>
            <w:r>
              <w:rPr>
                <w:rFonts w:ascii="方正黑体_GBK" w:hAnsi="方正黑体_GBK" w:eastAsia="方正黑体_GBK" w:cs="宋体"/>
                <w:sz w:val="18"/>
                <w:szCs w:val="18"/>
              </w:rPr>
              <w:t>(11)信托贷款：资产类型为信托公司设立的资金信托计划，底层资产为蚂蚁及信托公司双重审核、信托公司自主风控后发放的“花呗”个人消费贷款债权，资产到期日不超过理财产品最近一次开放日。</w:t>
            </w:r>
          </w:p>
          <w:p w14:paraId="114A4A91">
            <w:pPr>
              <w:spacing w:line="200" w:lineRule="exact"/>
            </w:pPr>
            <w:r>
              <w:rPr>
                <w:rFonts w:ascii="方正黑体_GBK" w:hAnsi="方正黑体_GBK" w:eastAsia="方正黑体_GBK" w:cs="宋体"/>
                <w:sz w:val="18"/>
                <w:szCs w:val="18"/>
              </w:rPr>
              <w:t>(12)信托贷款：资产类型为信托公司设立的资金信托计划，底层资产为蚂蚁及信托公司双重审核、信托公司自主风控后发放的“借呗”个人消费贷款债权，资产到期日不超过理财产品最近一次开放日。</w:t>
            </w:r>
          </w:p>
          <w:p w14:paraId="509660F8">
            <w:pPr>
              <w:spacing w:line="200" w:lineRule="exact"/>
            </w:pPr>
            <w:r>
              <w:rPr>
                <w:rFonts w:ascii="方正黑体_GBK" w:hAnsi="方正黑体_GBK" w:eastAsia="方正黑体_GBK" w:cs="宋体"/>
                <w:sz w:val="18"/>
                <w:szCs w:val="18"/>
              </w:rPr>
              <w:t>(13)资产支持计划：资产类型为保险资产管理公司设立的资产支持计划，底层资产为蚂蚁及信托公司双重审核、信托公司自主风控后发放的“花呗”个人消费贷款债权，资产到期日不超过理财产品最近一次开放日。</w:t>
            </w:r>
          </w:p>
          <w:p w14:paraId="65F21A55">
            <w:pPr>
              <w:spacing w:line="200" w:lineRule="exact"/>
            </w:pPr>
            <w:r>
              <w:rPr>
                <w:rFonts w:ascii="方正黑体_GBK" w:hAnsi="方正黑体_GBK" w:eastAsia="方正黑体_GBK" w:cs="宋体"/>
                <w:sz w:val="18"/>
                <w:szCs w:val="18"/>
              </w:rPr>
              <w:t>(14)资产支持计划：资产类型为保险资产管理公司设立的资产支持计划，底层资产为蚂蚁及信托公司双重审核、信托公司自主风控后发放的“借呗”个人消费贷款债权，资产到期日不超过理财产品最近一次开放日。</w:t>
            </w:r>
          </w:p>
          <w:p w14:paraId="0364AF34">
            <w:pPr>
              <w:spacing w:line="200" w:lineRule="exact"/>
            </w:pPr>
            <w:r>
              <w:rPr>
                <w:rFonts w:ascii="方正黑体_GBK" w:hAnsi="方正黑体_GBK" w:eastAsia="方正黑体_GBK" w:cs="宋体"/>
                <w:sz w:val="18"/>
                <w:szCs w:val="18"/>
              </w:rPr>
              <w:t>(15)信托贷款：资产类型为信托公司设立的资金信托计划，底层资产为微信及信托公司双重审核、信托公司自主风控后发放的“分付”个人消费贷款债权，资产到期日不超过理财产品最近一次开放日。</w:t>
            </w:r>
          </w:p>
          <w:p w14:paraId="2514F686">
            <w:pPr>
              <w:spacing w:line="200" w:lineRule="exact"/>
            </w:pPr>
            <w:r>
              <w:rPr>
                <w:rFonts w:ascii="方正黑体_GBK" w:hAnsi="方正黑体_GBK" w:eastAsia="方正黑体_GBK" w:cs="宋体"/>
                <w:sz w:val="18"/>
                <w:szCs w:val="18"/>
              </w:rPr>
              <w:t>(16)信托贷款：资产类型为信托公司设立的资金信托计划，底层资产为度小满及信托公司双重审核、信托公司自主风控后发放的“满易贷”个人消费贷款债权，资产到期日不超过理财产品最近一次开放日。</w:t>
            </w:r>
          </w:p>
          <w:p w14:paraId="79391BFE">
            <w:pPr>
              <w:spacing w:line="200" w:lineRule="exact"/>
            </w:pPr>
            <w:r>
              <w:rPr>
                <w:rFonts w:ascii="方正黑体_GBK" w:hAnsi="方正黑体_GBK" w:eastAsia="方正黑体_GBK" w:cs="宋体"/>
                <w:sz w:val="18"/>
                <w:szCs w:val="18"/>
              </w:rPr>
              <w:t>(17)信托贷款：资产类型为信托公司设立的固定收益类信托计划，底层资产为向融资人靖江市城市建设投资发展(集团)有限公司发放信托贷款，资产到期日不超过理财产品最近一次开放日。融资人评级为AA+(评级机构为中证鹏元资信评估股份有限公司)，融资人第一大股东为靖江市人民政府国有资产监督管理办公室，持股比例为100%。经营范围包括:许可项目：住宅室内装饰装修；建设工程质量检测；建设工程施工；建设工程勘察；建设工程设计；房地产开发经营；城市生活垃圾经营性服务；建筑物拆除作业(爆破作业除外)；道路货物运输(不含危险货物)；水产养殖；发电业务、输电业务、供(配)电业务；供电业务；输电、供电、受电电力设施的安装、维修和试验；网络文化经营；互联网直播技术服务(依法须经批准的项目，经相关部门批准后方可开展经营活动，具体经营项目以审批结果为准)一般项目：对外承包工程；工程造价咨询业务；物业管理；信息咨询服务(不含许可类信息咨询服务)；以自有资金从事投资活动；城市绿化管理；工程管理服务；工程和技术研究和试验发展；园林绿化工程施工；房屋拆迁服务；住房租赁；非居住房地产租赁；金属结构销售；市政设施管理；建筑砌块制造；土地调查评估服务；建筑材料销售；金属制品销售；环境卫生公共设施安装服务；农业专业及辅助性活动；土地整治服务；树木种植经营；生态恢复及生态保护服务；休闲观光活动；光伏设备及元器件销售；光伏发电设备租赁；太阳能发电技术服务；太阳能热利用产品销售；太阳能热发电产品销售；太阳能热利用装备销售；太阳能热发电装备销售；养老服务；谷物种植；谷物销售；蔬菜种植；新鲜蔬菜批发；新鲜蔬菜零售；水果种植；新鲜水果批发；新鲜水果零售；粮食收购；花卉种植；礼品花卉销售；食用农产品初加工；食用农产品批发；食用农产品零售；粮油仓储服务；农作物栽培服务；科技推广和应用服务；农村民间工艺及制品、休闲农业和乡村旅游资源的开发经营；市场营销策划；组织文化艺术交流活动；会议及展览服务；广告制作；广告发布；广告设计、代理；农林牧渔业废弃物综合利用；城乡市容管理；园区管理服务；农村生活垃圾经营性服务；土石方工程施工；煤炭及制品销售；货物进出口；进出口代理；充电桩销售；充电控制设备租赁；集中式快速充电站；停车场服务；电动汽车充电基础设施运营；总质量4.5吨及以下普通货运车辆道路货物运输(除网络货运和危险货物)；互联网数据服务；物联网应用服务；人工智能公共服务平台技术咨询服务；人工智能基础资源与技术平台；信息系统集成服务；技术服务、技术开发、技术咨询、技术交流、技术转让、技术推广；软件开发；电子产品销售；通用设备修理；专用设备修理；电气设备修理；计算机软硬件及辅助设备批发；计算机软硬件及辅助设备零售；信息技术咨询服务；网络技术服务；物联网技术服务；云计算装备技术服务；5G通信技术服务；技术推广服务；家用电器销售；机械设备销售；智能基础制造装备制造；智能基础制造装备销售；人工智能基础软件开发；人工智能理论与算法软件开发；人工智能应用软件开发；人工智能公共数据平台；人工智能通用应用系统；智能控制系统集成；智能仪器仪表制造；智能仪器仪表销售；机械设备租赁；储能技术服务；租赁服务(不含许可类租赁服务)；合同能源管理；热力生产和供应(除依法须经批准的项目外，凭营业执照依法自主开展经营活动)</w:t>
            </w:r>
          </w:p>
          <w:p w14:paraId="09219CF6">
            <w:pPr>
              <w:spacing w:line="200" w:lineRule="exact"/>
            </w:pPr>
            <w:r>
              <w:rPr>
                <w:rFonts w:ascii="方正黑体_GBK" w:hAnsi="方正黑体_GBK" w:eastAsia="方正黑体_GBK" w:cs="宋体"/>
                <w:sz w:val="18"/>
                <w:szCs w:val="18"/>
              </w:rPr>
              <w:t>(18)信托贷款：资产类型为信托公司设立的固定收益类信托计划，底层资产为向融资人江苏金坛建设集团有限公司发放信托贷款，资产到期日不超过理财产品最近一次开放日。融资人评级为AA+(评级机构为联合资信评估股份有限公司)，融资人第一大股东为常州市金坛区人民政府，持股比例为100%。经营范围包括:许可项目:建设工程设计;建设工程施工;建设工程监理;建设工程质量检测;电气安装服务;房地产开发经营;港口经营;自来水生产与供应;城市公共交通(依法须经批准的项目,经相关部门批准后方可开展经营活动,具体经营项目以相关部门批准文件或许可证件为准)一般项目:工程管理服务;市政设施管理;非居住房地产租赁;住房租赁;房屋拆迁服务;房地产经纪;房地产咨询;水污染治理;污水处理及其再生利用;水环境污染防治服务;旅游开发项目策划咨询;城市绿化管理;城市公园管理;城乡市容管理;粮食收购;粮油仓储服务;物业管理;停车场服务;水资源管理;金属材料销售;建筑材料销售;照明器具销售;以自有资金从事投资活动(除依法须经批准的项目外,凭营业执照依法自主开展经营活动)</w:t>
            </w:r>
          </w:p>
          <w:p w14:paraId="20C6C56C">
            <w:pPr>
              <w:spacing w:line="200" w:lineRule="exact"/>
            </w:pPr>
            <w:r>
              <w:rPr>
                <w:rFonts w:ascii="方正黑体_GBK" w:hAnsi="方正黑体_GBK" w:eastAsia="方正黑体_GBK" w:cs="宋体"/>
                <w:sz w:val="18"/>
                <w:szCs w:val="18"/>
              </w:rPr>
              <w:t>(19)信托贷款：资产类型为信托公司设立的固定收益类信托计划，底层资产为向融资人江苏宜兴环保科技工业园国有控股有限公司发放信托贷款，资产到期日不超过理财产品最近一次开放日。融资人评级为AA+(评级机构为中证鹏元资信评估股份有限公司)，融资人第一大股东为中国宜兴环保科技工业园管理委员会，持股比例为51%。经营范围包括:一般项目：以自有资金从事投资活动；土地整治服务；土地使用权租赁；住房租赁；非居住房地产租赁；股权投资；企业管理；工程管理服务；科技推广和应用服务；社会经济咨询服务；园区管理服务；企业管理咨询；咨询策划服务(除依法须经批准的项目外，凭营业执照依法自主开展经营活动)</w:t>
            </w:r>
          </w:p>
          <w:p w14:paraId="7D2F0E7E">
            <w:pPr>
              <w:spacing w:line="200" w:lineRule="exact"/>
            </w:pPr>
            <w:r>
              <w:rPr>
                <w:rFonts w:ascii="方正黑体_GBK" w:hAnsi="方正黑体_GBK" w:eastAsia="方正黑体_GBK" w:cs="宋体"/>
                <w:sz w:val="18"/>
                <w:szCs w:val="18"/>
              </w:rPr>
              <w:t>(20)信托贷款：资产类型为信托公司设立的固定收益类信托计划，底层资产为向融资人绍兴袍江经济技术开发区投资发展集团有限公司发放信托贷款，资产到期日不超过理财产品最近一次开放日。融资人评级为AA+(评级机构为大公国际资信评估有限公司)，融资人第一大股东为绍兴袍江经济技术开发区投资发展集团有限公司，持股比例为100%。经营范围包括:许可项目:房地产开发经营(依法须经批准的项目,经相关部门批准后方可开展经营活动,具体经营项目以审批结果为准)。一般项目:股权投资;园区管理服务;会议及展览服务;土地整治服务;物业管理;停车场服务;城市绿化管理;工程管理服务(除依法须经批准的项目外,凭营业执照依法自主开展经营活动)</w:t>
            </w:r>
          </w:p>
          <w:p w14:paraId="77E9185E">
            <w:pPr>
              <w:spacing w:line="200" w:lineRule="exact"/>
            </w:pPr>
            <w:r>
              <w:rPr>
                <w:rFonts w:ascii="方正黑体_GBK" w:hAnsi="方正黑体_GBK" w:eastAsia="方正黑体_GBK" w:cs="宋体"/>
                <w:sz w:val="18"/>
                <w:szCs w:val="18"/>
              </w:rPr>
              <w:t>(21)信托贷款：资产类型为信托公司设立的固定收益类信托计划，底层资产为向融资人诸暨市城乡投资集团有限公司发放信托贷款，资产到期日不超过理财产品最近一次开放日。融资人评级为AA+(评级机构为东方金诚国际信用评估有限公司)，融资人第一大股东为诸暨市建设集团有限公司，持股比例为100%。经营范围包括:一般项目：实业投资：城乡基础设施建设；土地综合开发；道路工程建设；负责市区景观建设和立面改造；城中村改造；污水泵站、污水管网的建设与安装，污水收集、输送服务，集污设施的运行、维护、管理服务；市政设施管理，环境卫生管理，城乡市容管理，绿化管理，公园管理；自有房屋出租；设计、制作、代理、发布国内广告；电动汽车充电基础设施运营；停车场服务；树木种植经营；花卉种植。（除依法须经批准的项目外，凭营业执照依法自主开展经营活动）</w:t>
            </w:r>
          </w:p>
          <w:p w14:paraId="0B412D4F">
            <w:pPr>
              <w:spacing w:line="200" w:lineRule="exact"/>
            </w:pPr>
            <w:r>
              <w:rPr>
                <w:rFonts w:ascii="方正黑体_GBK" w:hAnsi="方正黑体_GBK" w:eastAsia="方正黑体_GBK" w:cs="宋体"/>
                <w:sz w:val="18"/>
                <w:szCs w:val="18"/>
              </w:rPr>
              <w:t>(22)信托贷款：资产类型为信托公司设立的固定收益类信托计划，底层资产为向融资人湖州经开投资发展集团有限公司发放信托贷款，资产到期日不超过理财产品最近一次开放日。融资人评级为AA+(评级机构为联合资信评估股份有限公司)，融资人第一大股东为湖州南太湖国有控股集团有限公司，持股比例为100%。经营范围包括:城市建设资金调度管理,城市基础设施、配套设施建设和社会公益设施的建设、开发、经营、管理,房地产综合开发经营,物业管理,中心城区改造;环太湖水利、农业旅游开发。城市建设用地前期开发及办理土地受让事项;市场运行管理和服务,市场及学校用房的建设开发、经营、存量资产的出租及管理、停车场经营。(依法须经批准的项目,经相关部门批准后方可开展经营活动)</w:t>
            </w:r>
          </w:p>
          <w:p w14:paraId="00120264">
            <w:pPr>
              <w:spacing w:line="200" w:lineRule="exact"/>
            </w:pPr>
            <w:r>
              <w:rPr>
                <w:rFonts w:ascii="方正黑体_GBK" w:hAnsi="方正黑体_GBK" w:eastAsia="方正黑体_GBK" w:cs="宋体"/>
                <w:sz w:val="18"/>
                <w:szCs w:val="18"/>
              </w:rPr>
              <w:t>(23)信托贷款：资产类型为信托公司设立的固定收益类信托计划，底层资产为向融资人绍兴市城中村改造建设投资有限公司发放信托贷款，资产到期日不超过理财产品最近一次开放日。融资人评级为AA(评级机构为上海新世纪资信评估投资服务有限公司)，融资人第一大股东为绍兴市越城区城市发展建设集团有限公司，持股比例为82.23%。经营范围包括:城中村改造；土地一级开发；基础设施建设；保障性住房建设。（依法须经批准的项目，经相关部门批准后方可开展经营活动）</w:t>
            </w:r>
          </w:p>
          <w:p w14:paraId="07BB6114">
            <w:pPr>
              <w:spacing w:line="200" w:lineRule="exact"/>
            </w:pPr>
            <w:r>
              <w:rPr>
                <w:rFonts w:ascii="方正黑体_GBK" w:hAnsi="方正黑体_GBK" w:eastAsia="方正黑体_GBK" w:cs="宋体"/>
                <w:sz w:val="18"/>
                <w:szCs w:val="18"/>
              </w:rPr>
              <w:t>(24)信托贷款：资产类型为信托公司设立的固定收益类信托计划，底层资产为向融资人张家港市高铁投资发展(集团)有限公司发放信托贷款，资产到期日不超过理财产品最近一次开放日。融资人评级为AA+(评级机构为中证鹏元资信评估股份有限公司)，融资人第一大股东为张家港市交通控股有限公司，持股比例为36.07%。经营范围包括:实业投资、开发;城乡一体化投资、开发、收益;房地产开发经营;区域环境治理;配套基础设施建设;城市基础建设与管理;物业管理服务;自有房屋租赁;展览展示服务;建材、日用品、纺织原料、工艺品、苗木购销。(依法须经批准的项目,经相关部门批准后方可开展经营活动)</w:t>
            </w:r>
          </w:p>
          <w:p w14:paraId="6A0F4F31">
            <w:pPr>
              <w:spacing w:line="200" w:lineRule="exact"/>
            </w:pPr>
            <w:r>
              <w:rPr>
                <w:rFonts w:ascii="方正黑体_GBK" w:hAnsi="方正黑体_GBK" w:eastAsia="方正黑体_GBK" w:cs="宋体"/>
                <w:sz w:val="18"/>
                <w:szCs w:val="18"/>
              </w:rPr>
              <w:t>(25)信托贷款：资产类型为信托公司设立的固定收益类信托计划，底层资产为向融资人杭州之江城市建设投资集团有限公司发放信托贷款，资产到期日不超过理财产品最近一次开放日。融资人评级为AAA(评级机构为上海新世纪资信评估投资服务有限公司)，融资人第一大股东为杭州市西湖区人民政府国有资产监督管理办公室，持股比例为100%。经营范围包括:服务:土地整理,基础设施、公共设施项目的投资、开发和经营管理,房地产开发;其他无需审批的合法项目。(依法须经批准的项目,经相关部门批准后方可开展经营活动)</w:t>
            </w:r>
          </w:p>
          <w:p w14:paraId="7F286D0F">
            <w:pPr>
              <w:spacing w:line="200" w:lineRule="exact"/>
            </w:pPr>
            <w:r>
              <w:rPr>
                <w:rFonts w:ascii="方正黑体_GBK" w:hAnsi="方正黑体_GBK" w:eastAsia="方正黑体_GBK" w:cs="宋体"/>
                <w:sz w:val="18"/>
                <w:szCs w:val="18"/>
              </w:rPr>
              <w:t>(26)信托贷款：资产类型为信托公司设立的固定收益类信托计划，底层资产为向融资人江苏金坛投资集团有限公司发放信托贷款，资产到期日不超过理财产品最近一次开放日。融资人评级为AA+(评级机构为中诚信国际信用评级有限责任公司)，融资人第一大股东为常州市金坛区人民政府，持股比例为100%。经营范围包括:许可项目:建设工程施工(依法须经批准的项目,经相关部门批准后方可开展经营活动,具体经营项目以审批结果为准)一般项目:股权投资;以自有资金从事投资活动;创业投资(限投资未上市企业);自有资金投资的资产管理服务;企业管理;园区管理服务;园林绿化工程施工;工程和技术研究和试验发展;工程管理服务;融资咨询服务;财务咨询(除依法须经批准的项目外,凭营业执照依法自主开展经营活动)</w:t>
            </w:r>
          </w:p>
          <w:p w14:paraId="63B0BD83">
            <w:pPr>
              <w:spacing w:line="200" w:lineRule="exact"/>
            </w:pPr>
            <w:r>
              <w:rPr>
                <w:rFonts w:ascii="方正黑体_GBK" w:hAnsi="方正黑体_GBK" w:eastAsia="方正黑体_GBK" w:cs="宋体"/>
                <w:sz w:val="18"/>
                <w:szCs w:val="18"/>
              </w:rPr>
              <w:t>(27)信托贷款：资产类型为信托公司设立的固定收益类信托计划，底层资产为向融资人江苏润鑫城市投资集团有限公司发放信托贷款，资产到期日不超过理财产品最近一次开放日。融资人评级为AA+(评级机构为联合资信评估股份有限公司)，融资人第一大股东为睢宁县国有资产管理服务中心，持股比例为100%。经营范围包括:许可项目：建设工程施工(依法须经批准的项目，经相关部门批准后方可开展经营活动，具体经营项目以审批结果为准)  一般项目：以自有资金从事投资活动；工业工程设计服务；工业互联网数据服务；环境卫生公共设施安装服务；企业管理；国内贸易代理；名胜风景区管理；水资源管理；教育咨询服务(不含涉许可审批的教育培训活动)；信息技术咨询服务；信息咨询服务(不含许可类信息咨询服务)；商务代理代办服务；文艺创作；人力资源服务(不含职业中介活动、劳务派遣服务)；法律咨询(不含依法须律师事务所执业许可的业务)；服装制造；服装服饰批发；蔬菜种植；农业机械服务；机械设备销售；建筑材料销售；技术服务、技术开发、技术咨询、技术交流、技术转让、技术推广；货物进出口；技术进出口；进出口代理(除依法须经批准的项目外，凭营业执照依法自主开展经营活动)</w:t>
            </w:r>
          </w:p>
          <w:p w14:paraId="2AB32DC2">
            <w:pPr>
              <w:spacing w:line="200" w:lineRule="exact"/>
            </w:pPr>
            <w:r>
              <w:rPr>
                <w:rFonts w:ascii="方正黑体_GBK" w:hAnsi="方正黑体_GBK" w:eastAsia="方正黑体_GBK" w:cs="宋体"/>
                <w:sz w:val="18"/>
                <w:szCs w:val="18"/>
              </w:rPr>
              <w:t>(28)信托贷款：资产类型为信托公司设立的固定收益类信托计划，底层资产为向融资人南京江宁滨江物流有限公司发放信托贷款，资产到期日不超过理财产品最近一次开放日。融资人评级为AA+(评级机构为中证鹏元资信评估股份有限公司)，融资人第一大股东为南京江宁滨江经济开发区管理委员会，持股比例为60%。经营范围包括:物流业相关基础设施建设及相关服务；仓储服务、货运代理（代办）、货运配载、搬运装卸、货物仓储设施的租赁；承办海运、陆运、空运、快递进出口货物的国际运输代理业务（国际船舶运输及国际班轮运输代理除外）；物流咨询；经济信息咨询；物业管理；金属制品加工；金属材料及制品、建筑材料、电器机械销售；其他建筑工程施工及服务；自营和代理各类商品和技术的进出口业务（国家限定公司经营或禁止进出口的商品和技术除外）。（依法须经批准的项目，经相关部门批准后方可开展经营活动）</w:t>
            </w:r>
          </w:p>
          <w:p w14:paraId="5B56FF05">
            <w:pPr>
              <w:spacing w:line="200" w:lineRule="exact"/>
            </w:pPr>
            <w:r>
              <w:rPr>
                <w:rFonts w:ascii="方正黑体_GBK" w:hAnsi="方正黑体_GBK" w:eastAsia="方正黑体_GBK" w:cs="宋体"/>
                <w:sz w:val="18"/>
                <w:szCs w:val="18"/>
              </w:rPr>
              <w:t>(29)信托贷款：资产类型为信托公司设立的固定收益类信托计划，底层资产为向融资人江苏新睿城市发展集团有限公司发放信托贷款，资产到期日不超过理财产品最近一次开放日。融资人无外部评级，融资人第一大股东为淮安新城投资开发集团有限公司，持股比例为100%。经营范围包括:许可项目：建设工程施工；水利工程建设监理；水利工程质量检测(依法须经批准的项目，经相关部门批准后方可开展经营活动，具体经营项目以审批结果为准)  一般项目：停车场服务；土地整治服务；物业管理；住房租赁；非居住房地产租赁；建筑材料销售；房屋拆迁服务；农产品的生产、销售、加工、运输、贮藏及其他相关服务；农业机械销售；树木种植经营；园林绿化工程施工；城市绿化管理；花卉种植；园艺产品种植；园艺产品销售；农业园艺服务；农业专业及辅助性活动；智能农业管理；农村民间工艺及制品、休闲农业和乡村旅游资源的开发经营；污水处理及其再生利用；水污染治理；电动汽车充电基础设施运营；充电桩销售；充电控制设备租赁；智能输配电及控制设备销售；集中式快速充电站；输配电及控制设备制造；五金产品批发；土石方工程施工；五金产品零售(除依法须经批准的项目外，凭营业执照依法自主开展经营活动)</w:t>
            </w:r>
          </w:p>
          <w:p w14:paraId="478BE89A">
            <w:pPr>
              <w:spacing w:line="200" w:lineRule="exact"/>
            </w:pPr>
            <w:r>
              <w:rPr>
                <w:rFonts w:ascii="方正黑体_GBK" w:hAnsi="方正黑体_GBK" w:eastAsia="方正黑体_GBK" w:cs="宋体"/>
                <w:sz w:val="18"/>
                <w:szCs w:val="18"/>
              </w:rPr>
              <w:t>(30)信托贷款：资产类型为信托公司设立的固定收益类信托计划，底层资产为向融资人盱眙国有联合资产经营集团有限公司发放信托贷款，资产到期日不超过理财产品最近一次开放日。融资人评级为AA+(评级机构为东方金诚国际信用评估有限公司)，融资人第一大股东为盱眙县人民政府国有资产监督管理办公室，持股比例为100%。经营范围包括:根据政府授权,经营国有资产的产权管理,国有资本运营,自主开展产业投资,资产托管,咨询服务,房屋租赁,文化教育产业投资。(依法须经批准的项目,经相关部门批准后方可开展经营活动)</w:t>
            </w:r>
          </w:p>
          <w:p w14:paraId="3A35A670">
            <w:pPr>
              <w:spacing w:line="200" w:lineRule="exact"/>
            </w:pPr>
            <w:r>
              <w:rPr>
                <w:rFonts w:ascii="方正黑体_GBK" w:hAnsi="方正黑体_GBK" w:eastAsia="方正黑体_GBK" w:cs="宋体"/>
                <w:sz w:val="18"/>
                <w:szCs w:val="18"/>
              </w:rPr>
              <w:t>(31)信托贷款：资产类型为信托公司设立的固定收益类信托计划，底层资产为向融资人南京江北新区产业投资集团有限公司发放信托贷款，资产到期日不超过理财产品最近一次开放日。融资人评级为AAA(评级机构为联合资信评估股份有限公司)，融资人第一大股东为南京扬子国资投资集团有限责任公司，持股比例为45.59%。经营范围包括:投资兴办高新技术企业;高新技术项目风险投资;高新技术咨询服务;物业管理;开发区高新技术产品销售;开发区内企业生产所需原辅材料及配套设备供应;多余物资串换;机电产品、机械设备、仪器仪表、五金交电(不含助力车)、化工产品(不含危险品)、通信设备(不含卫星地面接收设备)销售(以上经营范围均不含国家专控商品及专项审批项目);房地产开发(凭资质证书在有效期内经营);高新区内土地开发、基础设施建设;自营和代理各类商品及技术的进出口业务;城市道路、桥梁、隧道、公共广场、绿化工程施工及提供劳务;污水处理、污水处理工程;河道整治及养护工程;高新技术研发;创业投资;投资管理咨询、服务。(依法须经批准的项目,经相关部门批准后方可开展经营活动)</w:t>
            </w:r>
          </w:p>
          <w:p w14:paraId="564106C5">
            <w:pPr>
              <w:spacing w:line="200" w:lineRule="exact"/>
            </w:pPr>
            <w:r>
              <w:rPr>
                <w:rFonts w:ascii="方正黑体_GBK" w:hAnsi="方正黑体_GBK" w:eastAsia="方正黑体_GBK" w:cs="宋体"/>
                <w:sz w:val="18"/>
                <w:szCs w:val="18"/>
              </w:rPr>
              <w:t>(32)信托贷款：资产类型为信托公司设立的固定收益类信托计划，底层资产为向融资人南京江北新区科技投资集团有限公司发放信托贷款，资产到期日不超过理财产品最近一次开放日。融资人评级为AA(评级机构为中证鹏元资信评估股份有限公司)，融资人第一大股东为南京扬子国资投资集团有限责任公司，持股比例为73.36%。经营范围包括:技术咨询及售后服务;科学技术成果转让;技术研发机构办公用房的出租及物业管理;开发、生产计算机软件、硬件;开发智能仪器仪表、网络安全设备、应用系统;停车场管理;住宿服务;餐饮服务;会务服务;酒店管理与酒店管理咨询;计算机系统集成;预包装食品零售;承接服务外包业务;销售自产产品;日用百货出售;图书服装销售;花卉苗木销售;公共技术平台运营与管理、基因科技、生物科技领域内的技术开发、技术咨询、技术服务、技术转让;仪器仪表、试剂耗材、计算机软硬件及辅助设备销售和租赁服务;自营和代理各类商品和技术的进出口业务;房屋租赁;会务会展、技术培训、咨询服务、检测服务。创业投资;投资管理服务、投资管理咨询;增值电信业务。(依法须经批准的项目,经相关部门批准后方可开展经营活动)</w:t>
            </w:r>
          </w:p>
          <w:p w14:paraId="264308BD">
            <w:pPr>
              <w:spacing w:line="200" w:lineRule="exact"/>
            </w:pPr>
            <w:r>
              <w:rPr>
                <w:rFonts w:ascii="方正黑体_GBK" w:hAnsi="方正黑体_GBK" w:eastAsia="方正黑体_GBK" w:cs="宋体"/>
                <w:sz w:val="18"/>
                <w:szCs w:val="18"/>
              </w:rPr>
              <w:t>(33)信托贷款：资产类型为信托公司设立的固定收益类信托计划，底层资产为向融资人东台惠民城镇化建设集团有限公司发放信托贷款，资产到期日不超过理财产品最近一次开放日。融资人评级为AA(评级机构为联合评级国际有限公司)，融资人第一大股东为东台市开创投资发展有限公司，持股比例为100%。经营范围包括:新农村社区、新市镇基础设施建设,土地开发及综合整治(房地产开发除外),物业服务,绿化养护,道路及河道保洁,政府授权的国有资产经营和管理,贵金属批发、零售(国家有专项审批的项目除外)。(依法须经批准的项目,经相关部门批准后方可开展经营活动)一般项目:机械电气设备制造;港口理货;港口货物装卸搬运活动;普通货物仓储服务(不含危险化学品等需许可审批的项目)(除依法须经批准的项目外,凭营业执照依法自主开展经营活动)</w:t>
            </w:r>
          </w:p>
          <w:p w14:paraId="5B1A902A">
            <w:pPr>
              <w:spacing w:line="200" w:lineRule="exact"/>
            </w:pPr>
            <w:r>
              <w:rPr>
                <w:rFonts w:ascii="方正黑体_GBK" w:hAnsi="方正黑体_GBK" w:eastAsia="方正黑体_GBK" w:cs="宋体"/>
                <w:sz w:val="18"/>
                <w:szCs w:val="18"/>
              </w:rPr>
              <w:t>(34)信托贷款：资产类型为信托公司设立的固定收益类信托计划，底层资产为向融资人泰州市城市建设投资控股有限公司发放信托贷款，资产到期日不超过理财产品最近一次开放日。融资人评级为AA+(评级机构为上海新世纪资信评估投资服务有限公司)，融资人第一大股东为泰州市城市建设投资集团有限公司，持股比例为100%。经营范围包括:许可项目:建设工程施工;餐饮服务;烟草制品零售;出版物零售;食品销售(依法须经批准的项目,经相关部门批准后方可开展经营活动,具体经营项目以审批结果为准)一般项目:以自有资金从事投资活动;股权投资;物业管理;商业综合体管理服务;建筑材料销售;住房租赁;非居住房地产租赁;机械设备租赁;新鲜水果零售;打字复印;润滑油销售;石油制品销售(不含危险化学品);化工产品销售(不含许可类化工产品);煤炭及制品销售(禁燃区内不得含有原煤、散煤、煤矸石、煤泥、煤粉、水煤浆、型煤、焦炭、兰炭等)(除依法须经批准的项目外,凭营业执照依法自主开展经营活动)</w:t>
            </w:r>
          </w:p>
          <w:p w14:paraId="0192A75E">
            <w:pPr>
              <w:spacing w:line="200" w:lineRule="exact"/>
            </w:pPr>
            <w:r>
              <w:rPr>
                <w:rFonts w:ascii="方正黑体_GBK" w:hAnsi="方正黑体_GBK" w:eastAsia="方正黑体_GBK" w:cs="宋体"/>
                <w:sz w:val="18"/>
                <w:szCs w:val="18"/>
              </w:rPr>
              <w:t>(35)信托贷款：资产类型为信托公司设立的固定收益类信托计划，底层资产为向融资人富皋万泰集团有限公司发放信托贷款，资产到期日不超过理财产品最近一次开放日。融资人评级为AA+(评级机构为联合资信评估股份有限公司)，融资人第一大股东为如皋市人民政府，持股比例为100%。经营范围包括:实业投资;投资管理;资产管理;城市基础设施建设;工程管理服务;房地产开发经营;房屋租赁;物业管理;土地整理服务;棚户区改造。(依法须经批准的项目,经相关部门批准后方可开展经营活动)</w:t>
            </w:r>
          </w:p>
          <w:p w14:paraId="02972822">
            <w:pPr>
              <w:spacing w:line="200" w:lineRule="exact"/>
            </w:pPr>
            <w:r>
              <w:rPr>
                <w:rFonts w:ascii="方正黑体_GBK" w:hAnsi="方正黑体_GBK" w:eastAsia="方正黑体_GBK" w:cs="宋体"/>
                <w:sz w:val="18"/>
                <w:szCs w:val="18"/>
              </w:rPr>
              <w:t>(36)信托贷款：资产类型为信托公司设立的固定收益类信托计划，底层资产为向融资人江苏扬中港务投资发展有限公司发放信托贷款，资产到期日不超过理财产品最近一次开放日。融资人无外部评级，融资人第一大股东为扬中市港口资产经营管理中心，持股比例为100%。经营范围包括:港口产业投资与管理；港口经营、经营港口理货业务；土地整理；房地产开发经营；建筑工程、基础工程、建筑物拆除工程施工；房屋租赁、设备租赁服务；物业管理；工程技术及商务信息咨询服务服务；交通设施工程、道路工程施工、维护；园林绿化工程养护。(依法须经批准的项目，经相关部门批准后方可开展经营活动)  一般项目：电子专用材料制造；半导体器件专用设备制造；电力电子元器件制造；技术玻璃制品制造；有色金属合金制造；有色金属压延加工；塑料制品制造；装卸搬运；港口货物装卸搬运活动；港口理货；集装箱销售；国内集装箱货物运输代理；船用配套设备制造；物料搬运装备销售；特种设备销售；船舶销售；通用设备修理；通用设备制造(不含特种设备制造)；非金属矿物制品制造；非金属矿及制品销售；煤炭及制品销售；机械电气设备销售；包装材料及制品销售；木材销售(除依法须经批准的项目外，凭营业执照依法自主开展经营活动)</w:t>
            </w:r>
          </w:p>
          <w:p w14:paraId="0936C4F6">
            <w:pPr>
              <w:spacing w:line="200" w:lineRule="exact"/>
            </w:pPr>
            <w:r>
              <w:rPr>
                <w:rFonts w:ascii="方正黑体_GBK" w:hAnsi="方正黑体_GBK" w:eastAsia="方正黑体_GBK" w:cs="宋体"/>
                <w:sz w:val="18"/>
                <w:szCs w:val="18"/>
              </w:rPr>
              <w:t>(37)信托贷款：资产类型为信托公司设立的固定收益类信托计划，底层资产为向融资人宜兴市阳羡新农村建设有限公司发放信托贷款，资产到期日不超过理财产品最近一次开放日。融资人无外部评级，融资人第一大股东为宜兴市城市发展投资有限公司，持股比例为100%。经营范围包括:许可项目：建设工程施工；建设工程设计；住宅室内装饰装修；建筑物拆除作业(爆破作业除外)(依法须经批准的项目，经相关部门批准后方可开展经营活动，具体经营项目以审批结果为准)  一般项目：工程管理服务；土地整治服务；自有资金投资的资产管理服务；供应链管理服务；公共事业管理服务；园区管理服务；技术服务、技术开发、技术咨询、技术交流、技术转让、技术推广；土地使用权租赁；住宅水电安装维护服务；劳务服务(不含劳务派遣)；土石方工程施工；园林绿化工程施工；物业管理；规划设计管理；城市绿化管理；花卉种植；花卉绿植租借与代管理；礼品花卉销售；树木种植经营；建筑材料销售；建筑装饰材料销售；金属材料销售；环境保护专用设备销售；机械设备销售；日用百货销售；住房租赁；非居住房地产租赁(除依法须经批准的项目外，凭营业执照依法自主开展经营活动)</w:t>
            </w:r>
          </w:p>
          <w:p w14:paraId="7EF3D2D8">
            <w:pPr>
              <w:spacing w:line="200" w:lineRule="exact"/>
            </w:pPr>
            <w:r>
              <w:rPr>
                <w:rFonts w:ascii="方正黑体_GBK" w:hAnsi="方正黑体_GBK" w:eastAsia="方正黑体_GBK" w:cs="宋体"/>
                <w:sz w:val="18"/>
                <w:szCs w:val="18"/>
              </w:rPr>
              <w:t>(38)信托贷款：资产类型为信托公司设立的固定收益类信托计划，底层资产为向融资人诸暨市交通基础设施建设有限公司发放信托贷款，资产到期日不超过理财产品最近一次开放日。融资人评级为AA+(评级机构为大公国际资信评估有限公司)，融资人第一大股东为诸暨市建设集团有限公司，持股比例为100%。经营范围包括:一般项目：站场：客运代理、货运站（场）经营（凭有效许可证经营）  公路和公路配套服务设施的建设、经营、管理；铁路项目的建设、经营；公交站场经营管理服务，公交站点设施租赁服务；新农村建设与投资；新能源汽车充电桩建设运营；实业投资；设计、制作、代理、发布：国内广告；批发零售：建材（除竹木）；(除依法须经批准的项目外，凭营业执照依法自主开展经营活动)。许可项目：房地产开发经营(依法须经批准的项目，经相关部门批准后方可开展经营活动，具体经营项目以审批结果为准)。</w:t>
            </w:r>
          </w:p>
          <w:p w14:paraId="65E55849">
            <w:pPr>
              <w:spacing w:line="200" w:lineRule="exact"/>
            </w:pPr>
            <w:r>
              <w:rPr>
                <w:rFonts w:ascii="方正黑体_GBK" w:hAnsi="方正黑体_GBK" w:eastAsia="方正黑体_GBK" w:cs="宋体"/>
                <w:sz w:val="18"/>
                <w:szCs w:val="18"/>
              </w:rPr>
              <w:t>(39)信托贷款：资产类型为信托公司设立的固定收益类信托计划，底层资产为向融资人泗阳县民康农村经济发展有限公司发放信托贷款，资产到期日不超过理财产品最近一次开放日。融资人评级为AA(评级机构为联合资信评估股份有限公司)，融资人第一大股东为泗阳县国有资产经营有限公司，持股比例为100%。经营范围包括:农副产品购销(涉及前置许可的除外);林木种植;水产养殖;粮食生产基地建设;农村道路、渠、桥设施建设;土地整治、土地复垦、中低产田改造及相关涉农项目建设;市政工程建设;园林绿化工程施工;非金融投资、国有资产投资(国家法律、法规禁止或限制的除外);国有资产经营、管理、转让中介服务;企业托管服务;房屋租赁;纺织品、针织品、纺织原料(国家专控产品除外)销售;房地产开发、经营;受政府委托从事建筑工程(保障房)建设。(依法须经批准的项目,经相关部门批准后方可开展经营活动)一般项目:以自有资金从事投资活动;电动汽车充电基础设施运营;集中式快速充电站;充电桩销售;新能源汽车换电设施销售;新能源汽车整车销售;新能源汽车电附件销售;建筑工程机械与设备租赁;专业设计服务(除依法须经批准的项目外,凭营业执照依法自主开展经营活动)</w:t>
            </w:r>
          </w:p>
          <w:p w14:paraId="4B6A4D94">
            <w:pPr>
              <w:spacing w:line="200" w:lineRule="exact"/>
            </w:pPr>
            <w:r>
              <w:rPr>
                <w:rFonts w:ascii="方正黑体_GBK" w:hAnsi="方正黑体_GBK" w:eastAsia="方正黑体_GBK" w:cs="宋体"/>
                <w:sz w:val="18"/>
                <w:szCs w:val="18"/>
              </w:rPr>
              <w:t>(40)信托贷款：资产类型为信托公司设立的固定收益类信托计划，底层资产为向融资人泰州城发资本投资有限公司发放信托贷款，资产到期日不超过理财产品最近一次开放日。融资人无外部评级，融资人第一大股东为泰州城发环保科技有限公司，持股比例为100%。经营范围包括:许可项目：各类工程建设活动；房地产开发经营；粮食收购(依法须经批准的项目，经相关部门批准后方可开展经营活动，具体经营项目以审批结果为准)一般项目：自有资金投资的资产管理服务；以自有资金从事投资活动；股权投资；土地使用权租赁；房地产经纪；物业管理；住房租赁；非居住房地产租赁；农林牧渔业废弃物综合利用；饲料原料销售；建筑材料销售；煤炭及制品销售；专用化学产品制造(不含危险化学品)；新鲜蔬菜批发；新鲜水果批发；谷物种植；蔬菜种植；蔬菜、水果和坚果加工；花卉种植；水果种植；智能农业管理；农产品的生产、销售、加工、运输、贮藏及其他相关服务；农业专业及辅助性活动(除依法须经批准的项目外，凭营业执照依法自主开展经营活动)</w:t>
            </w:r>
          </w:p>
          <w:p w14:paraId="1CA581A5">
            <w:pPr>
              <w:spacing w:line="200" w:lineRule="exact"/>
            </w:pPr>
            <w:r>
              <w:rPr>
                <w:rFonts w:ascii="方正黑体_GBK" w:hAnsi="方正黑体_GBK" w:eastAsia="方正黑体_GBK" w:cs="宋体"/>
                <w:sz w:val="18"/>
                <w:szCs w:val="18"/>
              </w:rPr>
              <w:t>(41)信托贷款：资产类型为信托公司设立的固定收益类信托计划，底层资产为向融资人泰州市凯明城市建设有限公司发放信托贷款，资产到期日不超过理财产品最近一次开放日。融资人无外部评级，融资人第一大股东为泰州医药高新技术产业开发区（泰州市高港区）国有资产管理中心，持股比例为97.69%。经营范围包括:许可项目：各类工程建设活动(依法须经批准的项目，经相关部门批准后方可开展经营活动，具体经营项目以审批结果为准)一般项目：土地整治服务；建筑材料销售；电线、电缆经营；金属材料销售；企业管理；工程管理服务；项目策划与公关服务(除依法须经批准的项目外，凭营业执照依法自主开展经营活动)</w:t>
            </w:r>
          </w:p>
          <w:p w14:paraId="2CD46DC9">
            <w:pPr>
              <w:spacing w:line="200" w:lineRule="exact"/>
            </w:pPr>
            <w:r>
              <w:rPr>
                <w:rFonts w:ascii="方正黑体_GBK" w:hAnsi="方正黑体_GBK" w:eastAsia="方正黑体_GBK" w:cs="宋体"/>
                <w:sz w:val="18"/>
                <w:szCs w:val="18"/>
              </w:rPr>
              <w:t>(42)信托贷款：资产类型为信托公司设立的固定收益类信托计划，底层资产为向融资人泰兴市襟江投资有限公司发放信托贷款，资产到期日不超过理财产品最近一次开放日。融资人无外部评级，融资人第一大股东为泰兴市港口集团有限公司，持股比例为85%。经营范围包括:政府授权范围内的国有、集体资产经营管理;对外投资管理、项目投资、股权投资、资产管理;开展土地一级开发、保障性住房以及商业地产开发建设和经营;公共基础设施建设、投资、开发。(依法须经批准的项目,经相关部门批准后方可开展经营活动)一般项目:水污染治理;水环境污染防治服务;金属材料销售;有色金属合金销售;非金属矿及制品销售;金属矿石销售;园林绿化工程施工;工程管理服务;房屋拆迁服务;物业管理;工程和技术研究和试验发展;化工产品生产(不含许可类化工产品);石油制品制造(不含危险化学品);汽车新车销售;汽车零配件批发;建筑材料销售;仪器仪表销售;机械设备销售;电子产品销售;电气设备销售;电气机械设备销售;针纺织品及原料销售;日用玻璃制品销售;技术玻璃制品销售;五金产品批发;食用农产品批发;非食用植物油销售;环境保护专用设备销售;园艺产品种植;花卉种植;农副产品销售;污水处理及其再生利用;化工产品销售(不含许可类化工产品)(除依法须经批准的项目外,凭营业执照依法自主开展经营活动)</w:t>
            </w:r>
          </w:p>
          <w:p w14:paraId="4B6E6615">
            <w:pPr>
              <w:spacing w:line="200" w:lineRule="exact"/>
            </w:pPr>
            <w:r>
              <w:rPr>
                <w:rFonts w:ascii="方正黑体_GBK" w:hAnsi="方正黑体_GBK" w:eastAsia="方正黑体_GBK" w:cs="宋体"/>
                <w:sz w:val="18"/>
                <w:szCs w:val="18"/>
              </w:rPr>
              <w:t>(43)信托贷款：资产类型为信托公司设立的固定收益类信托计划，底层资产为向融资人宜兴市科产城人融合建设发展有限公司发放信托贷款，资产到期日不超过理财产品最近一次开放日。融资人无外部评级，融资人第一大股东为宜兴市人民政府国有资产监督管理办公室，持股比例为50%。经营范围包括:许可项目：建设工程施工；建设工程设计；建筑物拆除作业(爆破作业除外)；房屋建筑和市政基础设施项目工程总承包；旅游业务；道路货物运输(不含危险货物)；电线、电缆制造；职业中介活动(依法须经批准的项目，经相关部门批准后方可开展经营活动，具体经营项目以审批结果为准)一般项目：园林绿化工程施工；房屋拆迁服务；土地整治服务；股权投资；以自有资金从事投资活动；自有资金投资的资产管理服务；物业管理；工程管理服务；企业管理；供应链管理服务；公共事业管理服务；园区管理服务；土地使用权租赁；住房租赁；非居住房地产租赁；建筑材料销售；建筑装饰材料销售；建筑用石加工；社会经济咨询服务；融资咨询服务；财务咨询；技术服务、技术开发、技术咨询、技术交流、技术转让、技术推广；信息咨询服务(不含许可类信息咨询服务)；信息技术咨询服务；企业管理咨询；劳务服务(不含劳务派遣)；软件开发；网络技术服务；信息系统集成服务；计算机系统服务；数据处理和存储支持服务；科技推广和应用服务；物联网技术服务；大数据服务；互联网数据服务；数据处理服务；普通货物仓储服务(不含危险化学品等需许可审批的项目)；装卸搬运；货物进出口；技术进出口；进出口代理；锻件及粉末冶金制品销售；高性能有色金属及合金材料销售；金属材料销售；有色金属合金销售；有色金属压延加工；金属丝绳及其制品制造；金属丝绳及其制品销售；五金产品研发；五金产品制造；五金产品零售；电线、电缆经营；通用设备制造(不含特种设备制造)；机械设备销售；专用设备修理；环境保护专用设备销售；花卉种植；树木种植经营；医学研究和试验发展；市场营销策划；日用百货销售；人力资源服务(不含职业中介活动、劳务派遣服务)(除依法须经批准的项目外，凭营业执照依法自主开展经营活动)</w:t>
            </w:r>
          </w:p>
          <w:p w14:paraId="6CC618A9">
            <w:pPr>
              <w:spacing w:line="200" w:lineRule="exact"/>
            </w:pPr>
            <w:r>
              <w:rPr>
                <w:rFonts w:ascii="方正黑体_GBK" w:hAnsi="方正黑体_GBK" w:eastAsia="方正黑体_GBK" w:cs="宋体"/>
                <w:sz w:val="18"/>
                <w:szCs w:val="18"/>
              </w:rPr>
              <w:t>(44)同业借款：资产类型为南银理财有限责任公司向持牌金融机构发放的同业借款，期限不超过1年，融资人为中国中信金融资产管理股份有限公司。</w:t>
            </w:r>
          </w:p>
          <w:p w14:paraId="23214B51">
            <w:pPr>
              <w:spacing w:line="200" w:lineRule="exact"/>
            </w:pPr>
            <w:r>
              <w:rPr>
                <w:rFonts w:ascii="方正黑体_GBK" w:hAnsi="方正黑体_GBK" w:eastAsia="方正黑体_GBK" w:cs="宋体"/>
                <w:sz w:val="18"/>
                <w:szCs w:val="18"/>
              </w:rPr>
              <w:t>(45)同业借款：资产类型为南银理财有限责任公司向持牌金融机构发放的同业借款，期限不超过1年，融资人为中国东方资产管理股份有限公司。</w:t>
            </w:r>
          </w:p>
          <w:p w14:paraId="017996E3">
            <w:pPr>
              <w:spacing w:line="200" w:lineRule="exact"/>
            </w:pPr>
            <w:r>
              <w:rPr>
                <w:rFonts w:ascii="方正黑体_GBK" w:hAnsi="方正黑体_GBK" w:eastAsia="方正黑体_GBK" w:cs="宋体"/>
                <w:sz w:val="18"/>
                <w:szCs w:val="18"/>
              </w:rPr>
              <w:t>(46)同业借款：资产类型为南银理财有限责任公司向持牌金融机构发放的同业借款，期限不超过1年，融资人为中国信达资产管理股份有限公司。</w:t>
            </w:r>
          </w:p>
          <w:p w14:paraId="3D397825">
            <w:pPr>
              <w:spacing w:line="200" w:lineRule="exact"/>
            </w:pPr>
            <w:r>
              <w:rPr>
                <w:rFonts w:ascii="方正黑体_GBK" w:hAnsi="方正黑体_GBK" w:eastAsia="方正黑体_GBK" w:cs="宋体"/>
                <w:sz w:val="18"/>
                <w:szCs w:val="18"/>
              </w:rPr>
              <w:t>(47)同业借款：资产类型为南银理财有限责任公司向持牌金融机构发放的同业借款，期限不超过1年，融资人为中国长城资产管理股份有限公司。</w:t>
            </w:r>
          </w:p>
          <w:p w14:paraId="56D0A0F7">
            <w:pPr>
              <w:spacing w:line="200" w:lineRule="exact"/>
            </w:pPr>
            <w:r>
              <w:rPr>
                <w:rFonts w:ascii="方正黑体_GBK" w:hAnsi="方正黑体_GBK" w:eastAsia="方正黑体_GBK" w:cs="宋体"/>
                <w:b/>
                <w:sz w:val="18"/>
                <w:szCs w:val="18"/>
              </w:rPr>
              <w:t>以上资产剩余期限均不超过产品期限。</w:t>
            </w:r>
            <w:r>
              <w:rPr>
                <w:rFonts w:ascii="方正黑体_GBK" w:hAnsi="方正黑体_GBK" w:eastAsia="方正黑体_GBK"/>
              </w:rPr>
              <w:br w:type="textWrapping"/>
            </w:r>
            <w:r>
              <w:rPr>
                <w:rFonts w:ascii="方正黑体_GBK" w:hAnsi="方正黑体_GBK" w:eastAsia="方正黑体_GBK" w:cs="宋体"/>
                <w:b/>
                <w:sz w:val="18"/>
                <w:szCs w:val="18"/>
              </w:rPr>
              <w:t>若本理财产品投资上述备选非标准化债权类资产以外的非标准化债权类资产，管理人将优选与上述资产同类型的、符合监管要求的非标准化债权类资产，履行内部严格的审批流程，并在本理财产品的定期报告中进行信息披露。</w:t>
            </w:r>
          </w:p>
        </w:tc>
      </w:tr>
      <w:tr w14:paraId="6B11A28A">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F7B00D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s="Times New Roman"/>
                <w:caps w:val="0"/>
                <w:smallCaps w:val="0"/>
                <w:snapToGrid/>
                <w:vanish w:val="0"/>
                <w:color w:val="auto"/>
                <w:kern w:val="0"/>
                <w:sz w:val="18"/>
                <w:szCs w:val="18"/>
                <w:vertAlign w:val="baseline"/>
              </w:rPr>
            </w:pPr>
            <w:r>
              <w:rPr>
                <w:rFonts w:hint="eastAsia" w:ascii="方正黑体_GBK" w:hAnsi="方正黑体_GBK" w:eastAsia="方正黑体_GBK" w:cs="Times New Roman"/>
                <w:bCs/>
                <w:caps w:val="0"/>
                <w:smallCaps w:val="0"/>
                <w:snapToGrid/>
                <w:vanish w:val="0"/>
                <w:color w:val="auto"/>
                <w:kern w:val="0"/>
                <w:sz w:val="18"/>
                <w:szCs w:val="18"/>
                <w:vertAlign w:val="baseline"/>
              </w:rPr>
              <w:t>业绩比较基准</w:t>
            </w:r>
          </w:p>
        </w:tc>
        <w:tc>
          <w:tcPr>
            <w:tcW w:w="5543" w:type="dxa"/>
            <w:tcBorders>
              <w:top w:val="single" w:color="auto" w:sz="4" w:space="0"/>
              <w:left w:val="nil"/>
              <w:bottom w:val="single" w:color="auto" w:sz="4" w:space="0"/>
              <w:right w:val="single" w:color="auto" w:sz="4" w:space="0"/>
              <w:tl2br w:val="nil"/>
              <w:tr2bl w:val="nil"/>
            </w:tcBorders>
            <w:vAlign w:val="center"/>
          </w:tcPr>
          <w:p w14:paraId="2AFE2AC5">
            <w:pPr>
              <w:spacing w:line="200" w:lineRule="exact"/>
              <w:jc w:val="left"/>
              <w:rPr>
                <w:rFonts w:ascii="方正黑体_GBK" w:hAnsi="方正黑体_GBK" w:eastAsia="方正黑体_GBK" w:cs="宋体"/>
                <w:sz w:val="18"/>
                <w:szCs w:val="18"/>
              </w:rPr>
            </w:pPr>
            <w:r>
              <w:rPr>
                <w:rFonts w:ascii="方正黑体_GBK" w:hAnsi="方正黑体_GBK" w:eastAsia="方正黑体_GBK" w:cs="宋体"/>
                <w:sz w:val="18"/>
                <w:szCs w:val="18"/>
              </w:rPr>
              <w:t>A份额</w:t>
            </w:r>
            <w:r>
              <w:rPr>
                <w:rFonts w:hint="default" w:ascii="方正黑体_GBK" w:hAnsi="方正黑体_GBK" w:eastAsia="方正黑体_GBK" w:cs="宋体"/>
                <w:sz w:val="18"/>
                <w:szCs w:val="18"/>
                <w:lang w:val="en-US" w:eastAsia="zh-CN"/>
              </w:rPr>
              <w:t>/</w:t>
            </w:r>
            <w:r>
              <w:rPr>
                <w:rFonts w:ascii="方正黑体_GBK" w:hAnsi="方正黑体_GBK" w:eastAsia="方正黑体_GBK" w:cs="宋体"/>
                <w:sz w:val="18"/>
                <w:szCs w:val="18"/>
              </w:rPr>
              <w:t>A2份额</w:t>
            </w:r>
            <w:r>
              <w:rPr>
                <w:rFonts w:hint="default" w:ascii="方正黑体_GBK" w:hAnsi="方正黑体_GBK" w:eastAsia="方正黑体_GBK" w:cs="宋体"/>
                <w:sz w:val="18"/>
                <w:szCs w:val="18"/>
                <w:lang w:val="en-US" w:eastAsia="zh-CN"/>
              </w:rPr>
              <w:t>/</w:t>
            </w:r>
            <w:r>
              <w:rPr>
                <w:rFonts w:ascii="方正黑体_GBK" w:hAnsi="方正黑体_GBK" w:eastAsia="方正黑体_GBK" w:cs="宋体"/>
                <w:sz w:val="18"/>
                <w:szCs w:val="18"/>
              </w:rPr>
              <w:t>A</w:t>
            </w:r>
            <w:r>
              <w:rPr>
                <w:rFonts w:hint="default" w:ascii="方正黑体_GBK" w:hAnsi="方正黑体_GBK" w:eastAsia="方正黑体_GBK" w:cs="宋体"/>
                <w:sz w:val="18"/>
                <w:szCs w:val="18"/>
                <w:lang w:val="en-US" w:eastAsia="zh-CN"/>
              </w:rPr>
              <w:t>3</w:t>
            </w:r>
            <w:r>
              <w:rPr>
                <w:rFonts w:ascii="方正黑体_GBK" w:hAnsi="方正黑体_GBK" w:eastAsia="方正黑体_GBK" w:cs="宋体"/>
                <w:sz w:val="18"/>
                <w:szCs w:val="18"/>
              </w:rPr>
              <w:t>份额：业绩比较基准为年化2.7</w:t>
            </w:r>
            <w:r>
              <w:rPr>
                <w:rFonts w:hint="eastAsia" w:ascii="方正黑体_GBK" w:hAnsi="方正黑体_GBK" w:eastAsia="方正黑体_GBK" w:cs="宋体"/>
                <w:sz w:val="18"/>
                <w:szCs w:val="18"/>
                <w:lang w:val="en-US" w:eastAsia="zh-CN"/>
              </w:rPr>
              <w:t>5</w:t>
            </w:r>
            <w:r>
              <w:rPr>
                <w:rFonts w:ascii="方正黑体_GBK" w:hAnsi="方正黑体_GBK" w:eastAsia="方正黑体_GBK" w:cs="宋体"/>
                <w:sz w:val="18"/>
                <w:szCs w:val="18"/>
              </w:rPr>
              <w:t>%-3.3</w:t>
            </w:r>
            <w:r>
              <w:rPr>
                <w:rFonts w:hint="eastAsia" w:ascii="方正黑体_GBK" w:hAnsi="方正黑体_GBK" w:eastAsia="方正黑体_GBK" w:cs="宋体"/>
                <w:sz w:val="18"/>
                <w:szCs w:val="18"/>
                <w:lang w:val="en-US" w:eastAsia="zh-CN"/>
              </w:rPr>
              <w:t>5</w:t>
            </w:r>
            <w:r>
              <w:rPr>
                <w:rFonts w:ascii="方正黑体_GBK" w:hAnsi="方正黑体_GBK" w:eastAsia="方正黑体_GBK" w:cs="宋体"/>
                <w:sz w:val="18"/>
                <w:szCs w:val="18"/>
              </w:rPr>
              <w:t>% 。</w:t>
            </w:r>
          </w:p>
          <w:p w14:paraId="60C1CA20">
            <w:pPr>
              <w:spacing w:line="200" w:lineRule="exact"/>
              <w:jc w:val="left"/>
              <w:rPr>
                <w:rFonts w:ascii="方正黑体_GBK" w:hAnsi="方正黑体_GBK" w:eastAsia="方正黑体_GBK" w:cs="宋体"/>
                <w:sz w:val="18"/>
                <w:szCs w:val="18"/>
              </w:rPr>
            </w:pPr>
            <w:r>
              <w:rPr>
                <w:rFonts w:hint="default" w:ascii="方正黑体_GBK" w:hAnsi="方正黑体_GBK" w:eastAsia="方正黑体_GBK" w:cs="宋体"/>
                <w:sz w:val="18"/>
                <w:szCs w:val="18"/>
                <w:lang w:val="en-US" w:eastAsia="zh-CN"/>
              </w:rPr>
              <w:t>B</w:t>
            </w:r>
            <w:r>
              <w:rPr>
                <w:rFonts w:ascii="方正黑体_GBK" w:hAnsi="方正黑体_GBK" w:eastAsia="方正黑体_GBK" w:cs="宋体"/>
                <w:sz w:val="18"/>
                <w:szCs w:val="18"/>
              </w:rPr>
              <w:t>份额</w:t>
            </w:r>
            <w:r>
              <w:rPr>
                <w:rFonts w:hint="default" w:ascii="方正黑体_GBK" w:hAnsi="方正黑体_GBK" w:eastAsia="方正黑体_GBK" w:cs="宋体"/>
                <w:sz w:val="18"/>
                <w:szCs w:val="18"/>
                <w:lang w:val="en-US" w:eastAsia="zh-CN"/>
              </w:rPr>
              <w:t>/B</w:t>
            </w:r>
            <w:r>
              <w:rPr>
                <w:rFonts w:ascii="方正黑体_GBK" w:hAnsi="方正黑体_GBK" w:eastAsia="方正黑体_GBK" w:cs="宋体"/>
                <w:sz w:val="18"/>
                <w:szCs w:val="18"/>
              </w:rPr>
              <w:t>2份额</w:t>
            </w:r>
            <w:r>
              <w:rPr>
                <w:rFonts w:hint="default" w:ascii="方正黑体_GBK" w:hAnsi="方正黑体_GBK" w:eastAsia="方正黑体_GBK" w:cs="宋体"/>
                <w:sz w:val="18"/>
                <w:szCs w:val="18"/>
                <w:lang w:val="en-US" w:eastAsia="zh-CN"/>
              </w:rPr>
              <w:t>/B3</w:t>
            </w:r>
            <w:r>
              <w:rPr>
                <w:rFonts w:ascii="方正黑体_GBK" w:hAnsi="方正黑体_GBK" w:eastAsia="方正黑体_GBK" w:cs="宋体"/>
                <w:sz w:val="18"/>
                <w:szCs w:val="18"/>
              </w:rPr>
              <w:t>份额：业绩比较基准为年化2.7</w:t>
            </w:r>
            <w:r>
              <w:rPr>
                <w:rFonts w:hint="default" w:ascii="方正黑体_GBK" w:hAnsi="方正黑体_GBK" w:eastAsia="方正黑体_GBK" w:cs="宋体"/>
                <w:sz w:val="18"/>
                <w:szCs w:val="18"/>
                <w:lang w:val="en-US" w:eastAsia="zh-CN"/>
              </w:rPr>
              <w:t>5</w:t>
            </w:r>
            <w:r>
              <w:rPr>
                <w:rFonts w:ascii="方正黑体_GBK" w:hAnsi="方正黑体_GBK" w:eastAsia="方正黑体_GBK" w:cs="宋体"/>
                <w:sz w:val="18"/>
                <w:szCs w:val="18"/>
              </w:rPr>
              <w:t>%-3.3</w:t>
            </w:r>
            <w:r>
              <w:rPr>
                <w:rFonts w:hint="default" w:ascii="方正黑体_GBK" w:hAnsi="方正黑体_GBK" w:eastAsia="方正黑体_GBK" w:cs="宋体"/>
                <w:sz w:val="18"/>
                <w:szCs w:val="18"/>
                <w:lang w:val="en-US" w:eastAsia="zh-CN"/>
              </w:rPr>
              <w:t>5</w:t>
            </w:r>
            <w:r>
              <w:rPr>
                <w:rFonts w:ascii="方正黑体_GBK" w:hAnsi="方正黑体_GBK" w:eastAsia="方正黑体_GBK" w:cs="宋体"/>
                <w:sz w:val="18"/>
                <w:szCs w:val="18"/>
              </w:rPr>
              <w:t>% 。</w:t>
            </w:r>
          </w:p>
          <w:p w14:paraId="1C4AAEB8">
            <w:pPr>
              <w:spacing w:line="200" w:lineRule="exact"/>
              <w:jc w:val="left"/>
              <w:rPr>
                <w:rFonts w:hint="default" w:ascii="方正黑体_GBK" w:hAnsi="方正黑体_GBK" w:eastAsia="方正黑体_GBK" w:cs="宋体"/>
                <w:sz w:val="18"/>
                <w:szCs w:val="18"/>
                <w:lang w:val="en-US" w:eastAsia="zh-CN"/>
              </w:rPr>
            </w:pPr>
            <w:r>
              <w:rPr>
                <w:rFonts w:hint="default" w:ascii="方正黑体_GBK" w:hAnsi="方正黑体_GBK" w:eastAsia="方正黑体_GBK" w:cs="宋体"/>
                <w:sz w:val="18"/>
                <w:szCs w:val="18"/>
                <w:lang w:val="en-US" w:eastAsia="zh-CN"/>
              </w:rPr>
              <w:t>C</w:t>
            </w:r>
            <w:r>
              <w:rPr>
                <w:rFonts w:ascii="方正黑体_GBK" w:hAnsi="方正黑体_GBK" w:eastAsia="方正黑体_GBK" w:cs="宋体"/>
                <w:sz w:val="18"/>
                <w:szCs w:val="18"/>
              </w:rPr>
              <w:t>份额</w:t>
            </w:r>
            <w:r>
              <w:rPr>
                <w:rFonts w:hint="default" w:ascii="方正黑体_GBK" w:hAnsi="方正黑体_GBK" w:eastAsia="方正黑体_GBK" w:cs="宋体"/>
                <w:sz w:val="18"/>
                <w:szCs w:val="18"/>
                <w:lang w:val="en-US" w:eastAsia="zh-CN"/>
              </w:rPr>
              <w:t>/C</w:t>
            </w:r>
            <w:r>
              <w:rPr>
                <w:rFonts w:ascii="方正黑体_GBK" w:hAnsi="方正黑体_GBK" w:eastAsia="方正黑体_GBK" w:cs="宋体"/>
                <w:sz w:val="18"/>
                <w:szCs w:val="18"/>
              </w:rPr>
              <w:t>2份额</w:t>
            </w:r>
            <w:r>
              <w:rPr>
                <w:rFonts w:hint="default" w:ascii="方正黑体_GBK" w:hAnsi="方正黑体_GBK" w:eastAsia="方正黑体_GBK" w:cs="宋体"/>
                <w:sz w:val="18"/>
                <w:szCs w:val="18"/>
                <w:lang w:val="en-US" w:eastAsia="zh-CN"/>
              </w:rPr>
              <w:t>/C3</w:t>
            </w:r>
            <w:r>
              <w:rPr>
                <w:rFonts w:ascii="方正黑体_GBK" w:hAnsi="方正黑体_GBK" w:eastAsia="方正黑体_GBK" w:cs="宋体"/>
                <w:sz w:val="18"/>
                <w:szCs w:val="18"/>
              </w:rPr>
              <w:t>份额：业绩比较基准为年化2.8%-3.4% 。</w:t>
            </w:r>
          </w:p>
          <w:p w14:paraId="3163E3B8">
            <w:pPr>
              <w:spacing w:line="200" w:lineRule="exact"/>
              <w:jc w:val="left"/>
              <w:rPr>
                <w:rFonts w:ascii="方正黑体_GBK" w:hAnsi="方正黑体_GBK" w:eastAsia="方正黑体_GBK" w:cs="宋体"/>
                <w:sz w:val="18"/>
                <w:szCs w:val="18"/>
              </w:rPr>
            </w:pPr>
            <w:r>
              <w:rPr>
                <w:rFonts w:hint="default" w:ascii="方正黑体_GBK" w:hAnsi="方正黑体_GBK" w:eastAsia="方正黑体_GBK" w:cs="宋体"/>
                <w:sz w:val="18"/>
                <w:szCs w:val="18"/>
                <w:lang w:val="en-US" w:eastAsia="zh-CN"/>
              </w:rPr>
              <w:t>D</w:t>
            </w:r>
            <w:r>
              <w:rPr>
                <w:rFonts w:ascii="方正黑体_GBK" w:hAnsi="方正黑体_GBK" w:eastAsia="方正黑体_GBK" w:cs="宋体"/>
                <w:sz w:val="18"/>
                <w:szCs w:val="18"/>
              </w:rPr>
              <w:t>份额</w:t>
            </w:r>
            <w:r>
              <w:rPr>
                <w:rFonts w:hint="default" w:ascii="方正黑体_GBK" w:hAnsi="方正黑体_GBK" w:eastAsia="方正黑体_GBK" w:cs="宋体"/>
                <w:sz w:val="18"/>
                <w:szCs w:val="18"/>
                <w:lang w:val="en-US" w:eastAsia="zh-CN"/>
              </w:rPr>
              <w:t>/D</w:t>
            </w:r>
            <w:r>
              <w:rPr>
                <w:rFonts w:ascii="方正黑体_GBK" w:hAnsi="方正黑体_GBK" w:eastAsia="方正黑体_GBK" w:cs="宋体"/>
                <w:sz w:val="18"/>
                <w:szCs w:val="18"/>
              </w:rPr>
              <w:t>2份额</w:t>
            </w:r>
            <w:r>
              <w:rPr>
                <w:rFonts w:hint="default" w:ascii="方正黑体_GBK" w:hAnsi="方正黑体_GBK" w:eastAsia="方正黑体_GBK" w:cs="宋体"/>
                <w:sz w:val="18"/>
                <w:szCs w:val="18"/>
                <w:lang w:val="en-US" w:eastAsia="zh-CN"/>
              </w:rPr>
              <w:t>/D3</w:t>
            </w:r>
            <w:r>
              <w:rPr>
                <w:rFonts w:ascii="方正黑体_GBK" w:hAnsi="方正黑体_GBK" w:eastAsia="方正黑体_GBK" w:cs="宋体"/>
                <w:sz w:val="18"/>
                <w:szCs w:val="18"/>
              </w:rPr>
              <w:t>份额：业绩比较基准为年化2.85%-3.45% 。</w:t>
            </w:r>
          </w:p>
          <w:p w14:paraId="75170ABD">
            <w:pPr>
              <w:widowControl/>
              <w:spacing w:line="200" w:lineRule="exact"/>
              <w:ind w:firstLine="0"/>
              <w:jc w:val="left"/>
              <w:rPr>
                <w:rFonts w:ascii="方正黑体_GBK" w:hAnsi="方正黑体_GBK" w:eastAsia="方正黑体_GBK" w:cs="宋体"/>
                <w:sz w:val="18"/>
                <w:szCs w:val="18"/>
              </w:rPr>
            </w:pPr>
            <w:r>
              <w:rPr>
                <w:rFonts w:hint="default" w:ascii="方正黑体_GBK" w:hAnsi="方正黑体_GBK" w:eastAsia="方正黑体_GBK" w:cs="宋体"/>
                <w:sz w:val="18"/>
                <w:szCs w:val="18"/>
                <w:lang w:val="en-US" w:eastAsia="zh-CN"/>
              </w:rPr>
              <w:t>E</w:t>
            </w:r>
            <w:r>
              <w:rPr>
                <w:rFonts w:ascii="方正黑体_GBK" w:hAnsi="方正黑体_GBK" w:eastAsia="方正黑体_GBK" w:cs="宋体"/>
                <w:sz w:val="18"/>
                <w:szCs w:val="18"/>
              </w:rPr>
              <w:t>份额</w:t>
            </w:r>
            <w:r>
              <w:rPr>
                <w:rFonts w:hint="default" w:ascii="方正黑体_GBK" w:hAnsi="方正黑体_GBK" w:eastAsia="方正黑体_GBK" w:cs="宋体"/>
                <w:sz w:val="18"/>
                <w:szCs w:val="18"/>
                <w:lang w:val="en-US" w:eastAsia="zh-CN"/>
              </w:rPr>
              <w:t>/E</w:t>
            </w:r>
            <w:r>
              <w:rPr>
                <w:rFonts w:ascii="方正黑体_GBK" w:hAnsi="方正黑体_GBK" w:eastAsia="方正黑体_GBK" w:cs="宋体"/>
                <w:sz w:val="18"/>
                <w:szCs w:val="18"/>
              </w:rPr>
              <w:t>2份额</w:t>
            </w:r>
            <w:r>
              <w:rPr>
                <w:rFonts w:hint="default" w:ascii="方正黑体_GBK" w:hAnsi="方正黑体_GBK" w:eastAsia="方正黑体_GBK" w:cs="宋体"/>
                <w:sz w:val="18"/>
                <w:szCs w:val="18"/>
                <w:lang w:val="en-US" w:eastAsia="zh-CN"/>
              </w:rPr>
              <w:t>/E3</w:t>
            </w:r>
            <w:r>
              <w:rPr>
                <w:rFonts w:ascii="方正黑体_GBK" w:hAnsi="方正黑体_GBK" w:eastAsia="方正黑体_GBK" w:cs="宋体"/>
                <w:sz w:val="18"/>
                <w:szCs w:val="18"/>
              </w:rPr>
              <w:t>份额：业绩比较基准为年化2.95%-3.55% 。</w:t>
            </w:r>
          </w:p>
          <w:p w14:paraId="31460C57">
            <w:pPr>
              <w:widowControl/>
              <w:spacing w:line="200" w:lineRule="exact"/>
              <w:ind w:firstLine="0"/>
              <w:jc w:val="left"/>
              <w:rPr>
                <w:rFonts w:ascii="方正黑体_GBK" w:hAnsi="方正黑体_GBK" w:eastAsia="方正黑体_GBK" w:cs="宋体"/>
                <w:sz w:val="18"/>
                <w:szCs w:val="18"/>
              </w:rPr>
            </w:pPr>
            <w:r>
              <w:rPr>
                <w:rFonts w:hint="default" w:ascii="方正黑体_GBK" w:hAnsi="方正黑体_GBK" w:eastAsia="方正黑体_GBK" w:cs="宋体"/>
                <w:sz w:val="18"/>
                <w:szCs w:val="18"/>
                <w:lang w:val="en-US" w:eastAsia="zh-CN"/>
              </w:rPr>
              <w:t>F</w:t>
            </w:r>
            <w:r>
              <w:rPr>
                <w:rFonts w:ascii="方正黑体_GBK" w:hAnsi="方正黑体_GBK" w:eastAsia="方正黑体_GBK" w:cs="宋体"/>
                <w:sz w:val="18"/>
                <w:szCs w:val="18"/>
              </w:rPr>
              <w:t>份额</w:t>
            </w:r>
            <w:r>
              <w:rPr>
                <w:rFonts w:hint="default" w:ascii="方正黑体_GBK" w:hAnsi="方正黑体_GBK" w:eastAsia="方正黑体_GBK" w:cs="宋体"/>
                <w:sz w:val="18"/>
                <w:szCs w:val="18"/>
                <w:lang w:val="en-US" w:eastAsia="zh-CN"/>
              </w:rPr>
              <w:t>/F</w:t>
            </w:r>
            <w:r>
              <w:rPr>
                <w:rFonts w:ascii="方正黑体_GBK" w:hAnsi="方正黑体_GBK" w:eastAsia="方正黑体_GBK" w:cs="宋体"/>
                <w:sz w:val="18"/>
                <w:szCs w:val="18"/>
              </w:rPr>
              <w:t>2份额</w:t>
            </w:r>
            <w:r>
              <w:rPr>
                <w:rFonts w:hint="default" w:ascii="方正黑体_GBK" w:hAnsi="方正黑体_GBK" w:eastAsia="方正黑体_GBK" w:cs="宋体"/>
                <w:sz w:val="18"/>
                <w:szCs w:val="18"/>
                <w:lang w:val="en-US" w:eastAsia="zh-CN"/>
              </w:rPr>
              <w:t>/F3</w:t>
            </w:r>
            <w:r>
              <w:rPr>
                <w:rFonts w:ascii="方正黑体_GBK" w:hAnsi="方正黑体_GBK" w:eastAsia="方正黑体_GBK" w:cs="宋体"/>
                <w:sz w:val="18"/>
                <w:szCs w:val="18"/>
              </w:rPr>
              <w:t>份额：业绩比较基准为年化2.</w:t>
            </w:r>
            <w:r>
              <w:rPr>
                <w:rFonts w:hint="default" w:ascii="方正黑体_GBK" w:hAnsi="方正黑体_GBK" w:eastAsia="方正黑体_GBK" w:cs="宋体"/>
                <w:sz w:val="18"/>
                <w:szCs w:val="18"/>
                <w:lang w:val="en-US" w:eastAsia="zh-CN"/>
              </w:rPr>
              <w:t>8</w:t>
            </w:r>
            <w:r>
              <w:rPr>
                <w:rFonts w:ascii="方正黑体_GBK" w:hAnsi="方正黑体_GBK" w:eastAsia="方正黑体_GBK" w:cs="宋体"/>
                <w:sz w:val="18"/>
                <w:szCs w:val="18"/>
              </w:rPr>
              <w:t>%-3.</w:t>
            </w:r>
            <w:r>
              <w:rPr>
                <w:rFonts w:hint="default" w:ascii="方正黑体_GBK" w:hAnsi="方正黑体_GBK" w:eastAsia="方正黑体_GBK" w:cs="宋体"/>
                <w:sz w:val="18"/>
                <w:szCs w:val="18"/>
                <w:lang w:val="en-US" w:eastAsia="zh-CN"/>
              </w:rPr>
              <w:t>4</w:t>
            </w:r>
            <w:r>
              <w:rPr>
                <w:rFonts w:ascii="方正黑体_GBK" w:hAnsi="方正黑体_GBK" w:eastAsia="方正黑体_GBK" w:cs="宋体"/>
                <w:sz w:val="18"/>
                <w:szCs w:val="18"/>
              </w:rPr>
              <w:t>% 。</w:t>
            </w:r>
          </w:p>
          <w:p w14:paraId="51134747">
            <w:pPr>
              <w:spacing w:line="200" w:lineRule="exact"/>
              <w:jc w:val="left"/>
              <w:rPr>
                <w:rFonts w:ascii="方正黑体_GBK" w:hAnsi="方正黑体_GBK" w:eastAsia="方正黑体_GBK" w:cs="宋体"/>
                <w:sz w:val="18"/>
                <w:szCs w:val="18"/>
              </w:rPr>
            </w:pPr>
            <w:r>
              <w:rPr>
                <w:rFonts w:hint="eastAsia" w:ascii="方正黑体_GBK" w:hAnsi="方正黑体_GBK" w:eastAsia="方正黑体_GBK" w:cs="宋体"/>
                <w:sz w:val="18"/>
                <w:szCs w:val="18"/>
                <w:lang w:val="en-US" w:eastAsia="zh-CN"/>
              </w:rPr>
              <w:t>G2份额：</w:t>
            </w:r>
            <w:r>
              <w:rPr>
                <w:rFonts w:ascii="方正黑体_GBK" w:hAnsi="方正黑体_GBK" w:eastAsia="方正黑体_GBK" w:cs="宋体"/>
                <w:sz w:val="18"/>
                <w:szCs w:val="18"/>
              </w:rPr>
              <w:t>绩比较基准为年化2.85%-3.45% 。</w:t>
            </w:r>
          </w:p>
          <w:p w14:paraId="34571D16">
            <w:pPr>
              <w:spacing w:line="200" w:lineRule="exact"/>
              <w:jc w:val="left"/>
            </w:pPr>
            <w:r>
              <w:rPr>
                <w:rFonts w:ascii="方正黑体_GBK" w:hAnsi="方正黑体_GBK" w:eastAsia="方正黑体_GBK" w:cs="宋体"/>
                <w:sz w:val="18"/>
                <w:szCs w:val="18"/>
              </w:rPr>
              <w:t>本理财产品业绩比较基准是管理人基于过往投资经验、对产品存续期拟投资标的和相应投资市场波动的预判设定的投资目标。本理财产品投资于固定收益类资产的比例不低于80%，投资于非标准化债权类资产的比例不高于50%。结合债券市场和拟投资的非标准化债权类资产的收益和波动水平预判，在本理财产品约定的投资策略基础上，管理人设定了本理财产品投资周期内业绩比较基准。</w:t>
            </w:r>
          </w:p>
          <w:p w14:paraId="6018B250">
            <w:pPr>
              <w:spacing w:line="200" w:lineRule="exact"/>
              <w:jc w:val="left"/>
            </w:pPr>
            <w:r>
              <w:rPr>
                <w:rFonts w:ascii="方正黑体_GBK" w:hAnsi="方正黑体_GBK" w:eastAsia="方正黑体_GBK" w:cs="宋体"/>
                <w:sz w:val="18"/>
                <w:szCs w:val="18"/>
              </w:rPr>
              <w:t>注：管理人可根据市场情况对业绩比较基准进行适当调整，如有调整，将至少于调整前3个工作日公布调整方案。</w:t>
            </w:r>
          </w:p>
          <w:p w14:paraId="10F828FE">
            <w:pPr>
              <w:spacing w:line="200" w:lineRule="exact"/>
            </w:pPr>
            <w:r>
              <w:rPr>
                <w:rFonts w:ascii="方正黑体_GBK" w:hAnsi="方正黑体_GBK" w:eastAsia="方正黑体_GBK" w:cs="宋体"/>
                <w:b/>
                <w:sz w:val="18"/>
                <w:szCs w:val="18"/>
              </w:rPr>
              <w:t>本理财产品为净值型理财产品，业绩比较基准不是预期收益率，不代表产品的未来表现和实际收益，不构成对产品收益的承诺。</w:t>
            </w:r>
          </w:p>
        </w:tc>
      </w:tr>
      <w:tr w14:paraId="13A13567">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B64B61C">
            <w:pPr>
              <w:keepNext w:val="0"/>
              <w:keepLines w:val="0"/>
              <w:pageBreakBefore w:val="0"/>
              <w:widowControl/>
              <w:suppressLineNumbers w:val="0"/>
              <w:suppressAutoHyphens w:val="0"/>
              <w:spacing w:line="200" w:lineRule="exact"/>
              <w:jc w:val="left"/>
              <w:rPr>
                <w:rFonts w:ascii="方正黑体_GBK" w:hAnsi="方正黑体_GBK" w:eastAsia="方正黑体_GBK" w:cs="Times New Roman"/>
                <w:bCs/>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产品</w:t>
            </w:r>
            <w:r>
              <w:rPr>
                <w:rFonts w:hint="eastAsia" w:ascii="方正黑体_GBK" w:hAnsi="方正黑体_GBK" w:eastAsia="方正黑体_GBK"/>
                <w:caps w:val="0"/>
                <w:smallCaps w:val="0"/>
                <w:snapToGrid/>
                <w:vanish w:val="0"/>
                <w:color w:val="auto"/>
                <w:kern w:val="0"/>
                <w:sz w:val="18"/>
                <w:szCs w:val="18"/>
                <w:vertAlign w:val="baseline"/>
              </w:rPr>
              <w:t>费用</w:t>
            </w:r>
          </w:p>
        </w:tc>
        <w:tc>
          <w:tcPr>
            <w:tcW w:w="5543" w:type="dxa"/>
            <w:tcBorders>
              <w:top w:val="single" w:color="auto" w:sz="4" w:space="0"/>
              <w:left w:val="nil"/>
              <w:bottom w:val="single" w:color="auto" w:sz="4" w:space="0"/>
              <w:right w:val="single" w:color="auto" w:sz="4" w:space="0"/>
              <w:tl2br w:val="nil"/>
              <w:tr2bl w:val="nil"/>
            </w:tcBorders>
            <w:vAlign w:val="center"/>
          </w:tcPr>
          <w:p w14:paraId="4EC40D0C">
            <w:pPr>
              <w:shd w:val="clear" w:color="auto" w:fill="auto"/>
              <w:spacing w:line="200" w:lineRule="exact"/>
              <w:rPr>
                <w:rFonts w:ascii="方正黑体_GBK" w:hAnsi="方正黑体_GBK" w:eastAsia="方正黑体_GBK" w:cs="宋体"/>
                <w:b/>
                <w:bCs w:val="0"/>
                <w:i w:val="0"/>
                <w:caps w:val="0"/>
                <w:smallCaps w:val="0"/>
                <w:strike w:val="0"/>
                <w:dstrike w:val="0"/>
                <w:vanish w:val="0"/>
                <w:sz w:val="18"/>
                <w:szCs w:val="18"/>
              </w:rPr>
            </w:pPr>
            <w:r>
              <w:rPr>
                <w:rFonts w:ascii="方正黑体_GBK" w:hAnsi="方正黑体_GBK" w:eastAsia="方正黑体_GBK" w:cs="宋体"/>
                <w:b/>
                <w:bCs w:val="0"/>
                <w:i w:val="0"/>
                <w:caps w:val="0"/>
                <w:smallCaps w:val="0"/>
                <w:strike w:val="0"/>
                <w:dstrike w:val="0"/>
                <w:vanish w:val="0"/>
                <w:sz w:val="18"/>
                <w:szCs w:val="18"/>
              </w:rPr>
              <w:t>认/申购费：本理财产品暂不收取认/申购费。</w:t>
            </w:r>
          </w:p>
          <w:p w14:paraId="53C4DE1E">
            <w:pPr>
              <w:shd w:val="clear" w:color="auto" w:fill="auto"/>
              <w:spacing w:line="200" w:lineRule="exact"/>
              <w:rPr>
                <w:rFonts w:ascii="方正黑体_GBK" w:hAnsi="方正黑体_GBK" w:eastAsia="方正黑体_GBK" w:cs="宋体"/>
                <w:b/>
                <w:bCs w:val="0"/>
                <w:i w:val="0"/>
                <w:caps w:val="0"/>
                <w:smallCaps w:val="0"/>
                <w:strike w:val="0"/>
                <w:dstrike w:val="0"/>
                <w:vanish w:val="0"/>
                <w:sz w:val="18"/>
                <w:szCs w:val="18"/>
              </w:rPr>
            </w:pPr>
            <w:r>
              <w:rPr>
                <w:rFonts w:ascii="方正黑体_GBK" w:hAnsi="方正黑体_GBK" w:eastAsia="方正黑体_GBK" w:cs="宋体"/>
                <w:b/>
                <w:bCs w:val="0"/>
                <w:i w:val="0"/>
                <w:caps w:val="0"/>
                <w:smallCaps w:val="0"/>
                <w:strike w:val="0"/>
                <w:dstrike w:val="0"/>
                <w:vanish w:val="0"/>
                <w:sz w:val="18"/>
                <w:szCs w:val="18"/>
              </w:rPr>
              <w:t>赎回费：本理财产品暂不收取赎回费。</w:t>
            </w:r>
          </w:p>
          <w:p w14:paraId="4594E366">
            <w:pPr>
              <w:shd w:val="clear" w:color="auto" w:fill="auto"/>
              <w:spacing w:line="200" w:lineRule="exact"/>
              <w:rPr>
                <w:rFonts w:ascii="方正黑体_GBK" w:hAnsi="方正黑体_GBK" w:eastAsia="方正黑体_GBK" w:cs="宋体"/>
                <w:b/>
                <w:bCs w:val="0"/>
                <w:i w:val="0"/>
                <w:caps w:val="0"/>
                <w:smallCaps w:val="0"/>
                <w:strike w:val="0"/>
                <w:dstrike w:val="0"/>
                <w:vanish w:val="0"/>
                <w:sz w:val="18"/>
                <w:szCs w:val="18"/>
              </w:rPr>
            </w:pPr>
            <w:r>
              <w:rPr>
                <w:rFonts w:ascii="方正黑体_GBK" w:hAnsi="方正黑体_GBK" w:eastAsia="方正黑体_GBK" w:cs="宋体"/>
                <w:b/>
                <w:bCs w:val="0"/>
                <w:i w:val="0"/>
                <w:caps w:val="0"/>
                <w:smallCaps w:val="0"/>
                <w:strike w:val="0"/>
                <w:dstrike w:val="0"/>
                <w:vanish w:val="0"/>
                <w:sz w:val="18"/>
                <w:szCs w:val="18"/>
              </w:rPr>
              <w:t>销售费：本理财产品按前一日理财产品资产净值收取销售费，按日计提。</w:t>
            </w:r>
          </w:p>
          <w:p w14:paraId="687267CD">
            <w:pPr>
              <w:shd w:val="clear" w:color="auto" w:fill="auto"/>
              <w:spacing w:line="200" w:lineRule="exact"/>
              <w:rPr>
                <w:rFonts w:ascii="方正黑体_GBK" w:hAnsi="方正黑体_GBK" w:eastAsia="方正黑体_GBK" w:cs="宋体"/>
                <w:b/>
                <w:bCs w:val="0"/>
                <w:i w:val="0"/>
                <w:caps w:val="0"/>
                <w:smallCaps w:val="0"/>
                <w:strike w:val="0"/>
                <w:dstrike w:val="0"/>
                <w:vanish w:val="0"/>
                <w:sz w:val="18"/>
                <w:szCs w:val="18"/>
              </w:rPr>
            </w:pPr>
            <w:r>
              <w:rPr>
                <w:rFonts w:ascii="方正黑体_GBK" w:hAnsi="方正黑体_GBK" w:eastAsia="方正黑体_GBK" w:cs="宋体"/>
                <w:b/>
                <w:bCs w:val="0"/>
                <w:i w:val="0"/>
                <w:caps w:val="0"/>
                <w:smallCaps w:val="0"/>
                <w:strike w:val="0"/>
                <w:dstrike w:val="0"/>
                <w:vanish w:val="0"/>
                <w:sz w:val="18"/>
                <w:szCs w:val="18"/>
              </w:rPr>
              <w:t>A份额</w:t>
            </w:r>
            <w:r>
              <w:rPr>
                <w:rFonts w:hint="eastAsia" w:ascii="方正黑体_GBK" w:hAnsi="方正黑体_GBK" w:eastAsia="方正黑体_GBK" w:cs="宋体"/>
                <w:b/>
                <w:bCs w:val="0"/>
                <w:i w:val="0"/>
                <w:caps w:val="0"/>
                <w:smallCaps w:val="0"/>
                <w:strike w:val="0"/>
                <w:dstrike w:val="0"/>
                <w:vanish w:val="0"/>
                <w:sz w:val="18"/>
                <w:szCs w:val="18"/>
                <w:lang w:val="en-US" w:eastAsia="zh-CN"/>
              </w:rPr>
              <w:t>/</w:t>
            </w:r>
            <w:r>
              <w:rPr>
                <w:rFonts w:ascii="方正黑体_GBK" w:hAnsi="方正黑体_GBK" w:eastAsia="方正黑体_GBK" w:cs="宋体"/>
                <w:b/>
                <w:bCs w:val="0"/>
                <w:i w:val="0"/>
                <w:caps w:val="0"/>
                <w:smallCaps w:val="0"/>
                <w:strike w:val="0"/>
                <w:dstrike w:val="0"/>
                <w:vanish w:val="0"/>
                <w:sz w:val="18"/>
                <w:szCs w:val="18"/>
              </w:rPr>
              <w:t>A2份额</w:t>
            </w:r>
            <w:r>
              <w:rPr>
                <w:rFonts w:hint="eastAsia" w:ascii="方正黑体_GBK" w:hAnsi="方正黑体_GBK" w:eastAsia="方正黑体_GBK" w:cs="宋体"/>
                <w:b/>
                <w:bCs w:val="0"/>
                <w:i w:val="0"/>
                <w:caps w:val="0"/>
                <w:smallCaps w:val="0"/>
                <w:strike w:val="0"/>
                <w:dstrike w:val="0"/>
                <w:vanish w:val="0"/>
                <w:sz w:val="18"/>
                <w:szCs w:val="18"/>
                <w:lang w:val="en-US" w:eastAsia="zh-CN"/>
              </w:rPr>
              <w:t>/</w:t>
            </w:r>
            <w:r>
              <w:rPr>
                <w:rFonts w:ascii="方正黑体_GBK" w:hAnsi="方正黑体_GBK" w:eastAsia="方正黑体_GBK" w:cs="宋体"/>
                <w:b/>
                <w:bCs w:val="0"/>
                <w:i w:val="0"/>
                <w:caps w:val="0"/>
                <w:smallCaps w:val="0"/>
                <w:strike w:val="0"/>
                <w:dstrike w:val="0"/>
                <w:vanish w:val="0"/>
                <w:sz w:val="18"/>
                <w:szCs w:val="18"/>
              </w:rPr>
              <w:t>A</w:t>
            </w:r>
            <w:r>
              <w:rPr>
                <w:rFonts w:hint="eastAsia" w:ascii="方正黑体_GBK" w:hAnsi="方正黑体_GBK" w:eastAsia="方正黑体_GBK" w:cs="宋体"/>
                <w:b/>
                <w:bCs w:val="0"/>
                <w:i w:val="0"/>
                <w:caps w:val="0"/>
                <w:smallCaps w:val="0"/>
                <w:strike w:val="0"/>
                <w:dstrike w:val="0"/>
                <w:vanish w:val="0"/>
                <w:sz w:val="18"/>
                <w:szCs w:val="18"/>
                <w:lang w:val="en-US" w:eastAsia="zh-CN"/>
              </w:rPr>
              <w:t>3</w:t>
            </w:r>
            <w:r>
              <w:rPr>
                <w:rFonts w:ascii="方正黑体_GBK" w:hAnsi="方正黑体_GBK" w:eastAsia="方正黑体_GBK" w:cs="宋体"/>
                <w:b/>
                <w:bCs w:val="0"/>
                <w:i w:val="0"/>
                <w:caps w:val="0"/>
                <w:smallCaps w:val="0"/>
                <w:strike w:val="0"/>
                <w:dstrike w:val="0"/>
                <w:vanish w:val="0"/>
                <w:sz w:val="18"/>
                <w:szCs w:val="18"/>
              </w:rPr>
              <w:t>份额：销售费年化0.2%</w:t>
            </w:r>
          </w:p>
          <w:p w14:paraId="39251CD7">
            <w:pPr>
              <w:shd w:val="clear" w:color="auto" w:fill="auto"/>
              <w:spacing w:line="200" w:lineRule="exact"/>
              <w:rPr>
                <w:rFonts w:ascii="方正黑体_GBK" w:hAnsi="方正黑体_GBK" w:eastAsia="方正黑体_GBK" w:cs="宋体"/>
                <w:b/>
                <w:bCs w:val="0"/>
                <w:i w:val="0"/>
                <w:caps w:val="0"/>
                <w:smallCaps w:val="0"/>
                <w:strike w:val="0"/>
                <w:dstrike w:val="0"/>
                <w:vanish w:val="0"/>
                <w:sz w:val="18"/>
                <w:szCs w:val="18"/>
              </w:rPr>
            </w:pPr>
            <w:r>
              <w:rPr>
                <w:rFonts w:hint="eastAsia" w:ascii="方正黑体_GBK" w:hAnsi="方正黑体_GBK" w:eastAsia="方正黑体_GBK" w:cs="宋体"/>
                <w:b/>
                <w:bCs w:val="0"/>
                <w:i w:val="0"/>
                <w:caps w:val="0"/>
                <w:smallCaps w:val="0"/>
                <w:strike w:val="0"/>
                <w:dstrike w:val="0"/>
                <w:vanish w:val="0"/>
                <w:sz w:val="18"/>
                <w:szCs w:val="18"/>
                <w:lang w:val="en-US" w:eastAsia="zh-CN"/>
              </w:rPr>
              <w:t>B</w:t>
            </w:r>
            <w:r>
              <w:rPr>
                <w:rFonts w:ascii="方正黑体_GBK" w:hAnsi="方正黑体_GBK" w:eastAsia="方正黑体_GBK" w:cs="宋体"/>
                <w:b/>
                <w:bCs w:val="0"/>
                <w:i w:val="0"/>
                <w:caps w:val="0"/>
                <w:smallCaps w:val="0"/>
                <w:strike w:val="0"/>
                <w:dstrike w:val="0"/>
                <w:vanish w:val="0"/>
                <w:sz w:val="18"/>
                <w:szCs w:val="18"/>
              </w:rPr>
              <w:t>份额</w:t>
            </w:r>
            <w:r>
              <w:rPr>
                <w:rFonts w:hint="eastAsia" w:ascii="方正黑体_GBK" w:hAnsi="方正黑体_GBK" w:eastAsia="方正黑体_GBK" w:cs="宋体"/>
                <w:b/>
                <w:bCs w:val="0"/>
                <w:i w:val="0"/>
                <w:caps w:val="0"/>
                <w:smallCaps w:val="0"/>
                <w:strike w:val="0"/>
                <w:dstrike w:val="0"/>
                <w:vanish w:val="0"/>
                <w:sz w:val="18"/>
                <w:szCs w:val="18"/>
                <w:lang w:val="en-US" w:eastAsia="zh-CN"/>
              </w:rPr>
              <w:t>/B</w:t>
            </w:r>
            <w:r>
              <w:rPr>
                <w:rFonts w:ascii="方正黑体_GBK" w:hAnsi="方正黑体_GBK" w:eastAsia="方正黑体_GBK" w:cs="宋体"/>
                <w:b/>
                <w:bCs w:val="0"/>
                <w:i w:val="0"/>
                <w:caps w:val="0"/>
                <w:smallCaps w:val="0"/>
                <w:strike w:val="0"/>
                <w:dstrike w:val="0"/>
                <w:vanish w:val="0"/>
                <w:sz w:val="18"/>
                <w:szCs w:val="18"/>
              </w:rPr>
              <w:t>2份额</w:t>
            </w:r>
            <w:r>
              <w:rPr>
                <w:rFonts w:hint="eastAsia" w:ascii="方正黑体_GBK" w:hAnsi="方正黑体_GBK" w:eastAsia="方正黑体_GBK" w:cs="宋体"/>
                <w:b/>
                <w:bCs w:val="0"/>
                <w:i w:val="0"/>
                <w:caps w:val="0"/>
                <w:smallCaps w:val="0"/>
                <w:strike w:val="0"/>
                <w:dstrike w:val="0"/>
                <w:vanish w:val="0"/>
                <w:sz w:val="18"/>
                <w:szCs w:val="18"/>
                <w:lang w:val="en-US" w:eastAsia="zh-CN"/>
              </w:rPr>
              <w:t>/B3</w:t>
            </w:r>
            <w:r>
              <w:rPr>
                <w:rFonts w:ascii="方正黑体_GBK" w:hAnsi="方正黑体_GBK" w:eastAsia="方正黑体_GBK" w:cs="宋体"/>
                <w:b/>
                <w:bCs w:val="0"/>
                <w:i w:val="0"/>
                <w:caps w:val="0"/>
                <w:smallCaps w:val="0"/>
                <w:strike w:val="0"/>
                <w:dstrike w:val="0"/>
                <w:vanish w:val="0"/>
                <w:sz w:val="18"/>
                <w:szCs w:val="18"/>
              </w:rPr>
              <w:t>份额：销售费年化0.2%</w:t>
            </w:r>
          </w:p>
          <w:p w14:paraId="1083C3A8">
            <w:pPr>
              <w:shd w:val="clear" w:color="auto" w:fill="auto"/>
              <w:spacing w:line="200" w:lineRule="exact"/>
              <w:rPr>
                <w:rFonts w:hint="eastAsia" w:ascii="方正黑体_GBK" w:hAnsi="方正黑体_GBK" w:eastAsia="方正黑体_GBK" w:cs="宋体"/>
                <w:b/>
                <w:bCs w:val="0"/>
                <w:i w:val="0"/>
                <w:caps w:val="0"/>
                <w:smallCaps w:val="0"/>
                <w:strike w:val="0"/>
                <w:dstrike w:val="0"/>
                <w:vanish w:val="0"/>
                <w:sz w:val="18"/>
                <w:szCs w:val="18"/>
                <w:lang w:val="en-US" w:eastAsia="zh-CN"/>
              </w:rPr>
            </w:pPr>
            <w:r>
              <w:rPr>
                <w:rFonts w:hint="eastAsia" w:ascii="方正黑体_GBK" w:hAnsi="方正黑体_GBK" w:eastAsia="方正黑体_GBK" w:cs="宋体"/>
                <w:b/>
                <w:bCs w:val="0"/>
                <w:i w:val="0"/>
                <w:caps w:val="0"/>
                <w:smallCaps w:val="0"/>
                <w:strike w:val="0"/>
                <w:dstrike w:val="0"/>
                <w:vanish w:val="0"/>
                <w:sz w:val="18"/>
                <w:szCs w:val="18"/>
                <w:lang w:val="en-US" w:eastAsia="zh-CN"/>
              </w:rPr>
              <w:t>C份额/C2份额/C3份额：销售费年化0.15%</w:t>
            </w:r>
          </w:p>
          <w:p w14:paraId="46F79D87">
            <w:pPr>
              <w:shd w:val="clear" w:color="auto" w:fill="auto"/>
              <w:spacing w:line="200" w:lineRule="exact"/>
              <w:rPr>
                <w:rFonts w:hint="eastAsia" w:ascii="方正黑体_GBK" w:hAnsi="方正黑体_GBK" w:eastAsia="方正黑体_GBK" w:cs="宋体"/>
                <w:b/>
                <w:bCs w:val="0"/>
                <w:i w:val="0"/>
                <w:caps w:val="0"/>
                <w:smallCaps w:val="0"/>
                <w:strike w:val="0"/>
                <w:dstrike w:val="0"/>
                <w:vanish w:val="0"/>
                <w:sz w:val="18"/>
                <w:szCs w:val="18"/>
                <w:lang w:val="en-US" w:eastAsia="zh-CN"/>
              </w:rPr>
            </w:pPr>
            <w:r>
              <w:rPr>
                <w:rFonts w:hint="eastAsia" w:ascii="方正黑体_GBK" w:hAnsi="方正黑体_GBK" w:eastAsia="方正黑体_GBK" w:cs="宋体"/>
                <w:b/>
                <w:bCs w:val="0"/>
                <w:i w:val="0"/>
                <w:caps w:val="0"/>
                <w:smallCaps w:val="0"/>
                <w:strike w:val="0"/>
                <w:dstrike w:val="0"/>
                <w:vanish w:val="0"/>
                <w:sz w:val="18"/>
                <w:szCs w:val="18"/>
                <w:lang w:val="en-US" w:eastAsia="zh-CN"/>
              </w:rPr>
              <w:t>D份额/D2份额/D3份额：销售费年化0.15%</w:t>
            </w:r>
          </w:p>
          <w:p w14:paraId="62DEB835">
            <w:pPr>
              <w:shd w:val="clear" w:color="auto" w:fill="auto"/>
              <w:spacing w:line="200" w:lineRule="exact"/>
              <w:rPr>
                <w:rFonts w:hint="eastAsia" w:ascii="方正黑体_GBK" w:hAnsi="方正黑体_GBK" w:eastAsia="方正黑体_GBK" w:cs="宋体"/>
                <w:b/>
                <w:bCs w:val="0"/>
                <w:i w:val="0"/>
                <w:caps w:val="0"/>
                <w:smallCaps w:val="0"/>
                <w:strike w:val="0"/>
                <w:dstrike w:val="0"/>
                <w:vanish w:val="0"/>
                <w:sz w:val="18"/>
                <w:szCs w:val="18"/>
                <w:lang w:val="en-US" w:eastAsia="zh-CN"/>
              </w:rPr>
            </w:pPr>
            <w:r>
              <w:rPr>
                <w:rFonts w:hint="eastAsia" w:ascii="方正黑体_GBK" w:hAnsi="方正黑体_GBK" w:eastAsia="方正黑体_GBK" w:cs="宋体"/>
                <w:b/>
                <w:bCs w:val="0"/>
                <w:i w:val="0"/>
                <w:caps w:val="0"/>
                <w:smallCaps w:val="0"/>
                <w:strike w:val="0"/>
                <w:dstrike w:val="0"/>
                <w:vanish w:val="0"/>
                <w:sz w:val="18"/>
                <w:szCs w:val="18"/>
                <w:lang w:val="en-US" w:eastAsia="zh-CN"/>
              </w:rPr>
              <w:t>E份额/E2份额/E3份额：销售费年化0.05%</w:t>
            </w:r>
          </w:p>
          <w:p w14:paraId="6A5BB1CD">
            <w:pPr>
              <w:shd w:val="clear" w:color="auto" w:fill="auto"/>
              <w:spacing w:line="200" w:lineRule="exact"/>
              <w:rPr>
                <w:rFonts w:hint="eastAsia" w:ascii="方正黑体_GBK" w:hAnsi="方正黑体_GBK" w:eastAsia="方正黑体_GBK" w:cs="宋体"/>
                <w:b/>
                <w:bCs w:val="0"/>
                <w:i w:val="0"/>
                <w:caps w:val="0"/>
                <w:smallCaps w:val="0"/>
                <w:strike w:val="0"/>
                <w:dstrike w:val="0"/>
                <w:vanish w:val="0"/>
                <w:sz w:val="18"/>
                <w:szCs w:val="18"/>
                <w:lang w:val="en-US" w:eastAsia="zh-CN"/>
              </w:rPr>
            </w:pPr>
            <w:r>
              <w:rPr>
                <w:rFonts w:hint="eastAsia" w:ascii="方正黑体_GBK" w:hAnsi="方正黑体_GBK" w:eastAsia="方正黑体_GBK" w:cs="宋体"/>
                <w:b/>
                <w:bCs w:val="0"/>
                <w:i w:val="0"/>
                <w:caps w:val="0"/>
                <w:smallCaps w:val="0"/>
                <w:strike w:val="0"/>
                <w:dstrike w:val="0"/>
                <w:vanish w:val="0"/>
                <w:sz w:val="18"/>
                <w:szCs w:val="18"/>
                <w:lang w:val="en-US" w:eastAsia="zh-CN"/>
              </w:rPr>
              <w:t>F份额/F2份额/F3份额：销售费年化0.2%</w:t>
            </w:r>
          </w:p>
          <w:p w14:paraId="6D69E1E8">
            <w:pPr>
              <w:shd w:val="clear" w:color="auto" w:fill="auto"/>
              <w:spacing w:line="200" w:lineRule="exact"/>
              <w:rPr>
                <w:rFonts w:hint="eastAsia" w:ascii="方正黑体_GBK" w:hAnsi="方正黑体_GBK" w:eastAsia="方正黑体_GBK" w:cs="宋体"/>
                <w:b/>
                <w:bCs w:val="0"/>
                <w:i w:val="0"/>
                <w:caps w:val="0"/>
                <w:smallCaps w:val="0"/>
                <w:strike w:val="0"/>
                <w:dstrike w:val="0"/>
                <w:vanish w:val="0"/>
                <w:sz w:val="18"/>
                <w:szCs w:val="18"/>
                <w:lang w:val="en-US" w:eastAsia="zh-CN"/>
              </w:rPr>
            </w:pPr>
            <w:r>
              <w:rPr>
                <w:rFonts w:hint="eastAsia" w:ascii="方正黑体_GBK" w:hAnsi="方正黑体_GBK" w:eastAsia="方正黑体_GBK" w:cs="宋体"/>
                <w:b/>
                <w:bCs w:val="0"/>
                <w:i w:val="0"/>
                <w:caps w:val="0"/>
                <w:smallCaps w:val="0"/>
                <w:strike w:val="0"/>
                <w:dstrike w:val="0"/>
                <w:vanish w:val="0"/>
                <w:sz w:val="18"/>
                <w:szCs w:val="18"/>
                <w:lang w:val="en-US" w:eastAsia="zh-CN"/>
              </w:rPr>
              <w:t>G2份额：销售费年化0.15%</w:t>
            </w:r>
          </w:p>
          <w:p w14:paraId="101DC94C">
            <w:pPr>
              <w:shd w:val="clear" w:color="auto" w:fill="auto"/>
              <w:spacing w:line="200" w:lineRule="exact"/>
              <w:rPr>
                <w:rFonts w:hint="eastAsia" w:ascii="方正黑体_GBK" w:hAnsi="方正黑体_GBK" w:eastAsia="方正黑体_GBK" w:cs="宋体"/>
                <w:b/>
                <w:bCs w:val="0"/>
                <w:i w:val="0"/>
                <w:caps w:val="0"/>
                <w:smallCaps w:val="0"/>
                <w:strike w:val="0"/>
                <w:dstrike w:val="0"/>
                <w:vanish w:val="0"/>
                <w:sz w:val="18"/>
                <w:szCs w:val="18"/>
                <w:lang w:val="en-US" w:eastAsia="zh-CN"/>
              </w:rPr>
            </w:pPr>
            <w:r>
              <w:rPr>
                <w:rFonts w:hint="eastAsia" w:ascii="方正黑体_GBK" w:hAnsi="方正黑体_GBK" w:eastAsia="方正黑体_GBK" w:cs="宋体"/>
                <w:b/>
                <w:bCs w:val="0"/>
                <w:i w:val="0"/>
                <w:caps w:val="0"/>
                <w:smallCaps w:val="0"/>
                <w:strike w:val="0"/>
                <w:dstrike w:val="0"/>
                <w:vanish w:val="0"/>
                <w:sz w:val="18"/>
                <w:szCs w:val="18"/>
                <w:lang w:val="en-US" w:eastAsia="zh-CN"/>
              </w:rPr>
              <w:t>每日计提的销售费=前一日理财产品资产净值×年化销售费率÷365</w:t>
            </w:r>
          </w:p>
          <w:p w14:paraId="1172972E">
            <w:pPr>
              <w:shd w:val="clear" w:color="auto" w:fill="auto"/>
              <w:spacing w:line="200" w:lineRule="exact"/>
              <w:rPr>
                <w:rFonts w:hint="eastAsia" w:ascii="方正黑体_GBK" w:hAnsi="方正黑体_GBK" w:eastAsia="方正黑体_GBK" w:cs="宋体"/>
                <w:b/>
                <w:bCs w:val="0"/>
                <w:i w:val="0"/>
                <w:caps w:val="0"/>
                <w:smallCaps w:val="0"/>
                <w:strike w:val="0"/>
                <w:dstrike w:val="0"/>
                <w:vanish w:val="0"/>
                <w:sz w:val="18"/>
                <w:szCs w:val="18"/>
                <w:lang w:val="en-US" w:eastAsia="zh-CN"/>
              </w:rPr>
            </w:pPr>
            <w:r>
              <w:rPr>
                <w:rFonts w:hint="eastAsia" w:ascii="方正黑体_GBK" w:hAnsi="方正黑体_GBK" w:eastAsia="方正黑体_GBK" w:cs="宋体"/>
                <w:b/>
                <w:bCs w:val="0"/>
                <w:i w:val="0"/>
                <w:caps w:val="0"/>
                <w:smallCaps w:val="0"/>
                <w:strike w:val="0"/>
                <w:dstrike w:val="0"/>
                <w:vanish w:val="0"/>
                <w:sz w:val="18"/>
                <w:szCs w:val="18"/>
                <w:lang w:val="en-US" w:eastAsia="zh-CN"/>
              </w:rPr>
              <w:t>固定管理费：本理财产品按前一日理财产品资产净值收取固定管理费，按日计提。</w:t>
            </w:r>
          </w:p>
          <w:p w14:paraId="6E217135">
            <w:pPr>
              <w:shd w:val="clear" w:color="auto" w:fill="auto"/>
              <w:spacing w:line="200" w:lineRule="exact"/>
              <w:rPr>
                <w:rFonts w:hint="eastAsia" w:ascii="方正黑体_GBK" w:hAnsi="方正黑体_GBK" w:eastAsia="方正黑体_GBK" w:cs="宋体"/>
                <w:b/>
                <w:bCs w:val="0"/>
                <w:i w:val="0"/>
                <w:caps w:val="0"/>
                <w:smallCaps w:val="0"/>
                <w:strike w:val="0"/>
                <w:dstrike w:val="0"/>
                <w:vanish w:val="0"/>
                <w:sz w:val="18"/>
                <w:szCs w:val="18"/>
                <w:lang w:val="en-US" w:eastAsia="zh-CN"/>
              </w:rPr>
            </w:pPr>
            <w:r>
              <w:rPr>
                <w:rFonts w:hint="eastAsia" w:ascii="方正黑体_GBK" w:hAnsi="方正黑体_GBK" w:eastAsia="方正黑体_GBK" w:cs="宋体"/>
                <w:b/>
                <w:bCs w:val="0"/>
                <w:i w:val="0"/>
                <w:caps w:val="0"/>
                <w:smallCaps w:val="0"/>
                <w:strike w:val="0"/>
                <w:dstrike w:val="0"/>
                <w:vanish w:val="0"/>
                <w:sz w:val="18"/>
                <w:szCs w:val="18"/>
                <w:lang w:val="en-US" w:eastAsia="zh-CN"/>
              </w:rPr>
              <w:t>A份额/A2份额/A3份额：固定管理费年化0.35%</w:t>
            </w:r>
          </w:p>
          <w:p w14:paraId="3B36EF3B">
            <w:pPr>
              <w:shd w:val="clear" w:color="auto" w:fill="auto"/>
              <w:spacing w:line="200" w:lineRule="exact"/>
              <w:rPr>
                <w:rFonts w:hint="eastAsia" w:ascii="方正黑体_GBK" w:hAnsi="方正黑体_GBK" w:eastAsia="方正黑体_GBK" w:cs="宋体"/>
                <w:b/>
                <w:bCs w:val="0"/>
                <w:i w:val="0"/>
                <w:caps w:val="0"/>
                <w:smallCaps w:val="0"/>
                <w:strike w:val="0"/>
                <w:dstrike w:val="0"/>
                <w:vanish w:val="0"/>
                <w:sz w:val="18"/>
                <w:szCs w:val="18"/>
                <w:lang w:val="en-US" w:eastAsia="zh-CN"/>
              </w:rPr>
            </w:pPr>
            <w:r>
              <w:rPr>
                <w:rFonts w:hint="eastAsia" w:ascii="方正黑体_GBK" w:hAnsi="方正黑体_GBK" w:eastAsia="方正黑体_GBK" w:cs="宋体"/>
                <w:b/>
                <w:bCs w:val="0"/>
                <w:i w:val="0"/>
                <w:caps w:val="0"/>
                <w:smallCaps w:val="0"/>
                <w:strike w:val="0"/>
                <w:dstrike w:val="0"/>
                <w:vanish w:val="0"/>
                <w:sz w:val="18"/>
                <w:szCs w:val="18"/>
                <w:lang w:val="en-US" w:eastAsia="zh-CN"/>
              </w:rPr>
              <w:t>B份额/B2份额/B3份额：固定管理费年化0.35%</w:t>
            </w:r>
          </w:p>
          <w:p w14:paraId="778AED3C">
            <w:pPr>
              <w:shd w:val="clear" w:color="auto" w:fill="auto"/>
              <w:spacing w:line="200" w:lineRule="exact"/>
              <w:rPr>
                <w:rFonts w:hint="eastAsia" w:ascii="方正黑体_GBK" w:hAnsi="方正黑体_GBK" w:eastAsia="方正黑体_GBK" w:cs="宋体"/>
                <w:b/>
                <w:bCs w:val="0"/>
                <w:i w:val="0"/>
                <w:caps w:val="0"/>
                <w:smallCaps w:val="0"/>
                <w:strike w:val="0"/>
                <w:dstrike w:val="0"/>
                <w:vanish w:val="0"/>
                <w:sz w:val="18"/>
                <w:szCs w:val="18"/>
                <w:lang w:val="en-US" w:eastAsia="zh-CN"/>
              </w:rPr>
            </w:pPr>
            <w:r>
              <w:rPr>
                <w:rFonts w:hint="eastAsia" w:ascii="方正黑体_GBK" w:hAnsi="方正黑体_GBK" w:eastAsia="方正黑体_GBK" w:cs="宋体"/>
                <w:b/>
                <w:bCs w:val="0"/>
                <w:i w:val="0"/>
                <w:caps w:val="0"/>
                <w:smallCaps w:val="0"/>
                <w:strike w:val="0"/>
                <w:dstrike w:val="0"/>
                <w:vanish w:val="0"/>
                <w:sz w:val="18"/>
                <w:szCs w:val="18"/>
                <w:lang w:val="en-US" w:eastAsia="zh-CN"/>
              </w:rPr>
              <w:t>C份额/C2份额/C3份额：固定管理费年化0.35%</w:t>
            </w:r>
          </w:p>
          <w:p w14:paraId="2424C715">
            <w:pPr>
              <w:shd w:val="clear" w:color="auto" w:fill="auto"/>
              <w:spacing w:line="200" w:lineRule="exact"/>
              <w:rPr>
                <w:rFonts w:hint="eastAsia" w:ascii="方正黑体_GBK" w:hAnsi="方正黑体_GBK" w:eastAsia="方正黑体_GBK" w:cs="宋体"/>
                <w:b/>
                <w:bCs w:val="0"/>
                <w:i w:val="0"/>
                <w:caps w:val="0"/>
                <w:smallCaps w:val="0"/>
                <w:strike w:val="0"/>
                <w:dstrike w:val="0"/>
                <w:vanish w:val="0"/>
                <w:sz w:val="18"/>
                <w:szCs w:val="18"/>
                <w:lang w:val="en-US" w:eastAsia="zh-CN"/>
              </w:rPr>
            </w:pPr>
            <w:r>
              <w:rPr>
                <w:rFonts w:hint="eastAsia" w:ascii="方正黑体_GBK" w:hAnsi="方正黑体_GBK" w:eastAsia="方正黑体_GBK" w:cs="宋体"/>
                <w:b/>
                <w:bCs w:val="0"/>
                <w:i w:val="0"/>
                <w:caps w:val="0"/>
                <w:smallCaps w:val="0"/>
                <w:strike w:val="0"/>
                <w:dstrike w:val="0"/>
                <w:vanish w:val="0"/>
                <w:sz w:val="18"/>
                <w:szCs w:val="18"/>
                <w:lang w:val="en-US" w:eastAsia="zh-CN"/>
              </w:rPr>
              <w:t>D份额/D2份额/D3份额：固定管理费年化0.3%</w:t>
            </w:r>
          </w:p>
          <w:p w14:paraId="1FE8991B">
            <w:pPr>
              <w:shd w:val="clear" w:color="auto" w:fill="auto"/>
              <w:spacing w:line="200" w:lineRule="exact"/>
              <w:rPr>
                <w:rFonts w:hint="eastAsia" w:ascii="方正黑体_GBK" w:hAnsi="方正黑体_GBK" w:eastAsia="方正黑体_GBK" w:cs="宋体"/>
                <w:b/>
                <w:bCs w:val="0"/>
                <w:i w:val="0"/>
                <w:caps w:val="0"/>
                <w:smallCaps w:val="0"/>
                <w:strike w:val="0"/>
                <w:dstrike w:val="0"/>
                <w:vanish w:val="0"/>
                <w:sz w:val="18"/>
                <w:szCs w:val="18"/>
                <w:lang w:val="en-US" w:eastAsia="zh-CN"/>
              </w:rPr>
            </w:pPr>
            <w:r>
              <w:rPr>
                <w:rFonts w:hint="eastAsia" w:ascii="方正黑体_GBK" w:hAnsi="方正黑体_GBK" w:eastAsia="方正黑体_GBK" w:cs="宋体"/>
                <w:b/>
                <w:bCs w:val="0"/>
                <w:i w:val="0"/>
                <w:caps w:val="0"/>
                <w:smallCaps w:val="0"/>
                <w:strike w:val="0"/>
                <w:dstrike w:val="0"/>
                <w:vanish w:val="0"/>
                <w:sz w:val="18"/>
                <w:szCs w:val="18"/>
                <w:lang w:val="en-US" w:eastAsia="zh-CN"/>
              </w:rPr>
              <w:t>E份额/E2份额/E3份额：固定管理费年化0.3%</w:t>
            </w:r>
          </w:p>
          <w:p w14:paraId="647D086E">
            <w:pPr>
              <w:shd w:val="clear" w:color="auto" w:fill="auto"/>
              <w:spacing w:line="200" w:lineRule="exact"/>
              <w:rPr>
                <w:rFonts w:hint="eastAsia" w:ascii="方正黑体_GBK" w:hAnsi="方正黑体_GBK" w:eastAsia="方正黑体_GBK" w:cs="宋体"/>
                <w:b/>
                <w:bCs w:val="0"/>
                <w:i w:val="0"/>
                <w:caps w:val="0"/>
                <w:smallCaps w:val="0"/>
                <w:strike w:val="0"/>
                <w:dstrike w:val="0"/>
                <w:vanish w:val="0"/>
                <w:sz w:val="18"/>
                <w:szCs w:val="18"/>
                <w:lang w:val="en-US" w:eastAsia="zh-CN"/>
              </w:rPr>
            </w:pPr>
            <w:r>
              <w:rPr>
                <w:rFonts w:hint="eastAsia" w:ascii="方正黑体_GBK" w:hAnsi="方正黑体_GBK" w:eastAsia="方正黑体_GBK" w:cs="宋体"/>
                <w:b/>
                <w:bCs w:val="0"/>
                <w:i w:val="0"/>
                <w:caps w:val="0"/>
                <w:smallCaps w:val="0"/>
                <w:strike w:val="0"/>
                <w:dstrike w:val="0"/>
                <w:vanish w:val="0"/>
                <w:sz w:val="18"/>
                <w:szCs w:val="18"/>
                <w:lang w:val="en-US" w:eastAsia="zh-CN"/>
              </w:rPr>
              <w:t>F份额/F2份额/F3份额：固定管理费年化0.3%</w:t>
            </w:r>
          </w:p>
          <w:p w14:paraId="6E80ED1D">
            <w:pPr>
              <w:shd w:val="clear" w:color="auto" w:fill="auto"/>
              <w:spacing w:line="200" w:lineRule="exact"/>
              <w:rPr>
                <w:rFonts w:hint="eastAsia" w:ascii="方正黑体_GBK" w:hAnsi="方正黑体_GBK" w:eastAsia="方正黑体_GBK" w:cs="宋体"/>
                <w:b/>
                <w:bCs w:val="0"/>
                <w:i w:val="0"/>
                <w:caps w:val="0"/>
                <w:smallCaps w:val="0"/>
                <w:strike w:val="0"/>
                <w:dstrike w:val="0"/>
                <w:vanish w:val="0"/>
                <w:sz w:val="18"/>
                <w:szCs w:val="18"/>
                <w:lang w:val="en-US" w:eastAsia="zh-CN"/>
              </w:rPr>
            </w:pPr>
            <w:r>
              <w:rPr>
                <w:rFonts w:hint="eastAsia" w:ascii="方正黑体_GBK" w:hAnsi="方正黑体_GBK" w:eastAsia="方正黑体_GBK" w:cs="宋体"/>
                <w:b/>
                <w:bCs w:val="0"/>
                <w:i w:val="0"/>
                <w:caps w:val="0"/>
                <w:smallCaps w:val="0"/>
                <w:strike w:val="0"/>
                <w:dstrike w:val="0"/>
                <w:vanish w:val="0"/>
                <w:sz w:val="18"/>
                <w:szCs w:val="18"/>
                <w:lang w:val="en-US" w:eastAsia="zh-CN"/>
              </w:rPr>
              <w:t>G2份额：固定管理费年化0.3%</w:t>
            </w:r>
          </w:p>
          <w:p w14:paraId="1240861B">
            <w:pPr>
              <w:shd w:val="clear" w:color="auto" w:fill="auto"/>
              <w:spacing w:line="200" w:lineRule="exact"/>
              <w:rPr>
                <w:rFonts w:hint="eastAsia" w:ascii="方正黑体_GBK" w:hAnsi="方正黑体_GBK" w:eastAsia="方正黑体_GBK" w:cs="宋体"/>
                <w:b/>
                <w:bCs w:val="0"/>
                <w:i w:val="0"/>
                <w:caps w:val="0"/>
                <w:smallCaps w:val="0"/>
                <w:strike w:val="0"/>
                <w:dstrike w:val="0"/>
                <w:vanish w:val="0"/>
                <w:sz w:val="18"/>
                <w:szCs w:val="18"/>
                <w:lang w:val="en-US" w:eastAsia="zh-CN"/>
              </w:rPr>
            </w:pPr>
            <w:r>
              <w:rPr>
                <w:rFonts w:hint="eastAsia" w:ascii="方正黑体_GBK" w:hAnsi="方正黑体_GBK" w:eastAsia="方正黑体_GBK" w:cs="宋体"/>
                <w:b/>
                <w:bCs w:val="0"/>
                <w:i w:val="0"/>
                <w:caps w:val="0"/>
                <w:smallCaps w:val="0"/>
                <w:strike w:val="0"/>
                <w:dstrike w:val="0"/>
                <w:vanish w:val="0"/>
                <w:sz w:val="18"/>
                <w:szCs w:val="18"/>
                <w:lang w:val="en-US" w:eastAsia="zh-CN"/>
              </w:rPr>
              <w:t>每日计提的固定管理费=前一日理财产品资产净值×年化固定管理费率÷365</w:t>
            </w:r>
          </w:p>
          <w:p w14:paraId="60EE492C">
            <w:pPr>
              <w:shd w:val="clear" w:color="auto" w:fill="auto"/>
              <w:spacing w:line="200" w:lineRule="exact"/>
              <w:rPr>
                <w:rFonts w:ascii="方正黑体_GBK" w:hAnsi="方正黑体_GBK" w:eastAsia="方正黑体_GBK" w:cs="宋体"/>
                <w:b/>
                <w:bCs w:val="0"/>
                <w:i w:val="0"/>
                <w:caps w:val="0"/>
                <w:smallCaps w:val="0"/>
                <w:strike w:val="0"/>
                <w:dstrike w:val="0"/>
                <w:vanish w:val="0"/>
                <w:sz w:val="18"/>
                <w:szCs w:val="18"/>
              </w:rPr>
            </w:pPr>
            <w:r>
              <w:rPr>
                <w:rFonts w:ascii="方正黑体_GBK" w:hAnsi="方正黑体_GBK" w:eastAsia="方正黑体_GBK" w:cs="宋体"/>
                <w:b/>
                <w:bCs w:val="0"/>
                <w:i w:val="0"/>
                <w:caps w:val="0"/>
                <w:smallCaps w:val="0"/>
                <w:strike w:val="0"/>
                <w:dstrike w:val="0"/>
                <w:vanish w:val="0"/>
                <w:sz w:val="18"/>
                <w:szCs w:val="18"/>
              </w:rPr>
              <w:t>托管费：</w:t>
            </w:r>
          </w:p>
          <w:p w14:paraId="2F58ADC6">
            <w:pPr>
              <w:shd w:val="clear" w:color="auto" w:fill="auto"/>
              <w:spacing w:line="200" w:lineRule="exact"/>
              <w:rPr>
                <w:rFonts w:ascii="方正黑体_GBK" w:hAnsi="方正黑体_GBK" w:eastAsia="方正黑体_GBK" w:cs="宋体"/>
                <w:b/>
                <w:bCs w:val="0"/>
                <w:i w:val="0"/>
                <w:caps w:val="0"/>
                <w:smallCaps w:val="0"/>
                <w:strike w:val="0"/>
                <w:dstrike w:val="0"/>
                <w:vanish w:val="0"/>
                <w:sz w:val="18"/>
                <w:szCs w:val="18"/>
              </w:rPr>
            </w:pPr>
            <w:r>
              <w:rPr>
                <w:rFonts w:ascii="方正黑体_GBK" w:hAnsi="方正黑体_GBK" w:eastAsia="方正黑体_GBK" w:cs="宋体"/>
                <w:b/>
                <w:bCs w:val="0"/>
                <w:i w:val="0"/>
                <w:caps w:val="0"/>
                <w:smallCaps w:val="0"/>
                <w:strike w:val="0"/>
                <w:dstrike w:val="0"/>
                <w:vanish w:val="0"/>
                <w:sz w:val="18"/>
                <w:szCs w:val="18"/>
              </w:rPr>
              <w:t>本理财产品按前一日理财产品资产净值收取年化0.02%的托管费，按日计提。</w:t>
            </w:r>
          </w:p>
          <w:p w14:paraId="3C0A3B3C">
            <w:pPr>
              <w:shd w:val="clear" w:color="auto" w:fill="auto"/>
              <w:spacing w:line="200" w:lineRule="exact"/>
              <w:rPr>
                <w:rFonts w:ascii="方正黑体_GBK" w:hAnsi="方正黑体_GBK" w:eastAsia="方正黑体_GBK" w:cs="宋体"/>
                <w:b/>
                <w:bCs w:val="0"/>
                <w:i w:val="0"/>
                <w:caps w:val="0"/>
                <w:smallCaps w:val="0"/>
                <w:strike w:val="0"/>
                <w:dstrike w:val="0"/>
                <w:vanish w:val="0"/>
                <w:sz w:val="18"/>
                <w:szCs w:val="18"/>
              </w:rPr>
            </w:pPr>
            <w:r>
              <w:rPr>
                <w:rFonts w:ascii="方正黑体_GBK" w:hAnsi="方正黑体_GBK" w:eastAsia="方正黑体_GBK" w:cs="宋体"/>
                <w:b/>
                <w:bCs w:val="0"/>
                <w:i w:val="0"/>
                <w:caps w:val="0"/>
                <w:smallCaps w:val="0"/>
                <w:strike w:val="0"/>
                <w:dstrike w:val="0"/>
                <w:vanish w:val="0"/>
                <w:sz w:val="18"/>
                <w:szCs w:val="18"/>
              </w:rPr>
              <w:t>每日计提的托管费=前一日理财产品资产净值×年化托管费率÷365</w:t>
            </w:r>
          </w:p>
          <w:p w14:paraId="4515E894">
            <w:pPr>
              <w:shd w:val="clear" w:color="auto" w:fill="auto"/>
              <w:spacing w:line="200" w:lineRule="exact"/>
              <w:rPr>
                <w:rFonts w:ascii="方正黑体_GBK" w:hAnsi="方正黑体_GBK" w:eastAsia="方正黑体_GBK" w:cs="宋体"/>
                <w:b/>
                <w:bCs w:val="0"/>
                <w:i w:val="0"/>
                <w:caps w:val="0"/>
                <w:smallCaps w:val="0"/>
                <w:strike w:val="0"/>
                <w:dstrike w:val="0"/>
                <w:vanish w:val="0"/>
                <w:sz w:val="18"/>
                <w:szCs w:val="18"/>
              </w:rPr>
            </w:pPr>
            <w:r>
              <w:rPr>
                <w:rFonts w:ascii="方正黑体_GBK" w:hAnsi="方正黑体_GBK" w:eastAsia="方正黑体_GBK" w:cs="宋体"/>
                <w:b/>
                <w:bCs w:val="0"/>
                <w:i w:val="0"/>
                <w:caps w:val="0"/>
                <w:smallCaps w:val="0"/>
                <w:strike w:val="0"/>
                <w:dstrike w:val="0"/>
                <w:vanish w:val="0"/>
                <w:sz w:val="18"/>
                <w:szCs w:val="18"/>
              </w:rPr>
              <w:t>业绩报酬：</w:t>
            </w:r>
          </w:p>
          <w:p w14:paraId="585955AC">
            <w:pPr>
              <w:shd w:val="clear" w:color="auto" w:fill="auto"/>
              <w:spacing w:line="200" w:lineRule="exact"/>
              <w:rPr>
                <w:rFonts w:ascii="方正黑体_GBK" w:hAnsi="方正黑体_GBK" w:eastAsia="方正黑体_GBK" w:cs="宋体"/>
                <w:b/>
                <w:bCs w:val="0"/>
                <w:i w:val="0"/>
                <w:caps w:val="0"/>
                <w:smallCaps w:val="0"/>
                <w:strike w:val="0"/>
                <w:dstrike w:val="0"/>
                <w:vanish w:val="0"/>
                <w:sz w:val="18"/>
                <w:szCs w:val="18"/>
              </w:rPr>
            </w:pPr>
            <w:r>
              <w:rPr>
                <w:rFonts w:ascii="方正黑体_GBK" w:hAnsi="方正黑体_GBK" w:eastAsia="方正黑体_GBK" w:cs="宋体"/>
                <w:b/>
                <w:bCs w:val="0"/>
                <w:i w:val="0"/>
                <w:caps w:val="0"/>
                <w:smallCaps w:val="0"/>
                <w:strike w:val="0"/>
                <w:dstrike w:val="0"/>
                <w:vanish w:val="0"/>
                <w:sz w:val="18"/>
                <w:szCs w:val="18"/>
              </w:rPr>
              <w:t>A份额</w:t>
            </w:r>
            <w:r>
              <w:rPr>
                <w:rFonts w:hint="eastAsia" w:ascii="方正黑体_GBK" w:hAnsi="方正黑体_GBK" w:eastAsia="方正黑体_GBK" w:cs="宋体"/>
                <w:b/>
                <w:bCs w:val="0"/>
                <w:i w:val="0"/>
                <w:caps w:val="0"/>
                <w:smallCaps w:val="0"/>
                <w:strike w:val="0"/>
                <w:dstrike w:val="0"/>
                <w:vanish w:val="0"/>
                <w:sz w:val="18"/>
                <w:szCs w:val="18"/>
                <w:lang w:val="en-US" w:eastAsia="zh-CN"/>
              </w:rPr>
              <w:t>/</w:t>
            </w:r>
            <w:r>
              <w:rPr>
                <w:rFonts w:ascii="方正黑体_GBK" w:hAnsi="方正黑体_GBK" w:eastAsia="方正黑体_GBK" w:cs="宋体"/>
                <w:b/>
                <w:bCs w:val="0"/>
                <w:i w:val="0"/>
                <w:caps w:val="0"/>
                <w:smallCaps w:val="0"/>
                <w:strike w:val="0"/>
                <w:dstrike w:val="0"/>
                <w:vanish w:val="0"/>
                <w:sz w:val="18"/>
                <w:szCs w:val="18"/>
              </w:rPr>
              <w:t>A2份额</w:t>
            </w:r>
            <w:r>
              <w:rPr>
                <w:rFonts w:hint="eastAsia" w:ascii="方正黑体_GBK" w:hAnsi="方正黑体_GBK" w:eastAsia="方正黑体_GBK" w:cs="宋体"/>
                <w:b/>
                <w:bCs w:val="0"/>
                <w:i w:val="0"/>
                <w:caps w:val="0"/>
                <w:smallCaps w:val="0"/>
                <w:strike w:val="0"/>
                <w:dstrike w:val="0"/>
                <w:vanish w:val="0"/>
                <w:sz w:val="18"/>
                <w:szCs w:val="18"/>
                <w:lang w:val="en-US" w:eastAsia="zh-CN"/>
              </w:rPr>
              <w:t>/</w:t>
            </w:r>
            <w:r>
              <w:rPr>
                <w:rFonts w:ascii="方正黑体_GBK" w:hAnsi="方正黑体_GBK" w:eastAsia="方正黑体_GBK" w:cs="宋体"/>
                <w:b/>
                <w:bCs w:val="0"/>
                <w:i w:val="0"/>
                <w:caps w:val="0"/>
                <w:smallCaps w:val="0"/>
                <w:strike w:val="0"/>
                <w:dstrike w:val="0"/>
                <w:vanish w:val="0"/>
                <w:sz w:val="18"/>
                <w:szCs w:val="18"/>
              </w:rPr>
              <w:t>A</w:t>
            </w:r>
            <w:r>
              <w:rPr>
                <w:rFonts w:hint="eastAsia" w:ascii="方正黑体_GBK" w:hAnsi="方正黑体_GBK" w:eastAsia="方正黑体_GBK" w:cs="宋体"/>
                <w:b/>
                <w:bCs w:val="0"/>
                <w:i w:val="0"/>
                <w:caps w:val="0"/>
                <w:smallCaps w:val="0"/>
                <w:strike w:val="0"/>
                <w:dstrike w:val="0"/>
                <w:vanish w:val="0"/>
                <w:sz w:val="18"/>
                <w:szCs w:val="18"/>
                <w:lang w:val="en-US" w:eastAsia="zh-CN"/>
              </w:rPr>
              <w:t>3</w:t>
            </w:r>
            <w:r>
              <w:rPr>
                <w:rFonts w:ascii="方正黑体_GBK" w:hAnsi="方正黑体_GBK" w:eastAsia="方正黑体_GBK" w:cs="宋体"/>
                <w:b/>
                <w:bCs w:val="0"/>
                <w:i w:val="0"/>
                <w:caps w:val="0"/>
                <w:smallCaps w:val="0"/>
                <w:strike w:val="0"/>
                <w:dstrike w:val="0"/>
                <w:vanish w:val="0"/>
                <w:sz w:val="18"/>
                <w:szCs w:val="18"/>
              </w:rPr>
              <w:t>份额：申购/赎回确认日和产品实际到期时，当期产品投资的实际资产组合收益（扣除销售费、固定管理费、托管费等相关费用）超过3.3</w:t>
            </w:r>
            <w:r>
              <w:rPr>
                <w:rFonts w:hint="eastAsia" w:ascii="方正黑体_GBK" w:hAnsi="方正黑体_GBK" w:eastAsia="方正黑体_GBK" w:cs="宋体"/>
                <w:b/>
                <w:bCs w:val="0"/>
                <w:i w:val="0"/>
                <w:caps w:val="0"/>
                <w:smallCaps w:val="0"/>
                <w:strike w:val="0"/>
                <w:dstrike w:val="0"/>
                <w:vanish w:val="0"/>
                <w:sz w:val="18"/>
                <w:szCs w:val="18"/>
                <w:lang w:val="en-US" w:eastAsia="zh-CN"/>
              </w:rPr>
              <w:t>5</w:t>
            </w:r>
            <w:r>
              <w:rPr>
                <w:rFonts w:ascii="方正黑体_GBK" w:hAnsi="方正黑体_GBK" w:eastAsia="方正黑体_GBK" w:cs="宋体"/>
                <w:b/>
                <w:bCs w:val="0"/>
                <w:i w:val="0"/>
                <w:caps w:val="0"/>
                <w:smallCaps w:val="0"/>
                <w:strike w:val="0"/>
                <w:dstrike w:val="0"/>
                <w:vanish w:val="0"/>
                <w:sz w:val="18"/>
                <w:szCs w:val="18"/>
              </w:rPr>
              <w:t>%（年化，即产品该份额对应的业绩报酬计提基准）时，超过部分管理人将按60%收取业绩报酬。</w:t>
            </w:r>
          </w:p>
          <w:p w14:paraId="18CFA5A2">
            <w:pPr>
              <w:shd w:val="clear" w:color="auto" w:fill="auto"/>
              <w:spacing w:line="200" w:lineRule="exact"/>
              <w:rPr>
                <w:rFonts w:ascii="方正黑体_GBK" w:hAnsi="方正黑体_GBK" w:eastAsia="方正黑体_GBK" w:cs="宋体"/>
                <w:b/>
                <w:bCs w:val="0"/>
                <w:i w:val="0"/>
                <w:caps w:val="0"/>
                <w:smallCaps w:val="0"/>
                <w:strike w:val="0"/>
                <w:dstrike w:val="0"/>
                <w:vanish w:val="0"/>
                <w:sz w:val="18"/>
                <w:szCs w:val="18"/>
              </w:rPr>
            </w:pPr>
            <w:r>
              <w:rPr>
                <w:rFonts w:hint="eastAsia" w:ascii="方正黑体_GBK" w:hAnsi="方正黑体_GBK" w:eastAsia="方正黑体_GBK" w:cs="宋体"/>
                <w:b/>
                <w:bCs w:val="0"/>
                <w:i w:val="0"/>
                <w:caps w:val="0"/>
                <w:smallCaps w:val="0"/>
                <w:strike w:val="0"/>
                <w:dstrike w:val="0"/>
                <w:vanish w:val="0"/>
                <w:sz w:val="18"/>
                <w:szCs w:val="18"/>
                <w:lang w:val="en-US" w:eastAsia="zh-CN"/>
              </w:rPr>
              <w:t>B</w:t>
            </w:r>
            <w:r>
              <w:rPr>
                <w:rFonts w:ascii="方正黑体_GBK" w:hAnsi="方正黑体_GBK" w:eastAsia="方正黑体_GBK" w:cs="宋体"/>
                <w:b/>
                <w:bCs w:val="0"/>
                <w:i w:val="0"/>
                <w:caps w:val="0"/>
                <w:smallCaps w:val="0"/>
                <w:strike w:val="0"/>
                <w:dstrike w:val="0"/>
                <w:vanish w:val="0"/>
                <w:sz w:val="18"/>
                <w:szCs w:val="18"/>
              </w:rPr>
              <w:t>份额</w:t>
            </w:r>
            <w:r>
              <w:rPr>
                <w:rFonts w:hint="eastAsia" w:ascii="方正黑体_GBK" w:hAnsi="方正黑体_GBK" w:eastAsia="方正黑体_GBK" w:cs="宋体"/>
                <w:b/>
                <w:bCs w:val="0"/>
                <w:i w:val="0"/>
                <w:caps w:val="0"/>
                <w:smallCaps w:val="0"/>
                <w:strike w:val="0"/>
                <w:dstrike w:val="0"/>
                <w:vanish w:val="0"/>
                <w:sz w:val="18"/>
                <w:szCs w:val="18"/>
                <w:lang w:val="en-US" w:eastAsia="zh-CN"/>
              </w:rPr>
              <w:t>/B</w:t>
            </w:r>
            <w:r>
              <w:rPr>
                <w:rFonts w:ascii="方正黑体_GBK" w:hAnsi="方正黑体_GBK" w:eastAsia="方正黑体_GBK" w:cs="宋体"/>
                <w:b/>
                <w:bCs w:val="0"/>
                <w:i w:val="0"/>
                <w:caps w:val="0"/>
                <w:smallCaps w:val="0"/>
                <w:strike w:val="0"/>
                <w:dstrike w:val="0"/>
                <w:vanish w:val="0"/>
                <w:sz w:val="18"/>
                <w:szCs w:val="18"/>
              </w:rPr>
              <w:t>2份额</w:t>
            </w:r>
            <w:r>
              <w:rPr>
                <w:rFonts w:hint="eastAsia" w:ascii="方正黑体_GBK" w:hAnsi="方正黑体_GBK" w:eastAsia="方正黑体_GBK" w:cs="宋体"/>
                <w:b/>
                <w:bCs w:val="0"/>
                <w:i w:val="0"/>
                <w:caps w:val="0"/>
                <w:smallCaps w:val="0"/>
                <w:strike w:val="0"/>
                <w:dstrike w:val="0"/>
                <w:vanish w:val="0"/>
                <w:sz w:val="18"/>
                <w:szCs w:val="18"/>
                <w:lang w:val="en-US" w:eastAsia="zh-CN"/>
              </w:rPr>
              <w:t>/B3</w:t>
            </w:r>
            <w:r>
              <w:rPr>
                <w:rFonts w:ascii="方正黑体_GBK" w:hAnsi="方正黑体_GBK" w:eastAsia="方正黑体_GBK" w:cs="宋体"/>
                <w:b/>
                <w:bCs w:val="0"/>
                <w:i w:val="0"/>
                <w:caps w:val="0"/>
                <w:smallCaps w:val="0"/>
                <w:strike w:val="0"/>
                <w:dstrike w:val="0"/>
                <w:vanish w:val="0"/>
                <w:sz w:val="18"/>
                <w:szCs w:val="18"/>
              </w:rPr>
              <w:t>份额：申购/赎回确认日和产品实际到期时，当期产品投资的实际资产组合收益（扣除销售费、固定管理费、托管费等相关费用）超过3.3</w:t>
            </w:r>
            <w:r>
              <w:rPr>
                <w:rFonts w:hint="eastAsia" w:ascii="方正黑体_GBK" w:hAnsi="方正黑体_GBK" w:eastAsia="方正黑体_GBK" w:cs="宋体"/>
                <w:b/>
                <w:bCs w:val="0"/>
                <w:i w:val="0"/>
                <w:caps w:val="0"/>
                <w:smallCaps w:val="0"/>
                <w:strike w:val="0"/>
                <w:dstrike w:val="0"/>
                <w:vanish w:val="0"/>
                <w:sz w:val="18"/>
                <w:szCs w:val="18"/>
                <w:lang w:val="en-US" w:eastAsia="zh-CN"/>
              </w:rPr>
              <w:t>5</w:t>
            </w:r>
            <w:r>
              <w:rPr>
                <w:rFonts w:ascii="方正黑体_GBK" w:hAnsi="方正黑体_GBK" w:eastAsia="方正黑体_GBK" w:cs="宋体"/>
                <w:b/>
                <w:bCs w:val="0"/>
                <w:i w:val="0"/>
                <w:caps w:val="0"/>
                <w:smallCaps w:val="0"/>
                <w:strike w:val="0"/>
                <w:dstrike w:val="0"/>
                <w:vanish w:val="0"/>
                <w:sz w:val="18"/>
                <w:szCs w:val="18"/>
              </w:rPr>
              <w:t>%（年化，即产品该份额对应的业绩报酬计提基准）时，超过部分管理人将按60%收取业绩报酬。</w:t>
            </w:r>
          </w:p>
          <w:p w14:paraId="5EA3D8A0">
            <w:pPr>
              <w:shd w:val="clear" w:color="auto" w:fill="auto"/>
              <w:spacing w:line="200" w:lineRule="exact"/>
              <w:rPr>
                <w:rFonts w:ascii="方正黑体_GBK" w:hAnsi="方正黑体_GBK" w:eastAsia="方正黑体_GBK" w:cs="宋体"/>
                <w:b/>
                <w:bCs w:val="0"/>
                <w:i w:val="0"/>
                <w:caps w:val="0"/>
                <w:smallCaps w:val="0"/>
                <w:strike w:val="0"/>
                <w:dstrike w:val="0"/>
                <w:vanish w:val="0"/>
                <w:sz w:val="18"/>
                <w:szCs w:val="18"/>
              </w:rPr>
            </w:pPr>
            <w:r>
              <w:rPr>
                <w:rFonts w:hint="eastAsia" w:ascii="方正黑体_GBK" w:hAnsi="方正黑体_GBK" w:eastAsia="方正黑体_GBK" w:cs="宋体"/>
                <w:b/>
                <w:bCs w:val="0"/>
                <w:i w:val="0"/>
                <w:caps w:val="0"/>
                <w:smallCaps w:val="0"/>
                <w:strike w:val="0"/>
                <w:dstrike w:val="0"/>
                <w:vanish w:val="0"/>
                <w:sz w:val="18"/>
                <w:szCs w:val="18"/>
                <w:lang w:val="en-US" w:eastAsia="zh-CN"/>
              </w:rPr>
              <w:t>C</w:t>
            </w:r>
            <w:r>
              <w:rPr>
                <w:rFonts w:ascii="方正黑体_GBK" w:hAnsi="方正黑体_GBK" w:eastAsia="方正黑体_GBK" w:cs="宋体"/>
                <w:b/>
                <w:bCs w:val="0"/>
                <w:i w:val="0"/>
                <w:caps w:val="0"/>
                <w:smallCaps w:val="0"/>
                <w:strike w:val="0"/>
                <w:dstrike w:val="0"/>
                <w:vanish w:val="0"/>
                <w:sz w:val="18"/>
                <w:szCs w:val="18"/>
              </w:rPr>
              <w:t>份额</w:t>
            </w:r>
            <w:r>
              <w:rPr>
                <w:rFonts w:hint="eastAsia" w:ascii="方正黑体_GBK" w:hAnsi="方正黑体_GBK" w:eastAsia="方正黑体_GBK" w:cs="宋体"/>
                <w:b/>
                <w:bCs w:val="0"/>
                <w:i w:val="0"/>
                <w:caps w:val="0"/>
                <w:smallCaps w:val="0"/>
                <w:strike w:val="0"/>
                <w:dstrike w:val="0"/>
                <w:vanish w:val="0"/>
                <w:sz w:val="18"/>
                <w:szCs w:val="18"/>
                <w:lang w:val="en-US" w:eastAsia="zh-CN"/>
              </w:rPr>
              <w:t>/C</w:t>
            </w:r>
            <w:r>
              <w:rPr>
                <w:rFonts w:ascii="方正黑体_GBK" w:hAnsi="方正黑体_GBK" w:eastAsia="方正黑体_GBK" w:cs="宋体"/>
                <w:b/>
                <w:bCs w:val="0"/>
                <w:i w:val="0"/>
                <w:caps w:val="0"/>
                <w:smallCaps w:val="0"/>
                <w:strike w:val="0"/>
                <w:dstrike w:val="0"/>
                <w:vanish w:val="0"/>
                <w:sz w:val="18"/>
                <w:szCs w:val="18"/>
              </w:rPr>
              <w:t>2份额</w:t>
            </w:r>
            <w:r>
              <w:rPr>
                <w:rFonts w:hint="eastAsia" w:ascii="方正黑体_GBK" w:hAnsi="方正黑体_GBK" w:eastAsia="方正黑体_GBK" w:cs="宋体"/>
                <w:b/>
                <w:bCs w:val="0"/>
                <w:i w:val="0"/>
                <w:caps w:val="0"/>
                <w:smallCaps w:val="0"/>
                <w:strike w:val="0"/>
                <w:dstrike w:val="0"/>
                <w:vanish w:val="0"/>
                <w:sz w:val="18"/>
                <w:szCs w:val="18"/>
                <w:lang w:val="en-US" w:eastAsia="zh-CN"/>
              </w:rPr>
              <w:t>/C3</w:t>
            </w:r>
            <w:r>
              <w:rPr>
                <w:rFonts w:ascii="方正黑体_GBK" w:hAnsi="方正黑体_GBK" w:eastAsia="方正黑体_GBK" w:cs="宋体"/>
                <w:b/>
                <w:bCs w:val="0"/>
                <w:i w:val="0"/>
                <w:caps w:val="0"/>
                <w:smallCaps w:val="0"/>
                <w:strike w:val="0"/>
                <w:dstrike w:val="0"/>
                <w:vanish w:val="0"/>
                <w:sz w:val="18"/>
                <w:szCs w:val="18"/>
              </w:rPr>
              <w:t>份额：申购/赎回确认日和产品实际到期时，当期产品投资的实际资产组合收益（扣除销售费、固定管理费、托管费等相关费用）超过3.4%（年化，即产品该份额对应的业绩报酬计提基准）时，超过部分管理人将按60%收取业绩报酬。</w:t>
            </w:r>
          </w:p>
          <w:p w14:paraId="6D587472">
            <w:pPr>
              <w:shd w:val="clear" w:color="auto" w:fill="auto"/>
              <w:spacing w:line="200" w:lineRule="exact"/>
              <w:rPr>
                <w:rFonts w:ascii="方正黑体_GBK" w:hAnsi="方正黑体_GBK" w:eastAsia="方正黑体_GBK" w:cs="宋体"/>
                <w:b/>
                <w:bCs w:val="0"/>
                <w:i w:val="0"/>
                <w:caps w:val="0"/>
                <w:smallCaps w:val="0"/>
                <w:strike w:val="0"/>
                <w:dstrike w:val="0"/>
                <w:vanish w:val="0"/>
                <w:sz w:val="18"/>
                <w:szCs w:val="18"/>
              </w:rPr>
            </w:pPr>
            <w:r>
              <w:rPr>
                <w:rFonts w:hint="eastAsia" w:ascii="方正黑体_GBK" w:hAnsi="方正黑体_GBK" w:eastAsia="方正黑体_GBK" w:cs="宋体"/>
                <w:b/>
                <w:bCs w:val="0"/>
                <w:i w:val="0"/>
                <w:caps w:val="0"/>
                <w:smallCaps w:val="0"/>
                <w:strike w:val="0"/>
                <w:dstrike w:val="0"/>
                <w:vanish w:val="0"/>
                <w:sz w:val="18"/>
                <w:szCs w:val="18"/>
                <w:lang w:val="en-US" w:eastAsia="zh-CN"/>
              </w:rPr>
              <w:t>D</w:t>
            </w:r>
            <w:r>
              <w:rPr>
                <w:rFonts w:ascii="方正黑体_GBK" w:hAnsi="方正黑体_GBK" w:eastAsia="方正黑体_GBK" w:cs="宋体"/>
                <w:b/>
                <w:bCs w:val="0"/>
                <w:i w:val="0"/>
                <w:caps w:val="0"/>
                <w:smallCaps w:val="0"/>
                <w:strike w:val="0"/>
                <w:dstrike w:val="0"/>
                <w:vanish w:val="0"/>
                <w:sz w:val="18"/>
                <w:szCs w:val="18"/>
              </w:rPr>
              <w:t>份额</w:t>
            </w:r>
            <w:r>
              <w:rPr>
                <w:rFonts w:hint="eastAsia" w:ascii="方正黑体_GBK" w:hAnsi="方正黑体_GBK" w:eastAsia="方正黑体_GBK" w:cs="宋体"/>
                <w:b/>
                <w:bCs w:val="0"/>
                <w:i w:val="0"/>
                <w:caps w:val="0"/>
                <w:smallCaps w:val="0"/>
                <w:strike w:val="0"/>
                <w:dstrike w:val="0"/>
                <w:vanish w:val="0"/>
                <w:sz w:val="18"/>
                <w:szCs w:val="18"/>
                <w:lang w:val="en-US" w:eastAsia="zh-CN"/>
              </w:rPr>
              <w:t>/D</w:t>
            </w:r>
            <w:r>
              <w:rPr>
                <w:rFonts w:ascii="方正黑体_GBK" w:hAnsi="方正黑体_GBK" w:eastAsia="方正黑体_GBK" w:cs="宋体"/>
                <w:b/>
                <w:bCs w:val="0"/>
                <w:i w:val="0"/>
                <w:caps w:val="0"/>
                <w:smallCaps w:val="0"/>
                <w:strike w:val="0"/>
                <w:dstrike w:val="0"/>
                <w:vanish w:val="0"/>
                <w:sz w:val="18"/>
                <w:szCs w:val="18"/>
              </w:rPr>
              <w:t>2份额</w:t>
            </w:r>
            <w:r>
              <w:rPr>
                <w:rFonts w:hint="eastAsia" w:ascii="方正黑体_GBK" w:hAnsi="方正黑体_GBK" w:eastAsia="方正黑体_GBK" w:cs="宋体"/>
                <w:b/>
                <w:bCs w:val="0"/>
                <w:i w:val="0"/>
                <w:caps w:val="0"/>
                <w:smallCaps w:val="0"/>
                <w:strike w:val="0"/>
                <w:dstrike w:val="0"/>
                <w:vanish w:val="0"/>
                <w:sz w:val="18"/>
                <w:szCs w:val="18"/>
                <w:lang w:val="en-US" w:eastAsia="zh-CN"/>
              </w:rPr>
              <w:t>/D3</w:t>
            </w:r>
            <w:r>
              <w:rPr>
                <w:rFonts w:ascii="方正黑体_GBK" w:hAnsi="方正黑体_GBK" w:eastAsia="方正黑体_GBK" w:cs="宋体"/>
                <w:b/>
                <w:bCs w:val="0"/>
                <w:i w:val="0"/>
                <w:caps w:val="0"/>
                <w:smallCaps w:val="0"/>
                <w:strike w:val="0"/>
                <w:dstrike w:val="0"/>
                <w:vanish w:val="0"/>
                <w:sz w:val="18"/>
                <w:szCs w:val="18"/>
              </w:rPr>
              <w:t>份额：申购/赎回确认日和产品实际到期时，当期产品投资的实际资产组合收益（扣除销售费、固定管理费、托管费等相关费用）超过3.45%（年化，即产品该份额对应的业绩报酬计提基准）时，超过部分管理人将按60%收取业绩报酬。</w:t>
            </w:r>
          </w:p>
          <w:p w14:paraId="3ECA95ED">
            <w:pPr>
              <w:shd w:val="clear" w:color="auto" w:fill="auto"/>
              <w:spacing w:line="200" w:lineRule="exact"/>
              <w:rPr>
                <w:rFonts w:ascii="方正黑体_GBK" w:hAnsi="方正黑体_GBK" w:eastAsia="方正黑体_GBK" w:cs="宋体"/>
                <w:b/>
                <w:bCs w:val="0"/>
                <w:i w:val="0"/>
                <w:caps w:val="0"/>
                <w:smallCaps w:val="0"/>
                <w:strike w:val="0"/>
                <w:dstrike w:val="0"/>
                <w:vanish w:val="0"/>
                <w:sz w:val="18"/>
                <w:szCs w:val="18"/>
              </w:rPr>
            </w:pPr>
            <w:r>
              <w:rPr>
                <w:rFonts w:hint="eastAsia" w:ascii="方正黑体_GBK" w:hAnsi="方正黑体_GBK" w:eastAsia="方正黑体_GBK" w:cs="宋体"/>
                <w:b/>
                <w:bCs w:val="0"/>
                <w:i w:val="0"/>
                <w:caps w:val="0"/>
                <w:smallCaps w:val="0"/>
                <w:strike w:val="0"/>
                <w:dstrike w:val="0"/>
                <w:vanish w:val="0"/>
                <w:sz w:val="18"/>
                <w:szCs w:val="18"/>
                <w:lang w:val="en-US" w:eastAsia="zh-CN"/>
              </w:rPr>
              <w:t>E</w:t>
            </w:r>
            <w:r>
              <w:rPr>
                <w:rFonts w:ascii="方正黑体_GBK" w:hAnsi="方正黑体_GBK" w:eastAsia="方正黑体_GBK" w:cs="宋体"/>
                <w:b/>
                <w:bCs w:val="0"/>
                <w:i w:val="0"/>
                <w:caps w:val="0"/>
                <w:smallCaps w:val="0"/>
                <w:strike w:val="0"/>
                <w:dstrike w:val="0"/>
                <w:vanish w:val="0"/>
                <w:sz w:val="18"/>
                <w:szCs w:val="18"/>
              </w:rPr>
              <w:t>份额</w:t>
            </w:r>
            <w:r>
              <w:rPr>
                <w:rFonts w:hint="eastAsia" w:ascii="方正黑体_GBK" w:hAnsi="方正黑体_GBK" w:eastAsia="方正黑体_GBK" w:cs="宋体"/>
                <w:b/>
                <w:bCs w:val="0"/>
                <w:i w:val="0"/>
                <w:caps w:val="0"/>
                <w:smallCaps w:val="0"/>
                <w:strike w:val="0"/>
                <w:dstrike w:val="0"/>
                <w:vanish w:val="0"/>
                <w:sz w:val="18"/>
                <w:szCs w:val="18"/>
                <w:lang w:val="en-US" w:eastAsia="zh-CN"/>
              </w:rPr>
              <w:t>/E</w:t>
            </w:r>
            <w:r>
              <w:rPr>
                <w:rFonts w:ascii="方正黑体_GBK" w:hAnsi="方正黑体_GBK" w:eastAsia="方正黑体_GBK" w:cs="宋体"/>
                <w:b/>
                <w:bCs w:val="0"/>
                <w:i w:val="0"/>
                <w:caps w:val="0"/>
                <w:smallCaps w:val="0"/>
                <w:strike w:val="0"/>
                <w:dstrike w:val="0"/>
                <w:vanish w:val="0"/>
                <w:sz w:val="18"/>
                <w:szCs w:val="18"/>
              </w:rPr>
              <w:t>2份额</w:t>
            </w:r>
            <w:r>
              <w:rPr>
                <w:rFonts w:hint="eastAsia" w:ascii="方正黑体_GBK" w:hAnsi="方正黑体_GBK" w:eastAsia="方正黑体_GBK" w:cs="宋体"/>
                <w:b/>
                <w:bCs w:val="0"/>
                <w:i w:val="0"/>
                <w:caps w:val="0"/>
                <w:smallCaps w:val="0"/>
                <w:strike w:val="0"/>
                <w:dstrike w:val="0"/>
                <w:vanish w:val="0"/>
                <w:sz w:val="18"/>
                <w:szCs w:val="18"/>
                <w:lang w:val="en-US" w:eastAsia="zh-CN"/>
              </w:rPr>
              <w:t>/E3</w:t>
            </w:r>
            <w:r>
              <w:rPr>
                <w:rFonts w:ascii="方正黑体_GBK" w:hAnsi="方正黑体_GBK" w:eastAsia="方正黑体_GBK" w:cs="宋体"/>
                <w:b/>
                <w:bCs w:val="0"/>
                <w:i w:val="0"/>
                <w:caps w:val="0"/>
                <w:smallCaps w:val="0"/>
                <w:strike w:val="0"/>
                <w:dstrike w:val="0"/>
                <w:vanish w:val="0"/>
                <w:sz w:val="18"/>
                <w:szCs w:val="18"/>
              </w:rPr>
              <w:t>份额：申购/赎回确认日和产品实际到期时，当期产品投资的实际资产组合收益（扣除销售费、固定管理费、托管费等相关费用）超过3.55%（年化，即产品该份额对应的业绩报酬计提基准）时，超过部分管理人将按60%收取业绩报酬。</w:t>
            </w:r>
          </w:p>
          <w:p w14:paraId="6514ED8E">
            <w:pPr>
              <w:shd w:val="clear" w:color="auto" w:fill="auto"/>
              <w:spacing w:line="200" w:lineRule="exact"/>
              <w:rPr>
                <w:rFonts w:ascii="方正黑体_GBK" w:hAnsi="方正黑体_GBK" w:eastAsia="方正黑体_GBK" w:cs="宋体"/>
                <w:b/>
                <w:bCs w:val="0"/>
                <w:i w:val="0"/>
                <w:caps w:val="0"/>
                <w:smallCaps w:val="0"/>
                <w:strike w:val="0"/>
                <w:dstrike w:val="0"/>
                <w:vanish w:val="0"/>
                <w:sz w:val="18"/>
                <w:szCs w:val="18"/>
              </w:rPr>
            </w:pPr>
            <w:r>
              <w:rPr>
                <w:rFonts w:hint="eastAsia" w:ascii="方正黑体_GBK" w:hAnsi="方正黑体_GBK" w:eastAsia="方正黑体_GBK" w:cs="宋体"/>
                <w:b/>
                <w:bCs w:val="0"/>
                <w:i w:val="0"/>
                <w:caps w:val="0"/>
                <w:smallCaps w:val="0"/>
                <w:strike w:val="0"/>
                <w:dstrike w:val="0"/>
                <w:vanish w:val="0"/>
                <w:sz w:val="18"/>
                <w:szCs w:val="18"/>
                <w:lang w:val="en-US" w:eastAsia="zh-CN"/>
              </w:rPr>
              <w:t>F</w:t>
            </w:r>
            <w:r>
              <w:rPr>
                <w:rFonts w:ascii="方正黑体_GBK" w:hAnsi="方正黑体_GBK" w:eastAsia="方正黑体_GBK" w:cs="宋体"/>
                <w:b/>
                <w:bCs w:val="0"/>
                <w:i w:val="0"/>
                <w:caps w:val="0"/>
                <w:smallCaps w:val="0"/>
                <w:strike w:val="0"/>
                <w:dstrike w:val="0"/>
                <w:vanish w:val="0"/>
                <w:sz w:val="18"/>
                <w:szCs w:val="18"/>
              </w:rPr>
              <w:t>份额</w:t>
            </w:r>
            <w:r>
              <w:rPr>
                <w:rFonts w:hint="eastAsia" w:ascii="方正黑体_GBK" w:hAnsi="方正黑体_GBK" w:eastAsia="方正黑体_GBK" w:cs="宋体"/>
                <w:b/>
                <w:bCs w:val="0"/>
                <w:i w:val="0"/>
                <w:caps w:val="0"/>
                <w:smallCaps w:val="0"/>
                <w:strike w:val="0"/>
                <w:dstrike w:val="0"/>
                <w:vanish w:val="0"/>
                <w:sz w:val="18"/>
                <w:szCs w:val="18"/>
                <w:lang w:val="en-US" w:eastAsia="zh-CN"/>
              </w:rPr>
              <w:t>/F</w:t>
            </w:r>
            <w:r>
              <w:rPr>
                <w:rFonts w:ascii="方正黑体_GBK" w:hAnsi="方正黑体_GBK" w:eastAsia="方正黑体_GBK" w:cs="宋体"/>
                <w:b/>
                <w:bCs w:val="0"/>
                <w:i w:val="0"/>
                <w:caps w:val="0"/>
                <w:smallCaps w:val="0"/>
                <w:strike w:val="0"/>
                <w:dstrike w:val="0"/>
                <w:vanish w:val="0"/>
                <w:sz w:val="18"/>
                <w:szCs w:val="18"/>
              </w:rPr>
              <w:t>2份额</w:t>
            </w:r>
            <w:r>
              <w:rPr>
                <w:rFonts w:hint="eastAsia" w:ascii="方正黑体_GBK" w:hAnsi="方正黑体_GBK" w:eastAsia="方正黑体_GBK" w:cs="宋体"/>
                <w:b/>
                <w:bCs w:val="0"/>
                <w:i w:val="0"/>
                <w:caps w:val="0"/>
                <w:smallCaps w:val="0"/>
                <w:strike w:val="0"/>
                <w:dstrike w:val="0"/>
                <w:vanish w:val="0"/>
                <w:sz w:val="18"/>
                <w:szCs w:val="18"/>
                <w:lang w:val="en-US" w:eastAsia="zh-CN"/>
              </w:rPr>
              <w:t>/F3</w:t>
            </w:r>
            <w:r>
              <w:rPr>
                <w:rFonts w:ascii="方正黑体_GBK" w:hAnsi="方正黑体_GBK" w:eastAsia="方正黑体_GBK" w:cs="宋体"/>
                <w:b/>
                <w:bCs w:val="0"/>
                <w:i w:val="0"/>
                <w:caps w:val="0"/>
                <w:smallCaps w:val="0"/>
                <w:strike w:val="0"/>
                <w:dstrike w:val="0"/>
                <w:vanish w:val="0"/>
                <w:sz w:val="18"/>
                <w:szCs w:val="18"/>
              </w:rPr>
              <w:t>份额：申购/赎回确认日和产品实际到期时，当期产品投资的实际资产组合收益（扣除销售费、固定管理费、托管费等相关费用）超过3.</w:t>
            </w:r>
            <w:r>
              <w:rPr>
                <w:rFonts w:hint="eastAsia" w:ascii="方正黑体_GBK" w:hAnsi="方正黑体_GBK" w:eastAsia="方正黑体_GBK" w:cs="宋体"/>
                <w:b/>
                <w:bCs w:val="0"/>
                <w:i w:val="0"/>
                <w:caps w:val="0"/>
                <w:smallCaps w:val="0"/>
                <w:strike w:val="0"/>
                <w:dstrike w:val="0"/>
                <w:vanish w:val="0"/>
                <w:sz w:val="18"/>
                <w:szCs w:val="18"/>
                <w:lang w:val="en-US" w:eastAsia="zh-CN"/>
              </w:rPr>
              <w:t>4</w:t>
            </w:r>
            <w:r>
              <w:rPr>
                <w:rFonts w:ascii="方正黑体_GBK" w:hAnsi="方正黑体_GBK" w:eastAsia="方正黑体_GBK" w:cs="宋体"/>
                <w:b/>
                <w:bCs w:val="0"/>
                <w:i w:val="0"/>
                <w:caps w:val="0"/>
                <w:smallCaps w:val="0"/>
                <w:strike w:val="0"/>
                <w:dstrike w:val="0"/>
                <w:vanish w:val="0"/>
                <w:sz w:val="18"/>
                <w:szCs w:val="18"/>
              </w:rPr>
              <w:t>%（年化，即产品该份额对应的业绩报酬计提基准）时，超过部分管理人将按60%收取业绩报酬。</w:t>
            </w:r>
          </w:p>
          <w:p w14:paraId="525F3E85">
            <w:pPr>
              <w:shd w:val="clear" w:color="auto" w:fill="auto"/>
              <w:spacing w:line="200" w:lineRule="exact"/>
              <w:rPr>
                <w:rFonts w:ascii="方正黑体_GBK" w:hAnsi="方正黑体_GBK" w:eastAsia="方正黑体_GBK" w:cs="宋体"/>
                <w:b/>
                <w:bCs w:val="0"/>
                <w:i w:val="0"/>
                <w:caps w:val="0"/>
                <w:smallCaps w:val="0"/>
                <w:strike w:val="0"/>
                <w:dstrike w:val="0"/>
                <w:vanish w:val="0"/>
                <w:sz w:val="18"/>
                <w:szCs w:val="18"/>
              </w:rPr>
            </w:pPr>
            <w:r>
              <w:rPr>
                <w:rFonts w:hint="eastAsia" w:ascii="方正黑体_GBK" w:hAnsi="方正黑体_GBK" w:eastAsia="方正黑体_GBK" w:cs="宋体"/>
                <w:b/>
                <w:bCs w:val="0"/>
                <w:i w:val="0"/>
                <w:caps w:val="0"/>
                <w:smallCaps w:val="0"/>
                <w:strike w:val="0"/>
                <w:dstrike w:val="0"/>
                <w:vanish w:val="0"/>
                <w:sz w:val="18"/>
                <w:szCs w:val="18"/>
                <w:lang w:val="en-US" w:eastAsia="zh-CN"/>
              </w:rPr>
              <w:t>G</w:t>
            </w:r>
            <w:r>
              <w:rPr>
                <w:rFonts w:ascii="方正黑体_GBK" w:hAnsi="方正黑体_GBK" w:eastAsia="方正黑体_GBK" w:cs="宋体"/>
                <w:b/>
                <w:bCs w:val="0"/>
                <w:i w:val="0"/>
                <w:caps w:val="0"/>
                <w:smallCaps w:val="0"/>
                <w:strike w:val="0"/>
                <w:dstrike w:val="0"/>
                <w:vanish w:val="0"/>
                <w:sz w:val="18"/>
                <w:szCs w:val="18"/>
              </w:rPr>
              <w:t>2份额：申购/赎回确认日和产品实际到期时，当期产品投资的实际资产组合收益（扣除销售费、固定管理费、托管费等相关费用）超过3.45%（年化，即产品该份额对应的业绩报酬计提基准）时，超过部分管理人将按60%收取业绩报酬。</w:t>
            </w:r>
          </w:p>
          <w:p w14:paraId="75ACBE5F">
            <w:pPr>
              <w:shd w:val="clear" w:color="auto" w:fill="auto"/>
              <w:spacing w:line="200" w:lineRule="exact"/>
              <w:rPr>
                <w:rFonts w:ascii="方正黑体_GBK" w:hAnsi="方正黑体_GBK" w:eastAsia="方正黑体_GBK" w:cs="宋体"/>
                <w:b/>
                <w:bCs w:val="0"/>
                <w:i w:val="0"/>
                <w:caps w:val="0"/>
                <w:smallCaps w:val="0"/>
                <w:strike w:val="0"/>
                <w:dstrike w:val="0"/>
                <w:vanish w:val="0"/>
                <w:sz w:val="18"/>
                <w:szCs w:val="18"/>
              </w:rPr>
            </w:pPr>
            <w:r>
              <w:rPr>
                <w:rFonts w:ascii="方正黑体_GBK" w:hAnsi="方正黑体_GBK" w:eastAsia="方正黑体_GBK" w:cs="宋体"/>
                <w:b/>
                <w:bCs w:val="0"/>
                <w:i w:val="0"/>
                <w:caps w:val="0"/>
                <w:smallCaps w:val="0"/>
                <w:strike w:val="0"/>
                <w:dstrike w:val="0"/>
                <w:vanish w:val="0"/>
                <w:sz w:val="18"/>
                <w:szCs w:val="18"/>
              </w:rPr>
              <w:t>产品存续期内理财产品每个估值日将暂估业绩报酬，暂估的业绩报酬仅用于理财产品会计核算，管理人将扣除暂估业绩报酬后的净值按照说明书约定向投资者进行披露。理财产品实际的业绩报酬以产品赎回确认或产品实际到期时计提核算的数值为准。暂估业绩报酬不影响产品的实际收益。</w:t>
            </w:r>
          </w:p>
          <w:p w14:paraId="3B7368A9">
            <w:pPr>
              <w:shd w:val="clear" w:color="auto" w:fill="auto"/>
              <w:spacing w:line="200" w:lineRule="exact"/>
              <w:rPr>
                <w:rFonts w:ascii="方正黑体_GBK" w:hAnsi="方正黑体_GBK" w:eastAsia="方正黑体_GBK" w:cs="宋体"/>
                <w:b/>
                <w:bCs w:val="0"/>
                <w:i w:val="0"/>
                <w:caps w:val="0"/>
                <w:smallCaps w:val="0"/>
                <w:strike w:val="0"/>
                <w:dstrike w:val="0"/>
                <w:vanish w:val="0"/>
                <w:sz w:val="18"/>
                <w:szCs w:val="18"/>
              </w:rPr>
            </w:pPr>
            <w:r>
              <w:rPr>
                <w:rFonts w:ascii="方正黑体_GBK" w:hAnsi="方正黑体_GBK" w:eastAsia="方正黑体_GBK" w:cs="宋体"/>
                <w:b/>
                <w:bCs w:val="0"/>
                <w:i w:val="0"/>
                <w:caps w:val="0"/>
                <w:smallCaps w:val="0"/>
                <w:strike w:val="0"/>
                <w:dstrike w:val="0"/>
                <w:vanish w:val="0"/>
                <w:sz w:val="18"/>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w:t>
            </w:r>
          </w:p>
          <w:p w14:paraId="19BBCDD2">
            <w:pPr>
              <w:shd w:val="clear" w:color="auto" w:fill="auto"/>
              <w:spacing w:line="200" w:lineRule="exact"/>
              <w:rPr>
                <w:rFonts w:ascii="方正黑体_GBK" w:hAnsi="方正黑体_GBK" w:eastAsia="方正黑体_GBK" w:cs="宋体"/>
                <w:b/>
                <w:bCs w:val="0"/>
                <w:i w:val="0"/>
                <w:caps w:val="0"/>
                <w:smallCaps w:val="0"/>
                <w:strike w:val="0"/>
                <w:dstrike w:val="0"/>
                <w:vanish w:val="0"/>
                <w:sz w:val="18"/>
                <w:szCs w:val="18"/>
              </w:rPr>
            </w:pPr>
            <w:r>
              <w:rPr>
                <w:rFonts w:ascii="方正黑体_GBK" w:hAnsi="方正黑体_GBK" w:eastAsia="方正黑体_GBK" w:cs="宋体"/>
                <w:b/>
                <w:bCs w:val="0"/>
                <w:i w:val="0"/>
                <w:caps w:val="0"/>
                <w:smallCaps w:val="0"/>
                <w:strike w:val="0"/>
                <w:dstrike w:val="0"/>
                <w:vanish w:val="0"/>
                <w:sz w:val="18"/>
                <w:szCs w:val="18"/>
              </w:rPr>
              <w:t>注：1.根据财政部《资产管理产品相关会计处理规定》（财会〔2022〕14号）“将当期发生的管理人报酬计入当期损益”的相关规定，本理财产品将每日计提暂估的业绩报酬（如有）。</w:t>
            </w:r>
          </w:p>
          <w:p w14:paraId="164318BD">
            <w:pPr>
              <w:shd w:val="clear" w:color="auto" w:fill="auto"/>
              <w:spacing w:line="200" w:lineRule="exact"/>
              <w:rPr>
                <w:rFonts w:ascii="方正黑体_GBK" w:hAnsi="方正黑体_GBK" w:eastAsia="方正黑体_GBK" w:cs="宋体"/>
                <w:b/>
                <w:bCs w:val="0"/>
                <w:i w:val="0"/>
                <w:caps w:val="0"/>
                <w:smallCaps w:val="0"/>
                <w:strike w:val="0"/>
                <w:dstrike w:val="0"/>
                <w:vanish w:val="0"/>
                <w:sz w:val="18"/>
                <w:szCs w:val="18"/>
              </w:rPr>
            </w:pPr>
            <w:r>
              <w:rPr>
                <w:rFonts w:ascii="方正黑体_GBK" w:hAnsi="方正黑体_GBK" w:eastAsia="方正黑体_GBK" w:cs="宋体"/>
                <w:b/>
                <w:bCs w:val="0"/>
                <w:i w:val="0"/>
                <w:caps w:val="0"/>
                <w:smallCaps w:val="0"/>
                <w:strike w:val="0"/>
                <w:dstrike w:val="0"/>
                <w:vanish w:val="0"/>
                <w:sz w:val="18"/>
                <w:szCs w:val="18"/>
              </w:rPr>
              <w:t>2.产品存续期的每个估值日，如果产品各份额当期起始日至估值日（即本区间）的年化收益率大于当期业绩报酬计提基准，则相应计提暂估业绩报酬，披露的各份额的单位净值为扣除暂估业绩报酬（如有）之后的水平。</w:t>
            </w:r>
          </w:p>
          <w:p w14:paraId="30EF73D7">
            <w:pPr>
              <w:shd w:val="clear" w:color="auto" w:fill="auto"/>
              <w:spacing w:line="200" w:lineRule="exact"/>
              <w:rPr>
                <w:rFonts w:ascii="方正黑体_GBK" w:hAnsi="方正黑体_GBK" w:eastAsia="方正黑体_GBK" w:cs="宋体"/>
                <w:b/>
                <w:bCs w:val="0"/>
                <w:i w:val="0"/>
                <w:caps w:val="0"/>
                <w:smallCaps w:val="0"/>
                <w:strike w:val="0"/>
                <w:dstrike w:val="0"/>
                <w:vanish w:val="0"/>
                <w:sz w:val="18"/>
                <w:szCs w:val="18"/>
              </w:rPr>
            </w:pPr>
            <w:r>
              <w:rPr>
                <w:rFonts w:ascii="方正黑体_GBK" w:hAnsi="方正黑体_GBK" w:eastAsia="方正黑体_GBK" w:cs="宋体"/>
                <w:b/>
                <w:bCs w:val="0"/>
                <w:i w:val="0"/>
                <w:caps w:val="0"/>
                <w:smallCaps w:val="0"/>
                <w:strike w:val="0"/>
                <w:dstrike w:val="0"/>
                <w:vanish w:val="0"/>
                <w:sz w:val="18"/>
                <w:szCs w:val="18"/>
              </w:rPr>
              <w:t>计算本区间业绩报酬的公式如下：</w:t>
            </w:r>
          </w:p>
          <w:p w14:paraId="08FB41C6">
            <w:pPr>
              <w:shd w:val="clear" w:color="auto" w:fill="auto"/>
              <w:spacing w:line="200" w:lineRule="exact"/>
              <w:rPr>
                <w:rFonts w:ascii="方正黑体_GBK" w:hAnsi="方正黑体_GBK" w:eastAsia="方正黑体_GBK" w:cs="宋体"/>
                <w:b/>
                <w:bCs w:val="0"/>
                <w:i w:val="0"/>
                <w:caps w:val="0"/>
                <w:smallCaps w:val="0"/>
                <w:strike w:val="0"/>
                <w:dstrike w:val="0"/>
                <w:vanish w:val="0"/>
                <w:sz w:val="18"/>
                <w:szCs w:val="18"/>
              </w:rPr>
            </w:pPr>
            <w:r>
              <w:rPr>
                <w:rFonts w:ascii="方正黑体_GBK" w:hAnsi="方正黑体_GBK" w:eastAsia="方正黑体_GBK" w:cs="宋体"/>
                <w:b/>
                <w:bCs w:val="0"/>
                <w:i w:val="0"/>
                <w:caps w:val="0"/>
                <w:smallCaps w:val="0"/>
                <w:strike w:val="0"/>
                <w:dstrike w:val="0"/>
                <w:vanish w:val="0"/>
                <w:sz w:val="18"/>
                <w:szCs w:val="18"/>
              </w:rPr>
              <w:t>A={B-C*D*(1+E*F/365)}*G。</w:t>
            </w:r>
          </w:p>
          <w:p w14:paraId="39BF06F5">
            <w:pPr>
              <w:shd w:val="clear" w:color="auto" w:fill="auto"/>
              <w:spacing w:line="200" w:lineRule="exact"/>
              <w:rPr>
                <w:rFonts w:ascii="方正黑体_GBK" w:hAnsi="方正黑体_GBK" w:eastAsia="方正黑体_GBK" w:cs="宋体"/>
                <w:b/>
                <w:bCs w:val="0"/>
                <w:i w:val="0"/>
                <w:caps w:val="0"/>
                <w:smallCaps w:val="0"/>
                <w:strike w:val="0"/>
                <w:dstrike w:val="0"/>
                <w:vanish w:val="0"/>
                <w:sz w:val="18"/>
                <w:szCs w:val="18"/>
              </w:rPr>
            </w:pPr>
            <w:r>
              <w:rPr>
                <w:rFonts w:ascii="方正黑体_GBK" w:hAnsi="方正黑体_GBK" w:eastAsia="方正黑体_GBK" w:cs="宋体"/>
                <w:b/>
                <w:bCs w:val="0"/>
                <w:i w:val="0"/>
                <w:caps w:val="0"/>
                <w:smallCaps w:val="0"/>
                <w:strike w:val="0"/>
                <w:dstrike w:val="0"/>
                <w:vanish w:val="0"/>
                <w:sz w:val="18"/>
                <w:szCs w:val="18"/>
              </w:rPr>
              <w:t>其中：A是产品该份额从当期起始日到估值日应计提的业绩报酬金额，B是产品该份额估值日当日未扣除业绩报酬前的资产净值，C是产品该份额当期起始日的产品份额，D是产品该份额当期起始日前一自然日的单位净值，E是产品该份额当期的业绩报酬计提基准，F是产品该份额当期起始日（含）到估值日（含）的天数，G是产品该份额当期的业绩报酬计提比例。若本区间内产品该份额存在分红，则应当将分红金额考虑在内；若业绩报酬分段计提，则将分段计提暂估的业绩报酬，因此计提业绩报酬公式根据产品实际情况可能有微调。</w:t>
            </w:r>
          </w:p>
        </w:tc>
      </w:tr>
      <w:tr w14:paraId="7F767AFD">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0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625DDA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风险事件说明</w:t>
            </w:r>
          </w:p>
        </w:tc>
        <w:tc>
          <w:tcPr>
            <w:tcW w:w="5543" w:type="dxa"/>
            <w:tcBorders>
              <w:top w:val="single" w:color="auto" w:sz="4" w:space="0"/>
              <w:left w:val="nil"/>
              <w:bottom w:val="single" w:color="auto" w:sz="4" w:space="0"/>
              <w:right w:val="single" w:color="auto" w:sz="4" w:space="0"/>
              <w:tl2br w:val="nil"/>
              <w:tr2bl w:val="nil"/>
            </w:tcBorders>
            <w:vAlign w:val="center"/>
          </w:tcPr>
          <w:p w14:paraId="32337E80">
            <w:pPr>
              <w:spacing w:line="200" w:lineRule="exact"/>
              <w:jc w:val="left"/>
            </w:pPr>
            <w:r>
              <w:rPr>
                <w:rFonts w:ascii="方正黑体_GBK" w:hAnsi="方正黑体_GBK" w:eastAsia="方正黑体_GBK" w:cs="宋体"/>
                <w:color w:val="000000"/>
                <w:sz w:val="18"/>
                <w:szCs w:val="18"/>
              </w:rPr>
              <w:t>具体参见本理财产品风险揭示书。</w:t>
            </w:r>
          </w:p>
          <w:p w14:paraId="1EC00075">
            <w:pPr>
              <w:spacing w:line="200" w:lineRule="exact"/>
              <w:jc w:val="left"/>
            </w:pPr>
            <w:r>
              <w:rPr>
                <w:rFonts w:ascii="方正黑体_GBK" w:hAnsi="方正黑体_GBK" w:eastAsia="方正黑体_GBK" w:cs="宋体"/>
                <w:color w:val="000000"/>
                <w:sz w:val="18"/>
                <w:szCs w:val="18"/>
              </w:rPr>
              <w:t>本理财产品的拟投资市场主要为全国银行间债券市场、证券交易所等流动性较好的规范型交易场所，主要拟投资资产为具有良好流动性的金融工具，一般情况下，所投资资产市场流动性较好，但不排除在特定阶段、特定市场环境下特定投资标的出现流动性较差的情况。因此，本产品所投资资产可能存在以下流动性风险：</w:t>
            </w:r>
          </w:p>
          <w:p w14:paraId="34B88CF3">
            <w:pPr>
              <w:spacing w:line="200" w:lineRule="exact"/>
              <w:jc w:val="left"/>
            </w:pPr>
            <w:r>
              <w:rPr>
                <w:rFonts w:ascii="方正黑体_GBK" w:hAnsi="方正黑体_GBK" w:eastAsia="方正黑体_GBK" w:cs="宋体"/>
                <w:color w:val="000000"/>
                <w:sz w:val="18"/>
                <w:szCs w:val="18"/>
              </w:rPr>
              <w:t>一是建仓或进行组合调整时，若投资资产包括债券或基金，可能由于特定债券或基金的流动性相对不足而无法按预期的价格买进（申购）或卖出（赎回）；</w:t>
            </w:r>
          </w:p>
          <w:p w14:paraId="6726D244">
            <w:pPr>
              <w:spacing w:line="200" w:lineRule="exact"/>
              <w:jc w:val="left"/>
            </w:pPr>
            <w:r>
              <w:rPr>
                <w:rFonts w:ascii="方正黑体_GBK" w:hAnsi="方正黑体_GBK" w:eastAsia="方正黑体_GBK" w:cs="宋体"/>
                <w:color w:val="000000"/>
                <w:sz w:val="18"/>
                <w:szCs w:val="18"/>
              </w:rPr>
              <w:t>二是为应对投资者的赎回，被迫以不适当的价格卖出债券或赎回基金；</w:t>
            </w:r>
          </w:p>
          <w:p w14:paraId="625F7240">
            <w:pPr>
              <w:spacing w:line="200" w:lineRule="exact"/>
              <w:jc w:val="left"/>
            </w:pPr>
            <w:r>
              <w:rPr>
                <w:rFonts w:ascii="方正黑体_GBK" w:hAnsi="方正黑体_GBK" w:eastAsia="方正黑体_GBK" w:cs="宋体"/>
                <w:color w:val="000000"/>
                <w:sz w:val="18"/>
                <w:szCs w:val="18"/>
              </w:rPr>
              <w:t>三是若投资资产包括非标准化债权类资产，可能由于资产缺少流动性而难以变现。</w:t>
            </w:r>
          </w:p>
          <w:p w14:paraId="0CC7747E">
            <w:pPr>
              <w:spacing w:line="200" w:lineRule="exact"/>
              <w:jc w:val="left"/>
            </w:pPr>
            <w:r>
              <w:rPr>
                <w:rFonts w:ascii="方正黑体_GBK" w:hAnsi="方正黑体_GBK" w:eastAsia="方正黑体_GBK" w:cs="宋体"/>
                <w:color w:val="000000"/>
                <w:sz w:val="18"/>
                <w:szCs w:val="18"/>
              </w:rPr>
              <w:t>以上情形均可能使产品净值受到不利影响。</w:t>
            </w:r>
          </w:p>
        </w:tc>
      </w:tr>
      <w:tr w14:paraId="6C7115E1">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6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2CB5AB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理财产品管理人及管理人职责</w:t>
            </w:r>
          </w:p>
        </w:tc>
        <w:tc>
          <w:tcPr>
            <w:tcW w:w="5543" w:type="dxa"/>
            <w:tcBorders>
              <w:top w:val="single" w:color="auto" w:sz="4" w:space="0"/>
              <w:left w:val="nil"/>
              <w:bottom w:val="single" w:color="auto" w:sz="4" w:space="0"/>
              <w:right w:val="single" w:color="auto" w:sz="4" w:space="0"/>
              <w:tl2br w:val="nil"/>
              <w:tr2bl w:val="nil"/>
            </w:tcBorders>
            <w:vAlign w:val="center"/>
          </w:tcPr>
          <w:p w14:paraId="60089E65">
            <w:pPr>
              <w:spacing w:line="200" w:lineRule="exact"/>
              <w:jc w:val="left"/>
            </w:pPr>
            <w:r>
              <w:rPr>
                <w:rFonts w:ascii="方正黑体_GBK" w:hAnsi="方正黑体_GBK" w:eastAsia="方正黑体_GBK" w:cs="宋体"/>
                <w:color w:val="000000"/>
                <w:sz w:val="18"/>
                <w:szCs w:val="18"/>
              </w:rPr>
              <w:t>本理财产品管理人为南银理财有限责任公司，南银理财系南京银行股份有限公司全资控股的银行理财子公司。南银理财成立于2020年8月，专业从事理财产品发行、投资管理、理财顾问和咨询服务等业务，注册资本金20 亿元人民币。管理人主要职责如下：</w:t>
            </w:r>
          </w:p>
          <w:p w14:paraId="61B5E476">
            <w:pPr>
              <w:spacing w:line="200" w:lineRule="exact"/>
              <w:jc w:val="left"/>
            </w:pPr>
            <w:r>
              <w:rPr>
                <w:rFonts w:ascii="方正黑体_GBK" w:hAnsi="方正黑体_GBK" w:eastAsia="方正黑体_GBK" w:cs="宋体"/>
                <w:color w:val="000000"/>
                <w:sz w:val="18"/>
                <w:szCs w:val="18"/>
              </w:rPr>
              <w:t>1.按照法律法规、监管规定及理财产品销售文件的约定，发行并管理理财产品；</w:t>
            </w:r>
          </w:p>
          <w:p w14:paraId="298836A1">
            <w:pPr>
              <w:spacing w:line="200" w:lineRule="exact"/>
              <w:jc w:val="left"/>
            </w:pPr>
            <w:r>
              <w:rPr>
                <w:rFonts w:ascii="方正黑体_GBK" w:hAnsi="方正黑体_GBK" w:eastAsia="方正黑体_GBK" w:cs="宋体"/>
                <w:color w:val="000000"/>
                <w:sz w:val="18"/>
                <w:szCs w:val="18"/>
              </w:rPr>
              <w:t>2.根据理财产品的投资组合、同类产品过往业绩和风险状况等因素，对理财产品进行评级；</w:t>
            </w:r>
          </w:p>
          <w:p w14:paraId="0D0EEA57">
            <w:pPr>
              <w:spacing w:line="200" w:lineRule="exact"/>
              <w:jc w:val="left"/>
            </w:pPr>
            <w:r>
              <w:rPr>
                <w:rFonts w:ascii="方正黑体_GBK" w:hAnsi="方正黑体_GBK" w:eastAsia="方正黑体_GBK" w:cs="宋体"/>
                <w:color w:val="000000"/>
                <w:sz w:val="18"/>
                <w:szCs w:val="18"/>
              </w:rPr>
              <w:t>3.按照法律法规、监管规定及与投资者约定的信息披露渠道及时披露理财产品相关信息；</w:t>
            </w:r>
          </w:p>
          <w:p w14:paraId="3785AF2C">
            <w:pPr>
              <w:spacing w:line="200" w:lineRule="exact"/>
              <w:jc w:val="left"/>
            </w:pPr>
            <w:r>
              <w:rPr>
                <w:rFonts w:ascii="方正黑体_GBK" w:hAnsi="方正黑体_GBK" w:eastAsia="方正黑体_GBK" w:cs="宋体"/>
                <w:color w:val="000000"/>
                <w:sz w:val="18"/>
                <w:szCs w:val="18"/>
              </w:rPr>
              <w:t>4.按照理财产品销售文件约定的投资范围和权限，负责理财产品资金的运用和管理，向投资者进行收益分配；</w:t>
            </w:r>
          </w:p>
          <w:p w14:paraId="47CB8EA7">
            <w:pPr>
              <w:spacing w:line="200" w:lineRule="exact"/>
              <w:jc w:val="left"/>
            </w:pPr>
            <w:r>
              <w:rPr>
                <w:rFonts w:ascii="方正黑体_GBK" w:hAnsi="方正黑体_GBK" w:eastAsia="方正黑体_GBK" w:cs="宋体"/>
                <w:color w:val="000000"/>
                <w:sz w:val="18"/>
                <w:szCs w:val="18"/>
              </w:rPr>
              <w:t>5.审慎选择理财产品销售机构，切实履行对销售机构的管理责任；</w:t>
            </w:r>
          </w:p>
          <w:p w14:paraId="1BE5A397">
            <w:pPr>
              <w:spacing w:line="200" w:lineRule="exact"/>
              <w:jc w:val="left"/>
            </w:pPr>
            <w:r>
              <w:rPr>
                <w:rFonts w:ascii="方正黑体_GBK" w:hAnsi="方正黑体_GBK" w:eastAsia="方正黑体_GBK" w:cs="宋体"/>
                <w:color w:val="000000"/>
                <w:sz w:val="18"/>
                <w:szCs w:val="18"/>
              </w:rPr>
              <w:t>6.根据法律法规、监管规定建立健全投资者权益保护管理体系；</w:t>
            </w:r>
          </w:p>
          <w:p w14:paraId="59E83E44">
            <w:pPr>
              <w:spacing w:line="200" w:lineRule="exact"/>
              <w:jc w:val="left"/>
            </w:pPr>
            <w:r>
              <w:rPr>
                <w:rFonts w:ascii="方正黑体_GBK" w:hAnsi="方正黑体_GBK" w:eastAsia="方正黑体_GBK" w:cs="宋体"/>
                <w:color w:val="000000"/>
                <w:sz w:val="18"/>
                <w:szCs w:val="18"/>
              </w:rPr>
              <w:t>7.国务院银行业监督管理机构规定及本理财产品销售文件中约定的其他职责。</w:t>
            </w:r>
          </w:p>
        </w:tc>
      </w:tr>
      <w:tr w14:paraId="7EA8BC49">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6C9BCA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销售机构及销售机构职责</w:t>
            </w:r>
          </w:p>
        </w:tc>
        <w:tc>
          <w:tcPr>
            <w:tcW w:w="5543" w:type="dxa"/>
            <w:tcBorders>
              <w:top w:val="single" w:color="auto" w:sz="4" w:space="0"/>
              <w:left w:val="nil"/>
              <w:bottom w:val="single" w:color="auto" w:sz="4" w:space="0"/>
              <w:right w:val="single" w:color="auto" w:sz="4" w:space="0"/>
              <w:tl2br w:val="nil"/>
              <w:tr2bl w:val="nil"/>
            </w:tcBorders>
            <w:vAlign w:val="center"/>
          </w:tcPr>
          <w:p w14:paraId="03F7D7FC">
            <w:pPr>
              <w:spacing w:line="200" w:lineRule="exact"/>
              <w:jc w:val="left"/>
            </w:pPr>
            <w:r>
              <w:rPr>
                <w:rFonts w:ascii="方正黑体_GBK" w:hAnsi="方正黑体_GBK" w:eastAsia="方正黑体_GBK" w:cs="宋体"/>
                <w:sz w:val="18"/>
                <w:szCs w:val="18"/>
              </w:rPr>
              <w:t>本理财产品销售机构为南银理财有限责任公司、南京银行股份有限公司、秦皇岛银行股份有限公司、泰安银行股份有限公司、齐鲁银行股份有限公司、深圳前海微众银行股份有限公司、云南红塔银行股份有限公司、中原银行股份有限公司、九江银行股份有限公司、天津农村商业银行股份有限公司、互金平台、日照银行股份有限公司、无锡锡商银行股份有限公司、江苏靖江农村商业银行股份有限公司、江苏建湖农村商业银行股份有限公司、江苏南通农村商业银行股份有限公司、江苏扬州农村商业银行股份有限公司、江苏镇江农村商业银行股份有限公司、江苏如皋农村商业银行股份有限公司、江苏江阴农村商业银行股份有限公司、北京中关村银行股份有限公司、河北银行股份有限公司、甘肃银行股份有限公司、江苏仪征农村商业银行股份有限公司、昆山鹿城村镇银行股份有限公司。管理人有权调整本理财产品的销售机构并进行信息披露。</w:t>
            </w:r>
          </w:p>
          <w:p w14:paraId="24449D67">
            <w:pPr>
              <w:spacing w:line="200" w:lineRule="exact"/>
              <w:jc w:val="left"/>
            </w:pPr>
            <w:r>
              <w:rPr>
                <w:rFonts w:ascii="方正黑体_GBK" w:hAnsi="方正黑体_GBK" w:eastAsia="方正黑体_GBK" w:cs="宋体"/>
                <w:sz w:val="18"/>
                <w:szCs w:val="18"/>
              </w:rPr>
              <w:t>销售机构主要职责如下：</w:t>
            </w:r>
          </w:p>
          <w:p w14:paraId="067E5E62">
            <w:pPr>
              <w:spacing w:line="200" w:lineRule="exact"/>
              <w:jc w:val="left"/>
            </w:pPr>
            <w:r>
              <w:rPr>
                <w:rFonts w:ascii="方正黑体_GBK" w:hAnsi="方正黑体_GBK" w:eastAsia="方正黑体_GBK" w:cs="宋体"/>
                <w:sz w:val="18"/>
                <w:szCs w:val="18"/>
              </w:rPr>
              <w:t>1.按照法律法规、监管规定及理财产品销售文件的约定，开展理财产品销售活动，向投资者充分披露信息和揭示风险；</w:t>
            </w:r>
          </w:p>
          <w:p w14:paraId="485062B7">
            <w:pPr>
              <w:spacing w:line="200" w:lineRule="exact"/>
              <w:jc w:val="left"/>
            </w:pPr>
            <w:r>
              <w:rPr>
                <w:rFonts w:ascii="方正黑体_GBK" w:hAnsi="方正黑体_GBK" w:eastAsia="方正黑体_GBK" w:cs="宋体"/>
                <w:sz w:val="18"/>
                <w:szCs w:val="18"/>
              </w:rPr>
              <w:t>2.对非机构投资者的风险承受能力进行评估，确保投资者风险承受能力评估的客观性、及时性和有效性；</w:t>
            </w:r>
          </w:p>
          <w:p w14:paraId="7D220ECB">
            <w:pPr>
              <w:spacing w:line="200" w:lineRule="exact"/>
              <w:jc w:val="left"/>
            </w:pPr>
            <w:r>
              <w:rPr>
                <w:rFonts w:ascii="方正黑体_GBK" w:hAnsi="方正黑体_GBK" w:eastAsia="方正黑体_GBK" w:cs="宋体"/>
                <w:sz w:val="18"/>
                <w:szCs w:val="18"/>
              </w:rPr>
              <w:t>3.妥善保管投资者理财产品销售相关资料，保管年限不低于20年；</w:t>
            </w:r>
          </w:p>
          <w:p w14:paraId="163138BC">
            <w:pPr>
              <w:spacing w:line="200" w:lineRule="exact"/>
              <w:jc w:val="left"/>
            </w:pPr>
            <w:r>
              <w:rPr>
                <w:rFonts w:ascii="方正黑体_GBK" w:hAnsi="方正黑体_GBK" w:eastAsia="方正黑体_GBK" w:cs="宋体"/>
                <w:sz w:val="18"/>
                <w:szCs w:val="18"/>
              </w:rPr>
              <w:t>4.根据反洗钱、反恐怖融资及非居民金融账户涉税信息尽职调查等相关法律法规要求识别客户身份；</w:t>
            </w:r>
          </w:p>
          <w:p w14:paraId="07F9BE32">
            <w:pPr>
              <w:spacing w:line="200" w:lineRule="exact"/>
              <w:jc w:val="left"/>
            </w:pPr>
            <w:r>
              <w:rPr>
                <w:rFonts w:ascii="方正黑体_GBK" w:hAnsi="方正黑体_GBK" w:eastAsia="方正黑体_GBK" w:cs="宋体"/>
                <w:sz w:val="18"/>
                <w:szCs w:val="18"/>
              </w:rPr>
              <w:t>5.建立健全投资者权益保护管理体系，加强投资者适当性管理；</w:t>
            </w:r>
          </w:p>
          <w:p w14:paraId="38A23DEC">
            <w:pPr>
              <w:spacing w:line="200" w:lineRule="exact"/>
            </w:pPr>
            <w:r>
              <w:rPr>
                <w:rFonts w:ascii="方正黑体_GBK" w:hAnsi="方正黑体_GBK" w:eastAsia="方正黑体_GBK" w:cs="宋体"/>
                <w:sz w:val="18"/>
                <w:szCs w:val="18"/>
              </w:rPr>
              <w:t>6.国务院银行业监督管理机构规定及本理财产品管理人与销售机构约定的其他职责。</w:t>
            </w:r>
          </w:p>
        </w:tc>
      </w:tr>
      <w:tr w14:paraId="43C8CC71">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451E02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托管人及托管人职责</w:t>
            </w:r>
          </w:p>
        </w:tc>
        <w:tc>
          <w:tcPr>
            <w:tcW w:w="5543" w:type="dxa"/>
            <w:tcBorders>
              <w:top w:val="single" w:color="auto" w:sz="4" w:space="0"/>
              <w:left w:val="nil"/>
              <w:bottom w:val="single" w:color="auto" w:sz="4" w:space="0"/>
              <w:right w:val="single" w:color="auto" w:sz="4" w:space="0"/>
              <w:tl2br w:val="nil"/>
              <w:tr2bl w:val="nil"/>
            </w:tcBorders>
            <w:vAlign w:val="center"/>
          </w:tcPr>
          <w:p w14:paraId="705AD1C7">
            <w:pPr>
              <w:spacing w:line="200" w:lineRule="exact"/>
            </w:pPr>
            <w:r>
              <w:rPr>
                <w:rFonts w:ascii="方正黑体_GBK" w:hAnsi="方正黑体_GBK" w:eastAsia="方正黑体_GBK" w:cs="宋体"/>
                <w:sz w:val="18"/>
                <w:szCs w:val="18"/>
              </w:rPr>
              <w:t>本理财产品托管人为南京银行股份有限公司，主要职责如下：</w:t>
            </w:r>
          </w:p>
          <w:p w14:paraId="7092081A">
            <w:pPr>
              <w:spacing w:line="200" w:lineRule="exact"/>
            </w:pPr>
            <w:r>
              <w:rPr>
                <w:rFonts w:ascii="方正黑体_GBK" w:hAnsi="方正黑体_GBK" w:eastAsia="方正黑体_GBK" w:cs="宋体"/>
                <w:sz w:val="18"/>
                <w:szCs w:val="18"/>
              </w:rPr>
              <w:t>1.安全保管理财产品财产；</w:t>
            </w:r>
          </w:p>
          <w:p w14:paraId="48F55F15">
            <w:pPr>
              <w:spacing w:line="200" w:lineRule="exact"/>
            </w:pPr>
            <w:r>
              <w:rPr>
                <w:rFonts w:ascii="方正黑体_GBK" w:hAnsi="方正黑体_GBK" w:eastAsia="方正黑体_GBK" w:cs="宋体"/>
                <w:sz w:val="18"/>
                <w:szCs w:val="18"/>
              </w:rPr>
              <w:t>2.为每只理财产品开设独立的托管账户，不同托管账户中的资产应当相互独立；</w:t>
            </w:r>
          </w:p>
          <w:p w14:paraId="500B6604">
            <w:pPr>
              <w:spacing w:line="200" w:lineRule="exact"/>
            </w:pPr>
            <w:r>
              <w:rPr>
                <w:rFonts w:ascii="方正黑体_GBK" w:hAnsi="方正黑体_GBK" w:eastAsia="方正黑体_GBK" w:cs="宋体"/>
                <w:sz w:val="18"/>
                <w:szCs w:val="18"/>
              </w:rPr>
              <w:t>3.按照托管协议约定和管理人的投资指令，及时办理清算、交割事宜；</w:t>
            </w:r>
          </w:p>
          <w:p w14:paraId="1BC0FED5">
            <w:pPr>
              <w:spacing w:line="200" w:lineRule="exact"/>
            </w:pPr>
            <w:r>
              <w:rPr>
                <w:rFonts w:ascii="方正黑体_GBK" w:hAnsi="方正黑体_GBK" w:eastAsia="方正黑体_GBK" w:cs="宋体"/>
                <w:sz w:val="18"/>
                <w:szCs w:val="18"/>
              </w:rPr>
              <w:t>4.建立与管理人的对账机制，复核、审查理财产品资金头寸、资产账目、资产净值、认购和赎回价格等数据，及时核查认购、赎回以及投资资金的支付和到账情况；</w:t>
            </w:r>
          </w:p>
          <w:p w14:paraId="3C80DA3A">
            <w:pPr>
              <w:spacing w:line="200" w:lineRule="exact"/>
            </w:pPr>
            <w:r>
              <w:rPr>
                <w:rFonts w:ascii="方正黑体_GBK" w:hAnsi="方正黑体_GBK" w:eastAsia="方正黑体_GBK" w:cs="宋体"/>
                <w:sz w:val="18"/>
                <w:szCs w:val="18"/>
              </w:rPr>
              <w:t>5.监督理财产品投资运作，发现理财产品违反法律、行政法规、规章规定或合同约定进行投资的，应当拒绝执行，及时通知管理人并报告银行业监督管理机构；</w:t>
            </w:r>
          </w:p>
          <w:p w14:paraId="557F92CD">
            <w:pPr>
              <w:spacing w:line="200" w:lineRule="exact"/>
            </w:pPr>
            <w:r>
              <w:rPr>
                <w:rFonts w:ascii="方正黑体_GBK" w:hAnsi="方正黑体_GBK" w:eastAsia="方正黑体_GBK" w:cs="宋体"/>
                <w:sz w:val="18"/>
                <w:szCs w:val="18"/>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14:paraId="7C9A0928">
            <w:pPr>
              <w:spacing w:line="200" w:lineRule="exact"/>
            </w:pPr>
            <w:r>
              <w:rPr>
                <w:rFonts w:ascii="方正黑体_GBK" w:hAnsi="方正黑体_GBK" w:eastAsia="方正黑体_GBK" w:cs="宋体"/>
                <w:sz w:val="18"/>
                <w:szCs w:val="18"/>
              </w:rPr>
              <w:t>7.理财托管业务活动的记录、账册、报表和其他相关资料保存20年以上；</w:t>
            </w:r>
          </w:p>
          <w:p w14:paraId="3D29501D">
            <w:pPr>
              <w:spacing w:line="200" w:lineRule="exact"/>
            </w:pPr>
            <w:r>
              <w:rPr>
                <w:rFonts w:ascii="方正黑体_GBK" w:hAnsi="方正黑体_GBK" w:eastAsia="方正黑体_GBK" w:cs="宋体"/>
                <w:sz w:val="18"/>
                <w:szCs w:val="18"/>
              </w:rPr>
              <w:t>8.对理财产品投资信息和相关资料承担保密责任，除法律、行政法规、规章规定、审计要求或者合同约定外，不得向任何机构或者个人提供相关信息和资料；</w:t>
            </w:r>
          </w:p>
          <w:p w14:paraId="2C1CC801">
            <w:pPr>
              <w:spacing w:line="200" w:lineRule="exact"/>
            </w:pPr>
            <w:r>
              <w:rPr>
                <w:rFonts w:ascii="方正黑体_GBK" w:hAnsi="方正黑体_GBK" w:eastAsia="方正黑体_GBK" w:cs="宋体"/>
                <w:sz w:val="18"/>
                <w:szCs w:val="18"/>
              </w:rPr>
              <w:t>9.国务院银行业监督管理机构规定及本理财产品相关托管协议中约定的其他职责。</w:t>
            </w:r>
          </w:p>
        </w:tc>
      </w:tr>
      <w:tr w14:paraId="0546541F">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9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A5B9A5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拟进行合作的理财投资合作机构</w:t>
            </w:r>
          </w:p>
        </w:tc>
        <w:tc>
          <w:tcPr>
            <w:tcW w:w="5543" w:type="dxa"/>
            <w:tcBorders>
              <w:top w:val="single" w:color="auto" w:sz="4" w:space="0"/>
              <w:left w:val="nil"/>
              <w:bottom w:val="single" w:color="auto" w:sz="4" w:space="0"/>
              <w:right w:val="single" w:color="auto" w:sz="4" w:space="0"/>
              <w:tl2br w:val="nil"/>
              <w:tr2bl w:val="nil"/>
            </w:tcBorders>
            <w:vAlign w:val="center"/>
          </w:tcPr>
          <w:p w14:paraId="11B787D3">
            <w:pPr>
              <w:spacing w:line="200" w:lineRule="exact"/>
            </w:pPr>
            <w:r>
              <w:rPr>
                <w:rFonts w:ascii="方正黑体_GBK" w:hAnsi="方正黑体_GBK" w:eastAsia="方正黑体_GBK" w:cs="宋体"/>
                <w:sz w:val="18"/>
                <w:szCs w:val="18"/>
              </w:rPr>
              <w:t>本理财产品合作机构为百瑞信托有限责任公司、大家资产管理有限责任公司、光大永明资产管理股份有限公司、广东粤财信托有限公司、华泰资产管理有限公司、华鑫国际信托有限公司、建信保险资产管理有限公司、交银国际信托有限公司、上海国际信托有限公司、泰康资产管理有限责任公司、天津信托有限责任公司、中信信托有限责任公司、重庆国际信托股份有限公司，上述投资合作机构主要职责对应如下，具体职责以管理人与投资合作机构签署的合同为准。</w:t>
            </w:r>
          </w:p>
          <w:p w14:paraId="28173BB7">
            <w:pPr>
              <w:spacing w:line="200" w:lineRule="exact"/>
            </w:pPr>
            <w:r>
              <w:rPr>
                <w:rFonts w:ascii="方正黑体_GBK" w:hAnsi="方正黑体_GBK" w:eastAsia="方正黑体_GBK" w:cs="宋体"/>
                <w:sz w:val="18"/>
                <w:szCs w:val="18"/>
              </w:rPr>
              <w:t>合作机构为从事理财产品受托投资的机构，主要承担根据合同约定进行受托资金的投资管理的职责：百瑞信托有限责任公司、大家资产管理有限责任公司、光大永明资产管理股份有限公司、广东粤财信托有限公司、华泰资产管理有限公司、华鑫国际信托有限公司、建信保险资产管理有限公司、交银国际信托有限公司、上海国际信托有限公司、泰康资产管理有限责任公司、天津信托有限责任公司、中信信托有限责任公司、重庆国际信托股份有限公司。</w:t>
            </w:r>
          </w:p>
          <w:p w14:paraId="0A593C9F">
            <w:pPr>
              <w:spacing w:line="200" w:lineRule="exact"/>
            </w:pPr>
            <w:r>
              <w:rPr>
                <w:rFonts w:ascii="方正黑体_GBK" w:hAnsi="方正黑体_GBK" w:eastAsia="方正黑体_GBK" w:cs="宋体"/>
                <w:sz w:val="18"/>
                <w:szCs w:val="18"/>
              </w:rPr>
              <w:t>若上述合作机构及其职责发生调整，管理人将在本理财产品的定期报告中进行信息披露。</w:t>
            </w:r>
          </w:p>
          <w:p w14:paraId="48A65873">
            <w:pPr>
              <w:spacing w:line="200" w:lineRule="exact"/>
            </w:pPr>
            <w:r>
              <w:rPr>
                <w:rFonts w:ascii="方正黑体_GBK" w:hAnsi="方正黑体_GBK" w:eastAsia="方正黑体_GBK" w:cs="宋体"/>
                <w:sz w:val="18"/>
                <w:szCs w:val="18"/>
              </w:rPr>
              <w:t>上述投资合作机构简介：</w:t>
            </w:r>
          </w:p>
          <w:p w14:paraId="32870FAE">
            <w:pPr>
              <w:spacing w:line="200" w:lineRule="exact"/>
            </w:pPr>
            <w:r>
              <w:rPr>
                <w:rFonts w:ascii="方正黑体_GBK" w:hAnsi="方正黑体_GBK" w:eastAsia="方正黑体_GBK" w:cs="宋体"/>
                <w:sz w:val="18"/>
                <w:szCs w:val="18"/>
              </w:rPr>
              <w:t>百瑞信托有限责任公司成立于2002年10月16日，注册资本金400000万元人民币。</w:t>
            </w:r>
          </w:p>
          <w:p w14:paraId="79E4E3C7">
            <w:pPr>
              <w:spacing w:line="200" w:lineRule="exact"/>
            </w:pPr>
            <w:r>
              <w:rPr>
                <w:rFonts w:ascii="方正黑体_GBK" w:hAnsi="方正黑体_GBK" w:eastAsia="方正黑体_GBK" w:cs="宋体"/>
                <w:sz w:val="18"/>
                <w:szCs w:val="18"/>
              </w:rPr>
              <w:t>大家资产管理有限责任公司成立于2011年05月20日，注册资本金6亿元人民币。</w:t>
            </w:r>
          </w:p>
          <w:p w14:paraId="35B65407">
            <w:pPr>
              <w:spacing w:line="200" w:lineRule="exact"/>
            </w:pPr>
            <w:r>
              <w:rPr>
                <w:rFonts w:ascii="方正黑体_GBK" w:hAnsi="方正黑体_GBK" w:eastAsia="方正黑体_GBK" w:cs="宋体"/>
                <w:sz w:val="18"/>
                <w:szCs w:val="18"/>
              </w:rPr>
              <w:t>光大永明资产管理股份有限公司成立于2012年03月02日，注册资本金5亿元。</w:t>
            </w:r>
          </w:p>
          <w:p w14:paraId="58651C3C">
            <w:pPr>
              <w:spacing w:line="200" w:lineRule="exact"/>
            </w:pPr>
            <w:r>
              <w:rPr>
                <w:rFonts w:ascii="方正黑体_GBK" w:hAnsi="方正黑体_GBK" w:eastAsia="方正黑体_GBK" w:cs="宋体"/>
                <w:sz w:val="18"/>
                <w:szCs w:val="18"/>
              </w:rPr>
              <w:t>广东粤财信托有限公司成立于1985年03月07日，注册资本金380000万元。</w:t>
            </w:r>
          </w:p>
          <w:p w14:paraId="57D2B1F5">
            <w:pPr>
              <w:spacing w:line="200" w:lineRule="exact"/>
            </w:pPr>
            <w:r>
              <w:rPr>
                <w:rFonts w:ascii="方正黑体_GBK" w:hAnsi="方正黑体_GBK" w:eastAsia="方正黑体_GBK" w:cs="宋体"/>
                <w:sz w:val="18"/>
                <w:szCs w:val="18"/>
              </w:rPr>
              <w:t>华泰资产管理有限公司成立于2005年01月18日，注册资本金60060万元人民币。</w:t>
            </w:r>
          </w:p>
          <w:p w14:paraId="4743F2C7">
            <w:pPr>
              <w:spacing w:line="200" w:lineRule="exact"/>
            </w:pPr>
            <w:r>
              <w:rPr>
                <w:rFonts w:ascii="方正黑体_GBK" w:hAnsi="方正黑体_GBK" w:eastAsia="方正黑体_GBK" w:cs="宋体"/>
                <w:sz w:val="18"/>
                <w:szCs w:val="18"/>
              </w:rPr>
              <w:t>华鑫国际信托有限公司成立于1984年06月01日，注册资本金73.95亿元。</w:t>
            </w:r>
          </w:p>
          <w:p w14:paraId="1E9C473F">
            <w:pPr>
              <w:spacing w:line="200" w:lineRule="exact"/>
            </w:pPr>
            <w:r>
              <w:rPr>
                <w:rFonts w:ascii="方正黑体_GBK" w:hAnsi="方正黑体_GBK" w:eastAsia="方正黑体_GBK" w:cs="宋体"/>
                <w:sz w:val="18"/>
                <w:szCs w:val="18"/>
              </w:rPr>
              <w:t>建信保险资产管理有限公司成立于2016年04月27日，注册资本金3亿元。</w:t>
            </w:r>
          </w:p>
          <w:p w14:paraId="27A5150C">
            <w:pPr>
              <w:spacing w:line="200" w:lineRule="exact"/>
            </w:pPr>
            <w:r>
              <w:rPr>
                <w:rFonts w:ascii="方正黑体_GBK" w:hAnsi="方正黑体_GBK" w:eastAsia="方正黑体_GBK" w:cs="宋体"/>
                <w:sz w:val="18"/>
                <w:szCs w:val="18"/>
              </w:rPr>
              <w:t>交银国际信托有限公司成立于1983年11月23日，注册资本金57.65亿元。</w:t>
            </w:r>
          </w:p>
          <w:p w14:paraId="601A6105">
            <w:pPr>
              <w:spacing w:line="200" w:lineRule="exact"/>
            </w:pPr>
            <w:r>
              <w:rPr>
                <w:rFonts w:ascii="方正黑体_GBK" w:hAnsi="方正黑体_GBK" w:eastAsia="方正黑体_GBK" w:cs="宋体"/>
                <w:sz w:val="18"/>
                <w:szCs w:val="18"/>
              </w:rPr>
              <w:t>上海国际信托有限公司成立于1981年05月06日，注册资本金50亿元。</w:t>
            </w:r>
          </w:p>
          <w:p w14:paraId="5A783BA0">
            <w:pPr>
              <w:spacing w:line="200" w:lineRule="exact"/>
            </w:pPr>
            <w:r>
              <w:rPr>
                <w:rFonts w:ascii="方正黑体_GBK" w:hAnsi="方正黑体_GBK" w:eastAsia="方正黑体_GBK" w:cs="宋体"/>
                <w:sz w:val="18"/>
                <w:szCs w:val="18"/>
              </w:rPr>
              <w:t>泰康资产管理有限责任公司成立于2006年02月21日，注册资本金10亿元。</w:t>
            </w:r>
          </w:p>
          <w:p w14:paraId="78CC4090">
            <w:pPr>
              <w:spacing w:line="200" w:lineRule="exact"/>
            </w:pPr>
            <w:r>
              <w:rPr>
                <w:rFonts w:ascii="方正黑体_GBK" w:hAnsi="方正黑体_GBK" w:eastAsia="方正黑体_GBK" w:cs="宋体"/>
                <w:sz w:val="18"/>
                <w:szCs w:val="18"/>
              </w:rPr>
              <w:t>天津信托有限责任公司成立于1986年09月23日，注册资本金170000万元人民币。</w:t>
            </w:r>
          </w:p>
          <w:p w14:paraId="02B8A08B">
            <w:pPr>
              <w:spacing w:line="200" w:lineRule="exact"/>
            </w:pPr>
            <w:r>
              <w:rPr>
                <w:rFonts w:ascii="方正黑体_GBK" w:hAnsi="方正黑体_GBK" w:eastAsia="方正黑体_GBK" w:cs="宋体"/>
                <w:sz w:val="18"/>
                <w:szCs w:val="18"/>
              </w:rPr>
              <w:t>中信信托有限责任公司成立于1988年03月01日，注册资本金1127600万元人民币。</w:t>
            </w:r>
          </w:p>
          <w:p w14:paraId="5F57E29F">
            <w:pPr>
              <w:spacing w:line="200" w:lineRule="exact"/>
            </w:pPr>
            <w:r>
              <w:rPr>
                <w:rFonts w:ascii="方正黑体_GBK" w:hAnsi="方正黑体_GBK" w:eastAsia="方正黑体_GBK" w:cs="宋体"/>
                <w:sz w:val="18"/>
                <w:szCs w:val="18"/>
              </w:rPr>
              <w:t>重庆国际信托股份有限公司成立于1984年10月22日，注册资本金150亿元。</w:t>
            </w:r>
          </w:p>
        </w:tc>
      </w:tr>
      <w:tr w14:paraId="709BB599">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A6C86C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巨额赎回</w:t>
            </w:r>
          </w:p>
        </w:tc>
        <w:tc>
          <w:tcPr>
            <w:tcW w:w="5543" w:type="dxa"/>
            <w:tcBorders>
              <w:top w:val="single" w:color="auto" w:sz="4" w:space="0"/>
              <w:left w:val="nil"/>
              <w:bottom w:val="single" w:color="auto" w:sz="4" w:space="0"/>
              <w:right w:val="single" w:color="auto" w:sz="4" w:space="0"/>
              <w:tl2br w:val="nil"/>
              <w:tr2bl w:val="nil"/>
            </w:tcBorders>
            <w:vAlign w:val="center"/>
          </w:tcPr>
          <w:p w14:paraId="629CBAAA">
            <w:pPr>
              <w:spacing w:line="200" w:lineRule="exact"/>
              <w:jc w:val="left"/>
            </w:pPr>
            <w:r>
              <w:rPr>
                <w:rFonts w:ascii="方正黑体_GBK" w:hAnsi="方正黑体_GBK" w:eastAsia="方正黑体_GBK" w:cs="宋体"/>
                <w:color w:val="000000"/>
                <w:sz w:val="18"/>
                <w:szCs w:val="18"/>
              </w:rPr>
              <w:t>本理财产品单个开放日净赎回申请超过前一产品工作日日终本理财产品总份额的10%时，触发巨额赎回。本理财产品在开放日发生巨额赎回时，管理人有权根据产品的实际运作情况采取如下措施中的一种：</w:t>
            </w:r>
          </w:p>
          <w:p w14:paraId="4796B844">
            <w:pPr>
              <w:spacing w:line="200" w:lineRule="exact"/>
              <w:jc w:val="left"/>
            </w:pPr>
            <w:r>
              <w:rPr>
                <w:rFonts w:ascii="方正黑体_GBK" w:hAnsi="方正黑体_GBK" w:eastAsia="方正黑体_GBK" w:cs="宋体"/>
                <w:color w:val="000000"/>
                <w:sz w:val="18"/>
                <w:szCs w:val="18"/>
              </w:rPr>
              <w:t>1.接受全额赎回：当管理人认为有能力兑付投资者的全部赎回申请时，将在赎回确认日按正常赎回程序执行；</w:t>
            </w:r>
          </w:p>
          <w:p w14:paraId="5EA229AB">
            <w:pPr>
              <w:spacing w:line="200" w:lineRule="exact"/>
              <w:jc w:val="left"/>
            </w:pPr>
            <w:r>
              <w:rPr>
                <w:rFonts w:ascii="方正黑体_GBK" w:hAnsi="方正黑体_GBK" w:eastAsia="方正黑体_GBK" w:cs="宋体"/>
                <w:color w:val="000000"/>
                <w:sz w:val="18"/>
                <w:szCs w:val="18"/>
              </w:rPr>
              <w:t>2.接受部分赎回：当管理人认为兑付投资者的赎回申请有困难，或认为兑付投资者的赎回申请可能会对本理财产品的资产净值造成较大波动时，在赎回确认日管理人办理的赎回份额将不低于前一产品工作日日终理财产品总份额的10%，对于其余赎回申请管理人可暂停接受或延期办理。</w:t>
            </w:r>
          </w:p>
          <w:p w14:paraId="4DD2315D">
            <w:pPr>
              <w:spacing w:line="200" w:lineRule="exact"/>
              <w:jc w:val="left"/>
            </w:pPr>
            <w:r>
              <w:rPr>
                <w:rFonts w:ascii="方正黑体_GBK" w:hAnsi="方正黑体_GBK" w:eastAsia="方正黑体_GBK" w:cs="宋体"/>
                <w:color w:val="000000"/>
                <w:sz w:val="18"/>
                <w:szCs w:val="18"/>
              </w:rPr>
              <w:t>（1）对于接受赎回申请的部分，管理人将按单个投资者的赎回申请份额占当日所有投资者的净赎回申请总份额的比例，确认该投资者当日办理的赎回申请份额。</w:t>
            </w:r>
          </w:p>
          <w:p w14:paraId="46C8184B">
            <w:pPr>
              <w:spacing w:line="200" w:lineRule="exact"/>
              <w:jc w:val="left"/>
            </w:pPr>
            <w:r>
              <w:rPr>
                <w:rFonts w:ascii="方正黑体_GBK" w:hAnsi="方正黑体_GBK" w:eastAsia="方正黑体_GBK" w:cs="宋体"/>
                <w:color w:val="000000"/>
                <w:sz w:val="18"/>
                <w:szCs w:val="18"/>
              </w:rPr>
              <w:t>（2）对于暂停接受的部分，管理人将拒绝该部分赎回申请，投资者可在下一个产品开放日再次发起赎回申请。</w:t>
            </w:r>
          </w:p>
          <w:p w14:paraId="0DC22F09">
            <w:pPr>
              <w:spacing w:line="200" w:lineRule="exact"/>
              <w:jc w:val="left"/>
            </w:pPr>
            <w:r>
              <w:rPr>
                <w:rFonts w:ascii="方正黑体_GBK" w:hAnsi="方正黑体_GBK" w:eastAsia="方正黑体_GBK" w:cs="宋体"/>
                <w:color w:val="000000"/>
                <w:sz w:val="18"/>
                <w:szCs w:val="18"/>
              </w:rPr>
              <w:t>（3）对于延期办理的部分，管理人将在下一个产品开放日自动为投资者发起该部分的赎回，赎回净值为下一个产品开放日的净值，直至该部分全部被确认。在延期办理的部分全部被确认前，投资者不可撤销该部分的赎回申请。本理财产品发生巨额赎回、管理人接受部分赎回时，对于暂停接受和延期办理的部分，管理人可能需在下一个申购或赎回开放日才可确认，可能影响投资者的资金安排。根据不同代销机构提供的服务，投资者可以在申请赎回时选择在触发巨额赎回情形下将当日未获办理部分取消或者顺延。投资者选择取消的，未获办理部分管理人将参考“2.接受部分赎回（2）对于暂停接受的部分”采取措施；投资者选择顺延的，顺延部分管理人将参考“2.接受部分赎回（3）对于延期办理的部分”采取措施。具体服务投资者可详询代销机构，最终以代销机构提供的服务为准。</w:t>
            </w:r>
          </w:p>
        </w:tc>
      </w:tr>
      <w:tr w14:paraId="7769F6F3">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E6C22A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连续巨额赎回</w:t>
            </w:r>
          </w:p>
        </w:tc>
        <w:tc>
          <w:tcPr>
            <w:tcW w:w="5543" w:type="dxa"/>
            <w:tcBorders>
              <w:top w:val="single" w:color="auto" w:sz="4" w:space="0"/>
              <w:left w:val="nil"/>
              <w:bottom w:val="single" w:color="auto" w:sz="4" w:space="0"/>
              <w:right w:val="single" w:color="auto" w:sz="4" w:space="0"/>
              <w:tl2br w:val="nil"/>
              <w:tr2bl w:val="nil"/>
            </w:tcBorders>
            <w:vAlign w:val="center"/>
          </w:tcPr>
          <w:p w14:paraId="6F4FA6FA">
            <w:pPr>
              <w:spacing w:line="200" w:lineRule="exact"/>
            </w:pPr>
            <w:r>
              <w:rPr>
                <w:rFonts w:ascii="方正黑体_GBK" w:hAnsi="方正黑体_GBK" w:eastAsia="方正黑体_GBK" w:cs="宋体"/>
                <w:color w:val="000000"/>
                <w:sz w:val="18"/>
                <w:szCs w:val="18"/>
              </w:rPr>
              <w:t>当本理财产品连续2个以上开放日发生巨额赎回时，除采取上述措施外，对于已经接受的赎回申请，管理人有权延缓支付赎回款项，但延缓期限不得超过20个工作日。此种情况下，管理人将在3个交易日内进行信息披露，投资者需重新进行资金安排。</w:t>
            </w:r>
          </w:p>
        </w:tc>
      </w:tr>
      <w:tr w14:paraId="695EBCB5">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EFFFE3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暂停接受认申购</w:t>
            </w:r>
          </w:p>
        </w:tc>
        <w:tc>
          <w:tcPr>
            <w:tcW w:w="5543" w:type="dxa"/>
            <w:tcBorders>
              <w:top w:val="single" w:color="auto" w:sz="4" w:space="0"/>
              <w:left w:val="nil"/>
              <w:bottom w:val="single" w:color="auto" w:sz="4" w:space="0"/>
              <w:right w:val="single" w:color="auto" w:sz="4" w:space="0"/>
              <w:tl2br w:val="nil"/>
              <w:tr2bl w:val="nil"/>
            </w:tcBorders>
            <w:vAlign w:val="center"/>
          </w:tcPr>
          <w:p w14:paraId="6FC4E686">
            <w:pPr>
              <w:spacing w:line="200" w:lineRule="exact"/>
            </w:pPr>
            <w:r>
              <w:rPr>
                <w:rFonts w:ascii="方正黑体_GBK" w:hAnsi="方正黑体_GBK" w:eastAsia="方正黑体_GBK" w:cs="宋体"/>
                <w:sz w:val="18"/>
                <w:szCs w:val="18"/>
              </w:rPr>
              <w:t>发生下列情形时，管理人可暂停接受投资者认申购申请：</w:t>
            </w:r>
          </w:p>
          <w:p w14:paraId="615815BA">
            <w:pPr>
              <w:spacing w:line="200" w:lineRule="exact"/>
            </w:pPr>
            <w:r>
              <w:rPr>
                <w:rFonts w:ascii="方正黑体_GBK" w:hAnsi="方正黑体_GBK" w:eastAsia="方正黑体_GBK" w:cs="宋体"/>
                <w:sz w:val="18"/>
                <w:szCs w:val="18"/>
              </w:rPr>
              <w:t>1.因不可抗力导致理财产品无法正常运作；</w:t>
            </w:r>
          </w:p>
          <w:p w14:paraId="3CF2F8DD">
            <w:pPr>
              <w:spacing w:line="200" w:lineRule="exact"/>
            </w:pPr>
            <w:r>
              <w:rPr>
                <w:rFonts w:ascii="方正黑体_GBK" w:hAnsi="方正黑体_GBK" w:eastAsia="方正黑体_GBK" w:cs="宋体"/>
                <w:sz w:val="18"/>
                <w:szCs w:val="18"/>
              </w:rPr>
              <w:t>2.因监管政策、市场发生重大变化，导致理财产品无法正常运作；</w:t>
            </w:r>
          </w:p>
          <w:p w14:paraId="4AEFF670">
            <w:pPr>
              <w:spacing w:line="200" w:lineRule="exact"/>
            </w:pPr>
            <w:r>
              <w:rPr>
                <w:rFonts w:ascii="方正黑体_GBK" w:hAnsi="方正黑体_GBK" w:eastAsia="方正黑体_GBK" w:cs="宋体"/>
                <w:sz w:val="18"/>
                <w:szCs w:val="18"/>
              </w:rPr>
              <w:t>3.管理人认为需要暂停认申购的其他情形。</w:t>
            </w:r>
          </w:p>
          <w:p w14:paraId="46FC4330">
            <w:pPr>
              <w:spacing w:line="200" w:lineRule="exact"/>
            </w:pPr>
            <w:r>
              <w:rPr>
                <w:rFonts w:ascii="方正黑体_GBK" w:hAnsi="方正黑体_GBK" w:eastAsia="方正黑体_GBK" w:cs="宋体"/>
                <w:b/>
                <w:sz w:val="18"/>
                <w:szCs w:val="18"/>
              </w:rPr>
              <w:t>若管理人暂停接受认申购申请，将在3个交易日内告知该理财产品的投资者，并说明运用相关措施的原因、拟采取的应对安排等。在暂停接受认申购申请期间，投资者需重新进行资金安排。</w:t>
            </w:r>
          </w:p>
        </w:tc>
      </w:tr>
      <w:tr w14:paraId="5CBBC4D5">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1EA763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暂停接受赎回</w:t>
            </w:r>
          </w:p>
        </w:tc>
        <w:tc>
          <w:tcPr>
            <w:tcW w:w="5543" w:type="dxa"/>
            <w:tcBorders>
              <w:top w:val="single" w:color="auto" w:sz="4" w:space="0"/>
              <w:left w:val="nil"/>
              <w:bottom w:val="single" w:color="auto" w:sz="4" w:space="0"/>
              <w:right w:val="single" w:color="auto" w:sz="4" w:space="0"/>
              <w:tl2br w:val="nil"/>
              <w:tr2bl w:val="nil"/>
            </w:tcBorders>
            <w:vAlign w:val="center"/>
          </w:tcPr>
          <w:p w14:paraId="029D3AA6">
            <w:pPr>
              <w:spacing w:line="200" w:lineRule="exact"/>
            </w:pPr>
            <w:r>
              <w:rPr>
                <w:rFonts w:ascii="方正黑体_GBK" w:hAnsi="方正黑体_GBK" w:eastAsia="方正黑体_GBK" w:cs="宋体"/>
                <w:sz w:val="18"/>
                <w:szCs w:val="18"/>
              </w:rPr>
              <w:t>当本理财产品的当期赎回量超过上期理财产品规模的20%时，管理人有权暂停接受投资者的赎回申请，已经接受的赎回申请管理人有权延缓支付赎回款项，延缓期限不超过20个工作日。</w:t>
            </w:r>
          </w:p>
          <w:p w14:paraId="43B09C07">
            <w:pPr>
              <w:spacing w:line="200" w:lineRule="exact"/>
            </w:pPr>
            <w:r>
              <w:rPr>
                <w:rFonts w:ascii="方正黑体_GBK" w:hAnsi="方正黑体_GBK" w:eastAsia="方正黑体_GBK" w:cs="宋体"/>
                <w:b/>
                <w:sz w:val="18"/>
                <w:szCs w:val="18"/>
              </w:rPr>
              <w:t>如发生以上暂停的情况，管理人将在3个交易日内告知投资者，并说明运用相关措施的原因、拟采取的应对安排等，投资者需重新进行资金安排。</w:t>
            </w:r>
          </w:p>
        </w:tc>
      </w:tr>
      <w:tr w14:paraId="0C5A4962">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0CAF2B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其他说明事项</w:t>
            </w:r>
          </w:p>
        </w:tc>
        <w:tc>
          <w:tcPr>
            <w:tcW w:w="5543" w:type="dxa"/>
            <w:tcBorders>
              <w:top w:val="single" w:color="auto" w:sz="4" w:space="0"/>
              <w:left w:val="nil"/>
              <w:bottom w:val="single" w:color="auto" w:sz="4" w:space="0"/>
              <w:right w:val="single" w:color="auto" w:sz="4" w:space="0"/>
              <w:tl2br w:val="nil"/>
              <w:tr2bl w:val="nil"/>
            </w:tcBorders>
            <w:vAlign w:val="center"/>
          </w:tcPr>
          <w:p w14:paraId="6B814B2A">
            <w:pPr>
              <w:spacing w:line="200" w:lineRule="exact"/>
              <w:jc w:val="left"/>
            </w:pPr>
            <w:r>
              <w:rPr>
                <w:rFonts w:ascii="方正黑体_GBK" w:hAnsi="方正黑体_GBK" w:eastAsia="方正黑体_GBK" w:cs="宋体"/>
                <w:sz w:val="18"/>
                <w:szCs w:val="18"/>
              </w:rPr>
              <w:t>1.本理财产品开放日内非操作时间不能进行申购/赎回申请，封闭期内不开放申购/赎回申请。</w:t>
            </w:r>
          </w:p>
          <w:p w14:paraId="42466129">
            <w:pPr>
              <w:spacing w:line="200" w:lineRule="exact"/>
              <w:jc w:val="left"/>
            </w:pPr>
            <w:r>
              <w:rPr>
                <w:rFonts w:ascii="方正黑体_GBK" w:hAnsi="方正黑体_GBK" w:eastAsia="方正黑体_GBK" w:cs="宋体"/>
                <w:sz w:val="18"/>
                <w:szCs w:val="18"/>
              </w:rPr>
              <w:t>2.管理人在本理财产品存续期间按照监管规定进行信息披露，详见本理财产品说明书第五条信息披露。</w:t>
            </w:r>
          </w:p>
          <w:p w14:paraId="29B28FD7">
            <w:pPr>
              <w:spacing w:line="200" w:lineRule="exact"/>
              <w:jc w:val="left"/>
            </w:pPr>
            <w:r>
              <w:rPr>
                <w:rFonts w:ascii="方正黑体_GBK" w:hAnsi="方正黑体_GBK" w:eastAsia="方正黑体_GBK" w:cs="宋体"/>
                <w:b/>
                <w:sz w:val="18"/>
                <w:szCs w:val="18"/>
              </w:rPr>
              <w:t>3.本理财产品投资的资产管理产品的业绩报酬、赎回费等的提取（如有）可能造成本理财产品净值的下降。</w:t>
            </w:r>
          </w:p>
          <w:p w14:paraId="70420D19">
            <w:pPr>
              <w:spacing w:line="200" w:lineRule="exact"/>
            </w:pPr>
            <w:r>
              <w:rPr>
                <w:rFonts w:ascii="方正黑体_GBK" w:hAnsi="方正黑体_GBK" w:eastAsia="方正黑体_GBK" w:cs="宋体"/>
                <w:b/>
                <w:sz w:val="18"/>
                <w:szCs w:val="18"/>
              </w:rPr>
              <w:t>4.本理财产品可能投资不存在活跃交易市场且需要采用估值技术确定公允价值的资产，且计划投资前述资产的比例达到本理财产品净资产50%以上（“以上”含本数）。</w:t>
            </w:r>
          </w:p>
        </w:tc>
      </w:tr>
      <w:tr w14:paraId="60691233">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2710D2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税务处理</w:t>
            </w:r>
          </w:p>
        </w:tc>
        <w:tc>
          <w:tcPr>
            <w:tcW w:w="5543" w:type="dxa"/>
            <w:tcBorders>
              <w:top w:val="single" w:color="auto" w:sz="4" w:space="0"/>
              <w:left w:val="nil"/>
              <w:bottom w:val="single" w:color="auto" w:sz="4" w:space="0"/>
              <w:right w:val="single" w:color="auto" w:sz="4" w:space="0"/>
              <w:tl2br w:val="nil"/>
              <w:tr2bl w:val="nil"/>
            </w:tcBorders>
            <w:vAlign w:val="center"/>
          </w:tcPr>
          <w:p w14:paraId="539B8027">
            <w:pPr>
              <w:spacing w:line="200" w:lineRule="exact"/>
            </w:pPr>
            <w:r>
              <w:rPr>
                <w:rFonts w:ascii="方正黑体_GBK" w:hAnsi="方正黑体_GBK" w:eastAsia="方正黑体_GBK" w:cs="宋体"/>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14:paraId="3EC69AA4">
      <w:pPr>
        <w:pStyle w:val="30"/>
        <w:rPr>
          <w:rFonts w:hint="eastAsia" w:ascii="方正黑体_GBK" w:hAnsi="方正黑体_GBK" w:eastAsia="方正黑体_GBK"/>
          <w:b/>
          <w:sz w:val="15"/>
          <w:szCs w:val="15"/>
        </w:rPr>
      </w:pPr>
      <w:r>
        <w:rPr>
          <w:rFonts w:ascii="方正黑体_GBK" w:hAnsi="方正黑体_GBK" w:eastAsia="方正黑体_GBK"/>
          <w:b/>
          <w:caps w:val="0"/>
          <w:smallCaps w:val="0"/>
          <w:snapToGrid/>
          <w:vanish w:val="0"/>
          <w:color w:val="auto"/>
          <w:sz w:val="15"/>
          <w:szCs w:val="15"/>
          <w:vertAlign w:val="baseline"/>
        </w:rPr>
        <w:t>特别说明：本理财产品无预期收益率，</w:t>
      </w:r>
      <w:r>
        <w:rPr>
          <w:rFonts w:ascii="方正黑体_GBK" w:hAnsi="方正黑体_GBK" w:eastAsia="方正黑体_GBK"/>
          <w:b/>
          <w:caps w:val="0"/>
          <w:smallCaps w:val="0"/>
          <w:snapToGrid/>
          <w:vanish w:val="0"/>
          <w:color w:val="auto"/>
          <w:sz w:val="15"/>
          <w:szCs w:val="15"/>
          <w:u w:val="single"/>
          <w:vertAlign w:val="baseline"/>
        </w:rPr>
        <w:t>理财产品过往业绩不代表其未来表现，不等于理财产品实际收益，</w:t>
      </w:r>
      <w:r>
        <w:rPr>
          <w:rFonts w:ascii="方正黑体_GBK" w:hAnsi="方正黑体_GBK" w:eastAsia="方正黑体_GBK"/>
          <w:b/>
          <w:caps w:val="0"/>
          <w:smallCaps w:val="0"/>
          <w:snapToGrid/>
          <w:vanish w:val="0"/>
          <w:color w:val="auto"/>
          <w:sz w:val="15"/>
          <w:szCs w:val="15"/>
          <w:vertAlign w:val="baseline"/>
        </w:rPr>
        <w:t>投资须谨慎。</w:t>
      </w:r>
    </w:p>
    <w:p w14:paraId="4583548D">
      <w:pPr>
        <w:pStyle w:val="4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outlineLvl w:val="0"/>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第二条</w:t>
      </w:r>
      <w:r>
        <w:rPr>
          <w:rFonts w:hint="eastAsia" w:ascii="方正黑体_GBK" w:hAnsi="方正黑体_GBK" w:eastAsia="方正黑体_GBK" w:cs="Times New Roman"/>
          <w:b/>
          <w:bCs/>
          <w:vanish w:val="0"/>
          <w:color w:val="3D3D3D"/>
          <w:kern w:val="0"/>
          <w:sz w:val="15"/>
          <w:szCs w:val="15"/>
        </w:rPr>
        <w:t xml:space="preserve">  </w:t>
      </w:r>
      <w:r>
        <w:rPr>
          <w:rFonts w:hint="eastAsia" w:ascii="方正黑体_GBK" w:hAnsi="方正黑体_GBK" w:eastAsia="方正黑体_GBK"/>
          <w:b/>
          <w:bCs/>
          <w:vanish w:val="0"/>
          <w:color w:val="3D3D3D"/>
          <w:kern w:val="0"/>
          <w:sz w:val="15"/>
          <w:szCs w:val="15"/>
        </w:rPr>
        <w:t>名词释义</w:t>
      </w:r>
    </w:p>
    <w:p w14:paraId="1F6B417E">
      <w:pPr>
        <w:pStyle w:val="4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89"/>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在本理财产品说明书中，除非上下文另有明确约定，下列用词将具有如下含义：</w:t>
      </w:r>
    </w:p>
    <w:p w14:paraId="6B411BAB">
      <w:pPr>
        <w:pStyle w:val="45"/>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参与主体用语</w:t>
      </w:r>
    </w:p>
    <w:p w14:paraId="075DA6D4">
      <w:pPr>
        <w:pStyle w:val="4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1.南银理财/管理人/</w:t>
      </w:r>
      <w:r>
        <w:rPr>
          <w:rFonts w:hint="eastAsia" w:ascii="方正黑体_GBK" w:hAnsi="方正黑体_GBK" w:eastAsia="方正黑体_GBK"/>
          <w:color w:val="3D3D3D"/>
          <w:kern w:val="0"/>
          <w:sz w:val="15"/>
          <w:szCs w:val="15"/>
          <w:highlight w:val="none"/>
          <w:lang w:val="en-US" w:eastAsia="zh-CN"/>
        </w:rPr>
        <w:t>产品管理人/</w:t>
      </w:r>
      <w:r>
        <w:rPr>
          <w:rFonts w:ascii="方正黑体_GBK" w:hAnsi="方正黑体_GBK" w:eastAsia="方正黑体_GBK"/>
          <w:color w:val="3D3D3D"/>
          <w:kern w:val="0"/>
          <w:sz w:val="15"/>
          <w:szCs w:val="15"/>
          <w:highlight w:val="none"/>
        </w:rPr>
        <w:t>理财产品管理人：指南银理财有限责任公司。</w:t>
      </w:r>
    </w:p>
    <w:p w14:paraId="63E620F5">
      <w:pPr>
        <w:pStyle w:val="45"/>
        <w:keepNext w:val="0"/>
        <w:keepLines w:val="0"/>
        <w:pageBreakBefore w:val="0"/>
        <w:widowControl/>
        <w:suppressLineNumbers w:val="0"/>
        <w:tabs>
          <w:tab w:val="left" w:pos="567"/>
        </w:tabs>
        <w:suppressAutoHyphens w:val="0"/>
        <w:spacing w:line="200" w:lineRule="exact"/>
        <w:ind w:firstLine="0"/>
        <w:outlineLvl w:val="1"/>
        <w:rPr>
          <w:color w:val="3D3D3D"/>
          <w:kern w:val="0"/>
          <w:sz w:val="15"/>
          <w:szCs w:val="15"/>
          <w:highlight w:val="none"/>
        </w:rPr>
      </w:pPr>
      <w:r>
        <w:rPr>
          <w:rFonts w:hint="eastAsia" w:ascii="方正黑体_GBK" w:hAnsi="方正黑体_GBK" w:eastAsia="方正黑体_GBK"/>
          <w:color w:val="3D3D3D"/>
          <w:kern w:val="0"/>
          <w:sz w:val="15"/>
          <w:szCs w:val="15"/>
          <w:highlight w:val="none"/>
          <w:lang w:eastAsia="zh-CN"/>
        </w:rPr>
        <w:t xml:space="preserve">     2.销售</w:t>
      </w:r>
      <w:r>
        <w:rPr>
          <w:rFonts w:hint="eastAsia" w:ascii="方正黑体_GBK" w:hAnsi="方正黑体_GBK" w:eastAsia="方正黑体_GBK"/>
          <w:color w:val="3D3D3D"/>
          <w:kern w:val="0"/>
          <w:sz w:val="15"/>
          <w:szCs w:val="15"/>
          <w:highlight w:val="none"/>
        </w:rPr>
        <w:t>机构：指</w:t>
      </w:r>
      <w:r>
        <w:rPr>
          <w:rFonts w:hint="eastAsia" w:ascii="方正黑体_GBK" w:hAnsi="方正黑体_GBK" w:eastAsia="方正黑体_GBK"/>
          <w:color w:val="3D3D3D"/>
          <w:kern w:val="0"/>
          <w:sz w:val="15"/>
          <w:szCs w:val="15"/>
          <w:highlight w:val="none"/>
          <w:lang w:eastAsia="zh-CN"/>
        </w:rPr>
        <w:t>本</w:t>
      </w:r>
      <w:r>
        <w:rPr>
          <w:rFonts w:hint="eastAsia" w:ascii="方正黑体_GBK" w:hAnsi="方正黑体_GBK" w:eastAsia="方正黑体_GBK"/>
          <w:color w:val="3D3D3D"/>
          <w:kern w:val="0"/>
          <w:sz w:val="15"/>
          <w:szCs w:val="15"/>
          <w:highlight w:val="none"/>
        </w:rPr>
        <w:t>理财产品的销售机构</w:t>
      </w:r>
      <w:r>
        <w:rPr>
          <w:rFonts w:hint="eastAsia" w:ascii="方正黑体_GBK" w:hAnsi="方正黑体_GBK" w:eastAsia="方正黑体_GBK"/>
          <w:color w:val="3D3D3D"/>
          <w:kern w:val="0"/>
          <w:sz w:val="15"/>
          <w:szCs w:val="15"/>
          <w:highlight w:val="none"/>
          <w:lang w:eastAsia="zh-CN"/>
        </w:rPr>
        <w:t>，</w:t>
      </w:r>
      <w:r>
        <w:rPr>
          <w:rFonts w:hint="eastAsia" w:ascii="方正黑体_GBK" w:hAnsi="方正黑体_GBK" w:eastAsia="方正黑体_GBK"/>
          <w:color w:val="3D3D3D"/>
          <w:kern w:val="0"/>
          <w:sz w:val="15"/>
          <w:szCs w:val="15"/>
          <w:highlight w:val="none"/>
          <w:lang w:val="en-US" w:eastAsia="zh-CN"/>
        </w:rPr>
        <w:t>包括</w:t>
      </w:r>
      <w:r>
        <w:rPr>
          <w:rFonts w:hint="eastAsia" w:ascii="方正黑体_GBK" w:hAnsi="方正黑体_GBK" w:eastAsia="方正黑体_GBK"/>
          <w:color w:val="3D3D3D"/>
          <w:kern w:val="0"/>
          <w:sz w:val="15"/>
          <w:szCs w:val="15"/>
          <w:highlight w:val="none"/>
        </w:rPr>
        <w:t>销售本公司发行理财产品的理财公司</w:t>
      </w:r>
      <w:r>
        <w:rPr>
          <w:rFonts w:hint="eastAsia" w:ascii="方正黑体_GBK" w:hAnsi="方正黑体_GBK" w:eastAsia="方正黑体_GBK"/>
          <w:color w:val="3D3D3D"/>
          <w:kern w:val="0"/>
          <w:sz w:val="15"/>
          <w:szCs w:val="15"/>
          <w:highlight w:val="none"/>
          <w:lang w:val="en-US" w:eastAsia="zh-CN"/>
        </w:rPr>
        <w:t>即南银理财，以及</w:t>
      </w:r>
      <w:r>
        <w:rPr>
          <w:rFonts w:hint="eastAsia" w:ascii="方正黑体_GBK" w:hAnsi="方正黑体_GBK" w:eastAsia="方正黑体_GBK"/>
          <w:color w:val="3D3D3D"/>
          <w:kern w:val="0"/>
          <w:sz w:val="15"/>
          <w:szCs w:val="15"/>
          <w:highlight w:val="none"/>
        </w:rPr>
        <w:t>接受</w:t>
      </w:r>
      <w:r>
        <w:rPr>
          <w:rFonts w:hint="eastAsia" w:ascii="方正黑体_GBK" w:hAnsi="方正黑体_GBK" w:eastAsia="方正黑体_GBK"/>
          <w:color w:val="3D3D3D"/>
          <w:kern w:val="0"/>
          <w:sz w:val="15"/>
          <w:szCs w:val="15"/>
          <w:highlight w:val="none"/>
          <w:lang w:val="en-US" w:eastAsia="zh-CN"/>
        </w:rPr>
        <w:t>南银理财</w:t>
      </w:r>
      <w:r>
        <w:rPr>
          <w:rFonts w:hint="eastAsia" w:ascii="方正黑体_GBK" w:hAnsi="方正黑体_GBK" w:eastAsia="方正黑体_GBK"/>
          <w:color w:val="3D3D3D"/>
          <w:kern w:val="0"/>
          <w:sz w:val="15"/>
          <w:szCs w:val="15"/>
          <w:highlight w:val="none"/>
        </w:rPr>
        <w:t>委托销售其发行理财产品的代理销售机构</w:t>
      </w:r>
      <w:r>
        <w:rPr>
          <w:rFonts w:hint="eastAsia" w:ascii="方正黑体_GBK" w:hAnsi="方正黑体_GBK" w:eastAsia="方正黑体_GBK"/>
          <w:color w:val="3D3D3D"/>
          <w:kern w:val="0"/>
          <w:sz w:val="15"/>
          <w:szCs w:val="15"/>
          <w:highlight w:val="none"/>
          <w:lang w:eastAsia="zh-CN"/>
        </w:rPr>
        <w:t>（</w:t>
      </w:r>
      <w:r>
        <w:rPr>
          <w:rFonts w:hint="eastAsia" w:ascii="方正黑体_GBK" w:hAnsi="方正黑体_GBK" w:eastAsia="方正黑体_GBK"/>
          <w:color w:val="3D3D3D"/>
          <w:kern w:val="0"/>
          <w:sz w:val="15"/>
          <w:szCs w:val="15"/>
          <w:highlight w:val="none"/>
          <w:lang w:val="en-US" w:eastAsia="zh-CN"/>
        </w:rPr>
        <w:t>代销机构</w:t>
      </w:r>
      <w:r>
        <w:rPr>
          <w:rFonts w:hint="eastAsia" w:ascii="方正黑体_GBK" w:hAnsi="方正黑体_GBK" w:eastAsia="方正黑体_GBK"/>
          <w:color w:val="3D3D3D"/>
          <w:kern w:val="0"/>
          <w:sz w:val="15"/>
          <w:szCs w:val="15"/>
          <w:highlight w:val="none"/>
          <w:lang w:eastAsia="zh-CN"/>
        </w:rPr>
        <w:t>）</w:t>
      </w:r>
      <w:r>
        <w:rPr>
          <w:rFonts w:hint="eastAsia" w:ascii="方正黑体_GBK" w:hAnsi="方正黑体_GBK" w:eastAsia="方正黑体_GBK"/>
          <w:color w:val="3D3D3D"/>
          <w:kern w:val="0"/>
          <w:sz w:val="15"/>
          <w:szCs w:val="15"/>
          <w:highlight w:val="none"/>
        </w:rPr>
        <w:t>。</w:t>
      </w:r>
    </w:p>
    <w:p w14:paraId="306DA25E">
      <w:pPr>
        <w:pStyle w:val="4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3.托管人：</w:t>
      </w:r>
      <w:r>
        <w:rPr>
          <w:rFonts w:hint="eastAsia" w:ascii="方正黑体_GBK" w:hAnsi="方正黑体_GBK" w:eastAsia="方正黑体_GBK"/>
          <w:color w:val="3D3D3D"/>
          <w:kern w:val="0"/>
          <w:sz w:val="15"/>
          <w:szCs w:val="15"/>
          <w:highlight w:val="none"/>
        </w:rPr>
        <w:t>指根据管理人委托，对理财产品财产进行托管的机构</w:t>
      </w:r>
      <w:r>
        <w:rPr>
          <w:rFonts w:ascii="方正黑体_GBK" w:hAnsi="方正黑体_GBK" w:eastAsia="方正黑体_GBK"/>
          <w:color w:val="3D3D3D"/>
          <w:kern w:val="0"/>
          <w:sz w:val="15"/>
          <w:szCs w:val="15"/>
          <w:highlight w:val="none"/>
        </w:rPr>
        <w:t>。</w:t>
      </w:r>
    </w:p>
    <w:p w14:paraId="27A7C52F">
      <w:pPr>
        <w:pStyle w:val="4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4.认购</w:t>
      </w:r>
      <w:r>
        <w:rPr>
          <w:rFonts w:hint="eastAsia" w:ascii="方正黑体_GBK" w:hAnsi="方正黑体_GBK" w:eastAsia="方正黑体_GBK"/>
          <w:color w:val="3D3D3D"/>
          <w:kern w:val="0"/>
          <w:sz w:val="15"/>
          <w:szCs w:val="15"/>
          <w:highlight w:val="none"/>
        </w:rPr>
        <w:t>/申购</w:t>
      </w:r>
      <w:r>
        <w:rPr>
          <w:rFonts w:ascii="方正黑体_GBK" w:hAnsi="方正黑体_GBK" w:eastAsia="方正黑体_GBK"/>
          <w:color w:val="3D3D3D"/>
          <w:kern w:val="0"/>
          <w:sz w:val="15"/>
          <w:szCs w:val="15"/>
          <w:highlight w:val="none"/>
        </w:rPr>
        <w:t>人：指在募集期</w:t>
      </w:r>
      <w:r>
        <w:rPr>
          <w:rFonts w:hint="eastAsia" w:ascii="方正黑体_GBK" w:hAnsi="方正黑体_GBK" w:eastAsia="方正黑体_GBK"/>
          <w:color w:val="3D3D3D"/>
          <w:kern w:val="0"/>
          <w:sz w:val="15"/>
          <w:szCs w:val="15"/>
          <w:highlight w:val="none"/>
        </w:rPr>
        <w:t>/开放期</w:t>
      </w:r>
      <w:r>
        <w:rPr>
          <w:rFonts w:ascii="方正黑体_GBK" w:hAnsi="方正黑体_GBK" w:eastAsia="方正黑体_GBK"/>
          <w:color w:val="3D3D3D"/>
          <w:kern w:val="0"/>
          <w:sz w:val="15"/>
          <w:szCs w:val="15"/>
          <w:highlight w:val="none"/>
        </w:rPr>
        <w:t>期间签署本理财产品销售文件并向理财产品管理人交付认购</w:t>
      </w:r>
      <w:r>
        <w:rPr>
          <w:rFonts w:hint="eastAsia" w:ascii="方正黑体_GBK" w:hAnsi="方正黑体_GBK" w:eastAsia="方正黑体_GBK"/>
          <w:color w:val="3D3D3D"/>
          <w:kern w:val="0"/>
          <w:sz w:val="15"/>
          <w:szCs w:val="15"/>
          <w:highlight w:val="none"/>
        </w:rPr>
        <w:t>/申购</w:t>
      </w:r>
      <w:r>
        <w:rPr>
          <w:rFonts w:ascii="方正黑体_GBK" w:hAnsi="方正黑体_GBK" w:eastAsia="方正黑体_GBK"/>
          <w:color w:val="3D3D3D"/>
          <w:kern w:val="0"/>
          <w:sz w:val="15"/>
          <w:szCs w:val="15"/>
          <w:highlight w:val="none"/>
        </w:rPr>
        <w:t>资金的投资者。</w:t>
      </w:r>
    </w:p>
    <w:p w14:paraId="13BDD891">
      <w:pPr>
        <w:pStyle w:val="4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5.理财产品份额持有人/持有人：指其认购或申购申请，经过管理人确认认购或申购成功，从而持有理财产品份额的投资者。</w:t>
      </w:r>
    </w:p>
    <w:p w14:paraId="56924E73">
      <w:pPr>
        <w:pStyle w:val="4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6.投资者：指购买南银理财发行的相关理财产品的符合相关法律法规及监管要求的个人或机构。</w:t>
      </w:r>
    </w:p>
    <w:p w14:paraId="73A0BFF2">
      <w:pPr>
        <w:pStyle w:val="45"/>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法律文件用语</w:t>
      </w:r>
    </w:p>
    <w:p w14:paraId="1D510402">
      <w:pPr>
        <w:pStyle w:val="4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1.销售协议书：指本理财产品对应的《理财产品销售协议书》以及对该文件的有效修改或补充。</w:t>
      </w:r>
    </w:p>
    <w:p w14:paraId="01B2122D">
      <w:pPr>
        <w:pStyle w:val="4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2.产品说明书/本理财产品说明书：指本《理财产品说明书》以及对</w:t>
      </w:r>
      <w:r>
        <w:rPr>
          <w:rFonts w:hint="eastAsia" w:ascii="方正黑体_GBK" w:hAnsi="方正黑体_GBK" w:eastAsia="方正黑体_GBK"/>
          <w:color w:val="3D3D3D"/>
          <w:kern w:val="0"/>
          <w:sz w:val="15"/>
          <w:szCs w:val="15"/>
          <w:highlight w:val="none"/>
          <w:lang w:eastAsia="zh-CN"/>
        </w:rPr>
        <w:t>该文件</w:t>
      </w:r>
      <w:r>
        <w:rPr>
          <w:rFonts w:ascii="方正黑体_GBK" w:hAnsi="方正黑体_GBK" w:eastAsia="方正黑体_GBK"/>
          <w:color w:val="3D3D3D"/>
          <w:kern w:val="0"/>
          <w:sz w:val="15"/>
          <w:szCs w:val="15"/>
          <w:highlight w:val="none"/>
        </w:rPr>
        <w:t>的有效修改或补充。</w:t>
      </w:r>
    </w:p>
    <w:p w14:paraId="2591FEC2">
      <w:pPr>
        <w:pStyle w:val="4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3.风险揭示书：指本理财产品对应的《理财产品风险揭示书》以及对该文件的有效修改或补充。</w:t>
      </w:r>
    </w:p>
    <w:p w14:paraId="4F3E96C3">
      <w:pPr>
        <w:pStyle w:val="4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4.投资者权益须知：指本理财产品对应的《投资者权益须知》以及对该文件的有效修改或补充。</w:t>
      </w:r>
    </w:p>
    <w:p w14:paraId="5D1AA989">
      <w:pPr>
        <w:pStyle w:val="4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5.投资协议书</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指本理财产品对应的《理财产品投资协议书》以及对该文件的有效修改或补充。</w:t>
      </w:r>
    </w:p>
    <w:p w14:paraId="21E95D3B">
      <w:pPr>
        <w:pStyle w:val="4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6.销售文件：指本理财产品对应的产品说明书、风险揭示书、投资者权益须知</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销售协议书</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投资协议书等。</w:t>
      </w:r>
      <w:r>
        <w:rPr>
          <w:rFonts w:ascii="方正黑体_GBK" w:hAnsi="方正黑体_GBK" w:eastAsia="方正黑体_GBK"/>
          <w:bCs/>
          <w:color w:val="3D3D3D"/>
          <w:kern w:val="0"/>
          <w:sz w:val="15"/>
          <w:szCs w:val="15"/>
          <w:highlight w:val="none"/>
        </w:rPr>
        <w:t>上述文件共同构成本理财产品完整且不可分割的销售文件。</w:t>
      </w:r>
    </w:p>
    <w:p w14:paraId="3C14FD1B">
      <w:pPr>
        <w:pStyle w:val="45"/>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期间与日期</w:t>
      </w:r>
    </w:p>
    <w:p w14:paraId="774AD250">
      <w:pPr>
        <w:pStyle w:val="4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1.募集期：指管理人确定的接受投资者认购本理财产品的起止期限。</w:t>
      </w:r>
    </w:p>
    <w:p w14:paraId="7694546B">
      <w:pPr>
        <w:pStyle w:val="4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2.开放期：指管理人确定的除募集期外接受投资者申购、赎回本理财产品的起止期限。</w:t>
      </w:r>
    </w:p>
    <w:p w14:paraId="5AE0EA84">
      <w:pPr>
        <w:pStyle w:val="4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3.提前终止权行使日：指管理人行使提前终止权的日期，即本理财产品被提前终止、开始停止计算收益的日期。</w:t>
      </w:r>
    </w:p>
    <w:p w14:paraId="5F1C9A3A">
      <w:pPr>
        <w:pStyle w:val="4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4.延期终止日：指管理人根据本理财产品说明书约定延长理财产品存续期后本理财产品的终止日，即本理财产品被延期终止、开始停止计算收益的日期。</w:t>
      </w:r>
    </w:p>
    <w:p w14:paraId="6257FB9C">
      <w:pPr>
        <w:pStyle w:val="4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5.认购、申购、赎回确认日：指投资者认购、申购、赎回理财产品最终确认日期。</w:t>
      </w:r>
    </w:p>
    <w:p w14:paraId="31397F41">
      <w:pPr>
        <w:pStyle w:val="4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6.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14:paraId="2CA25815">
      <w:pPr>
        <w:pStyle w:val="4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7.产品存续期：指理财产品成立至终止的期间。</w:t>
      </w:r>
    </w:p>
    <w:p w14:paraId="428B6B22">
      <w:pPr>
        <w:pStyle w:val="4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8.名义到期日：指在管理人未对本理财产品提前终止或延期终止的情况下本理财产品的到期日期。</w:t>
      </w:r>
    </w:p>
    <w:p w14:paraId="3CF525D5">
      <w:pPr>
        <w:pStyle w:val="4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9.到期日/终止日：指管理人实际开始停止计算本理财产品收益的日期。若本理财产品未提前终止或延期终止，则到期日/终止日即为名义到期日；若本理财产品被提前终止，则到期日/终止日为提前终止权行使日；若本理财产品被延期终止，则到期日/终止日为延期终止日。</w:t>
      </w:r>
    </w:p>
    <w:p w14:paraId="28ACE42D">
      <w:pPr>
        <w:pStyle w:val="4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10.工作日：指除国家法定节假日和休息日（包括周六、周日）外的日期。</w:t>
      </w:r>
    </w:p>
    <w:p w14:paraId="6FA0FE53">
      <w:pPr>
        <w:pStyle w:val="4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11.交易日：指上海证券交易所和深圳证券交易所的正常开盘交易日。</w:t>
      </w:r>
    </w:p>
    <w:p w14:paraId="3CCD3B34">
      <w:pPr>
        <w:pStyle w:val="4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12.支付日：指根据本理财产品说明书约定向销售文件约定的投资者授权指定账户划付理财产品资金之日。</w:t>
      </w:r>
    </w:p>
    <w:p w14:paraId="48E080E4">
      <w:pPr>
        <w:pStyle w:val="4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13.赎回或到期清算分配资金到账日：指赎回或到期清算分配资金划入销售文件约定的投资者授权指定账户之日。</w:t>
      </w:r>
    </w:p>
    <w:p w14:paraId="18C89543">
      <w:pPr>
        <w:pStyle w:val="45"/>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理财产品用语</w:t>
      </w:r>
    </w:p>
    <w:p w14:paraId="12EB36C4">
      <w:pPr>
        <w:pStyle w:val="45"/>
        <w:keepNext w:val="0"/>
        <w:keepLines w:val="0"/>
        <w:pageBreakBefore w:val="0"/>
        <w:widowControl/>
        <w:suppressLineNumbers w:val="0"/>
        <w:tabs>
          <w:tab w:val="left" w:pos="567"/>
        </w:tabs>
        <w:suppressAutoHyphens w:val="0"/>
        <w:spacing w:line="200" w:lineRule="exact"/>
        <w:ind w:left="289" w:firstLine="0"/>
        <w:rPr>
          <w:rFonts w:ascii="方正黑体_GBK" w:hAnsi="方正黑体_GBK" w:eastAsia="方正黑体_GBK"/>
          <w:vanish w:val="0"/>
          <w:color w:val="3D3D3D"/>
          <w:kern w:val="0"/>
          <w:sz w:val="15"/>
          <w:szCs w:val="15"/>
        </w:rPr>
      </w:pPr>
      <w:r>
        <w:rPr>
          <w:rFonts w:ascii="方正黑体_GBK" w:hAnsi="方正黑体_GBK" w:eastAsia="方正黑体_GBK"/>
          <w:color w:val="3D3D3D"/>
          <w:kern w:val="0"/>
          <w:sz w:val="15"/>
          <w:szCs w:val="15"/>
          <w:highlight w:val="none"/>
        </w:rPr>
        <w:t xml:space="preserve"> 1.本理财产品/理财产品：</w:t>
      </w:r>
      <w:r>
        <w:rPr>
          <w:rFonts w:hint="eastAsia" w:ascii="方正黑体_GBK" w:hAnsi="方正黑体_GBK" w:eastAsia="方正黑体_GBK" w:cs="Times New Roman"/>
          <w:vanish w:val="0"/>
          <w:color w:val="3D3D3D"/>
          <w:kern w:val="0"/>
          <w:sz w:val="15"/>
          <w:szCs w:val="15"/>
        </w:rPr>
        <w:t xml:space="preserve"> </w:t>
      </w:r>
      <w:r>
        <w:rPr>
          <w:rFonts w:ascii="方正黑体_GBK" w:hAnsi="方正黑体_GBK" w:eastAsia="方正黑体_GBK"/>
          <w:b/>
          <w:bCs/>
          <w:caps w:val="0"/>
          <w:smallCaps w:val="0"/>
          <w:snapToGrid/>
          <w:vanish w:val="0"/>
          <w:color w:val="3D3D3D"/>
          <w:kern w:val="0"/>
          <w:sz w:val="15"/>
          <w:szCs w:val="15"/>
          <w:vertAlign w:val="baseline"/>
          <w:lang w:val="en-US" w:eastAsia="zh-CN"/>
        </w:rPr>
        <w:t>南银理财珠联璧合安稳1903一年定开公募人民币理财产品</w:t>
      </w:r>
      <w:r>
        <w:rPr>
          <w:rFonts w:hint="eastAsia" w:ascii="方正黑体_GBK" w:hAnsi="方正黑体_GBK" w:eastAsia="方正黑体_GBK"/>
          <w:vanish w:val="0"/>
          <w:color w:val="3D3D3D"/>
          <w:kern w:val="0"/>
          <w:sz w:val="15"/>
          <w:szCs w:val="15"/>
        </w:rPr>
        <w:t>。</w:t>
      </w:r>
    </w:p>
    <w:p w14:paraId="4DAACA1C">
      <w:pPr>
        <w:pStyle w:val="4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2.认购金额/申购金额/投资本金：指投资者认购或申购本理财产品的本金金额。为避免疑义，认购金额/申购金额/投资本金的称谓仅为方便计算理财产品投资收益而创设的，并非对投资者投资本金不受损失的承诺。</w:t>
      </w:r>
    </w:p>
    <w:p w14:paraId="1FA70FE9">
      <w:pPr>
        <w:pStyle w:val="4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3.投资收益：指投资者投资理财产品份额获得的投资收益，该收益为其获得分配的全部理财产品赎回资金或到期清算分配资金中扣除投资本金的部分。</w:t>
      </w:r>
    </w:p>
    <w:p w14:paraId="69B2344A">
      <w:pPr>
        <w:pStyle w:val="4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4.理财产品份额/产品份额：指投资者持有本理财产品的单位数额。投资者基于其所持有的理财产品单位数额享有理财产品利益、承担理财产品风险。</w:t>
      </w:r>
    </w:p>
    <w:p w14:paraId="1B4A09A0">
      <w:pPr>
        <w:pStyle w:val="4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产品资产净值=产品资产总值-产品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14:paraId="64A65DC9">
      <w:pPr>
        <w:pStyle w:val="45"/>
        <w:keepNext w:val="0"/>
        <w:keepLines w:val="0"/>
        <w:pageBreakBefore w:val="0"/>
        <w:widowControl/>
        <w:suppressLineNumbers w:val="0"/>
        <w:tabs>
          <w:tab w:val="left" w:pos="567"/>
        </w:tabs>
        <w:suppressAutoHyphens w:val="0"/>
        <w:spacing w:line="200" w:lineRule="exact"/>
        <w:ind w:left="289" w:firstLine="0"/>
        <w:outlineLvl w:val="1"/>
      </w:pPr>
      <w:r>
        <w:rPr>
          <w:rFonts w:ascii="方正黑体_GBK" w:hAnsi="方正黑体_GBK" w:eastAsia="方正黑体_GBK"/>
          <w:color w:val="3D3D3D"/>
          <w:kern w:val="0"/>
          <w:sz w:val="15"/>
          <w:szCs w:val="15"/>
          <w:highlight w:val="none"/>
        </w:rPr>
        <w:t xml:space="preserve"> 6.单位净值/产品每份额净值：指理财产品每单位份额的净值，即每1份理财产品份额以人民币计价的价格。</w:t>
      </w:r>
      <w:r>
        <w:rPr>
          <w:rFonts w:ascii="方正黑体_GBK" w:hAnsi="方正黑体_GBK" w:eastAsia="方正黑体_GBK"/>
          <w:bCs/>
          <w:color w:val="3D3D3D"/>
          <w:kern w:val="0"/>
          <w:sz w:val="15"/>
          <w:szCs w:val="15"/>
          <w:highlight w:val="none"/>
        </w:rPr>
        <w:t>产品份额净值=产品资产净值/产品总份额。投资者按该份额净值进行理财产品认购、申购和赎回、获得到期/终止时分配。</w:t>
      </w:r>
      <w:r>
        <w:rPr>
          <w:rFonts w:ascii="方正黑体_GBK" w:hAnsi="方正黑体_GBK" w:eastAsia="方正黑体_GBK"/>
          <w:color w:val="3D3D3D"/>
          <w:kern w:val="0"/>
          <w:sz w:val="15"/>
          <w:szCs w:val="15"/>
        </w:rPr>
        <w:t>产品份额净值按去尾法保留4位小数。</w:t>
      </w:r>
    </w:p>
    <w:p w14:paraId="4460A8B5">
      <w:pPr>
        <w:pStyle w:val="4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7.理财产品估值/估值：指计算评估理财产品资产以确定理财产品份额单位净值的过程。</w:t>
      </w:r>
    </w:p>
    <w:p w14:paraId="47F145B3">
      <w:pPr>
        <w:pStyle w:val="4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8.业绩比较基准：指管理人基于</w:t>
      </w:r>
      <w:r>
        <w:rPr>
          <w:rFonts w:hint="eastAsia" w:ascii="方正黑体_GBK" w:hAnsi="方正黑体_GBK" w:eastAsia="方正黑体_GBK"/>
          <w:color w:val="3D3D3D"/>
          <w:kern w:val="0"/>
          <w:sz w:val="15"/>
          <w:szCs w:val="15"/>
          <w:highlight w:val="none"/>
          <w:lang w:val="en-US" w:eastAsia="zh-CN"/>
        </w:rPr>
        <w:t>产品性质、投资策略、</w:t>
      </w:r>
      <w:r>
        <w:rPr>
          <w:rFonts w:ascii="方正黑体_GBK" w:hAnsi="方正黑体_GBK" w:eastAsia="方正黑体_GBK"/>
          <w:color w:val="3D3D3D"/>
          <w:kern w:val="0"/>
          <w:sz w:val="15"/>
          <w:szCs w:val="15"/>
          <w:highlight w:val="none"/>
        </w:rPr>
        <w:t>过往投资经验及对产品存续期投资市场波动的预判而对本理财产品所设定的投资目标，业绩比较基准不代表本理财产品的未来表现和实际收益，</w:t>
      </w:r>
      <w:r>
        <w:rPr>
          <w:rFonts w:hint="eastAsia" w:ascii="方正黑体_GBK" w:hAnsi="方正黑体_GBK" w:eastAsia="方正黑体_GBK"/>
          <w:color w:val="3D3D3D"/>
          <w:kern w:val="0"/>
          <w:sz w:val="15"/>
          <w:szCs w:val="15"/>
          <w:highlight w:val="none"/>
          <w:lang w:val="en-US" w:eastAsia="zh-CN"/>
        </w:rPr>
        <w:t>不构成</w:t>
      </w:r>
      <w:r>
        <w:rPr>
          <w:rFonts w:ascii="方正黑体_GBK" w:hAnsi="方正黑体_GBK" w:eastAsia="方正黑体_GBK"/>
          <w:color w:val="3D3D3D"/>
          <w:kern w:val="0"/>
          <w:sz w:val="15"/>
          <w:szCs w:val="15"/>
          <w:highlight w:val="none"/>
        </w:rPr>
        <w:t>管理人对本理财产品收益</w:t>
      </w:r>
      <w:r>
        <w:rPr>
          <w:rFonts w:hint="eastAsia" w:ascii="方正黑体_GBK" w:hAnsi="方正黑体_GBK" w:eastAsia="方正黑体_GBK"/>
          <w:color w:val="3D3D3D"/>
          <w:kern w:val="0"/>
          <w:sz w:val="15"/>
          <w:szCs w:val="15"/>
          <w:highlight w:val="none"/>
          <w:lang w:val="en-US" w:eastAsia="zh-CN"/>
        </w:rPr>
        <w:t>的</w:t>
      </w:r>
      <w:r>
        <w:rPr>
          <w:rFonts w:ascii="方正黑体_GBK" w:hAnsi="方正黑体_GBK" w:eastAsia="方正黑体_GBK"/>
          <w:color w:val="3D3D3D"/>
          <w:kern w:val="0"/>
          <w:sz w:val="15"/>
          <w:szCs w:val="15"/>
          <w:highlight w:val="none"/>
        </w:rPr>
        <w:t>承诺。</w:t>
      </w:r>
    </w:p>
    <w:p w14:paraId="57772396">
      <w:pPr>
        <w:pStyle w:val="4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9.认购：指投资者根据产品说明书约定在募集期内申请购买本理财产品的理财产品份额的行为。</w:t>
      </w:r>
    </w:p>
    <w:p w14:paraId="2F54E36D">
      <w:pPr>
        <w:pStyle w:val="4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10.申购、赎回申请：指在理财产品的开放期内，投资者向理财产品管理人提出申请对理财产品份额进行购买或卖出的行为。</w:t>
      </w:r>
    </w:p>
    <w:p w14:paraId="4DE39ED3">
      <w:pPr>
        <w:pStyle w:val="4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11.提前终止/延期终止权：指在本理财产品存续期内，管理人单方面根据本理财产品销售文件的约定提前终止/延期终止本理财产品的权利。</w:t>
      </w:r>
    </w:p>
    <w:p w14:paraId="5A6FA28E">
      <w:pPr>
        <w:pStyle w:val="4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12.授权指定账户：指投资者用于支付理财产品的认购或申购资金，并用于接收理财产品分红或赎回或到期清算分配款项的银行账户。</w:t>
      </w:r>
    </w:p>
    <w:p w14:paraId="2F83A918">
      <w:pPr>
        <w:pStyle w:val="4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13.固定收益类理财产品：指投资于存款、债券等债权类资产的比例不低于80%的理财产品。</w:t>
      </w:r>
    </w:p>
    <w:p w14:paraId="6AEE8B44">
      <w:pPr>
        <w:pStyle w:val="4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14.权益类理财产品：指投资于权益类资产的比例不低于80%的理财产品。</w:t>
      </w:r>
    </w:p>
    <w:p w14:paraId="6554585E">
      <w:pPr>
        <w:pStyle w:val="4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15.商品及金融衍生品类理财产品：指投资于商品及金融衍生品的比例不低于80%的理财产品。</w:t>
      </w:r>
    </w:p>
    <w:p w14:paraId="32620255">
      <w:pPr>
        <w:pStyle w:val="4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16.混合类理财产品：指投资于债权类资产、权益类资产、商品及金融衍生品类资产且任一资产的投资比例</w:t>
      </w:r>
      <w:r>
        <w:rPr>
          <w:rFonts w:hint="eastAsia" w:ascii="方正黑体_GBK" w:hAnsi="方正黑体_GBK" w:eastAsia="方正黑体_GBK"/>
          <w:color w:val="3D3D3D"/>
          <w:kern w:val="0"/>
          <w:sz w:val="15"/>
          <w:szCs w:val="15"/>
        </w:rPr>
        <w:t>均</w:t>
      </w:r>
      <w:r>
        <w:rPr>
          <w:rFonts w:ascii="方正黑体_GBK" w:hAnsi="方正黑体_GBK" w:eastAsia="方正黑体_GBK"/>
          <w:color w:val="3D3D3D"/>
          <w:kern w:val="0"/>
          <w:sz w:val="15"/>
          <w:szCs w:val="15"/>
        </w:rPr>
        <w:t>未达到80%的理财产品。</w:t>
      </w:r>
    </w:p>
    <w:p w14:paraId="68532EBE">
      <w:pPr>
        <w:pStyle w:val="4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17.公募理财产品：指面向不特定社会公众公开发行的理财产品。</w:t>
      </w:r>
    </w:p>
    <w:p w14:paraId="5A1C34E0">
      <w:pPr>
        <w:pStyle w:val="4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18.私募理财产品：指面向合格投资者非公开发行的理财产品。</w:t>
      </w:r>
    </w:p>
    <w:p w14:paraId="41DDAF8E">
      <w:pPr>
        <w:pStyle w:val="45"/>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其他</w:t>
      </w:r>
    </w:p>
    <w:p w14:paraId="4845634D">
      <w:pPr>
        <w:pStyle w:val="45"/>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none"/>
        </w:rPr>
      </w:pPr>
      <w:r>
        <w:rPr>
          <w:rFonts w:ascii="方正黑体_GBK" w:hAnsi="方正黑体_GBK" w:eastAsia="方正黑体_GBK"/>
          <w:color w:val="3D3D3D"/>
          <w:kern w:val="0"/>
          <w:sz w:val="15"/>
          <w:szCs w:val="15"/>
          <w:highlight w:val="none"/>
        </w:rPr>
        <w:t xml:space="preserve"> 1.不可抗力：指理财产品各方不能预见、不能避免且不能克服的客观情况，该事件妨碍、影响或延误任何一方依相关理财产品销售文件的约定履行其全部或部分义务。该事件包括但不限于：</w:t>
      </w:r>
    </w:p>
    <w:p w14:paraId="5BD40A5C">
      <w:pPr>
        <w:pStyle w:val="58"/>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自然灾害、地震、台风、海啸、洪水、火灾、停电、突发性公共卫生事件；</w:t>
      </w:r>
    </w:p>
    <w:p w14:paraId="6E982220">
      <w:pPr>
        <w:pStyle w:val="58"/>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罢工、内战、战争、军事行动、任何种类的恐怖活动、暴动、公众示威或抗议；</w:t>
      </w:r>
    </w:p>
    <w:p w14:paraId="302CBF66">
      <w:pPr>
        <w:pStyle w:val="58"/>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新的适用法律或国家政策的颁布或实施、对原适用法律或国家政策的修改；</w:t>
      </w:r>
    </w:p>
    <w:p w14:paraId="6E3EC397">
      <w:pPr>
        <w:pStyle w:val="58"/>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任何政府机关或其他机关的行为</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不论是在法律上或是在事实上</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、法律、法规、条例、规则、规定、裁决、命令或指令（包括国有化或对外限制、外汇管制）、诉讼或威胁；</w:t>
      </w:r>
    </w:p>
    <w:p w14:paraId="30E38BD7">
      <w:pPr>
        <w:pStyle w:val="58"/>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中国</w:t>
      </w:r>
      <w:r>
        <w:rPr>
          <w:rFonts w:hint="eastAsia" w:ascii="方正黑体_GBK" w:hAnsi="方正黑体_GBK" w:eastAsia="方正黑体_GBK"/>
          <w:color w:val="3D3D3D"/>
          <w:kern w:val="0"/>
          <w:sz w:val="15"/>
          <w:szCs w:val="15"/>
          <w:highlight w:val="none"/>
        </w:rPr>
        <w:t>境内</w:t>
      </w:r>
      <w:r>
        <w:rPr>
          <w:rFonts w:ascii="方正黑体_GBK" w:hAnsi="方正黑体_GBK" w:eastAsia="方正黑体_GBK"/>
          <w:color w:val="3D3D3D"/>
          <w:kern w:val="0"/>
          <w:sz w:val="15"/>
          <w:szCs w:val="15"/>
          <w:highlight w:val="none"/>
        </w:rPr>
        <w:t>或全球金融外汇市场发生致使甲方无法进行货币兑换、划转等的异常变化；</w:t>
      </w:r>
    </w:p>
    <w:p w14:paraId="4C61EEDE">
      <w:pPr>
        <w:pStyle w:val="58"/>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因理财产品各方和/或其关联方运营网络系统遭受黑客攻击、电信部门技术调整或故障等原因而造成的理财产品各方和/或其关联方之服务、营业的中断或者延迟。</w:t>
      </w:r>
    </w:p>
    <w:p w14:paraId="3BFC4E9E">
      <w:pPr>
        <w:pStyle w:val="45"/>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none"/>
        </w:rPr>
      </w:pPr>
      <w:r>
        <w:rPr>
          <w:rFonts w:ascii="方正黑体_GBK" w:hAnsi="方正黑体_GBK" w:eastAsia="方正黑体_GBK"/>
          <w:color w:val="3D3D3D"/>
          <w:kern w:val="0"/>
          <w:sz w:val="15"/>
          <w:szCs w:val="15"/>
          <w:highlight w:val="none"/>
        </w:rPr>
        <w:t xml:space="preserve"> 2.中国：指中华人民共和国（为本理财产品销售文件之目的，不包括香港特别行政区、澳门特别行政区和台湾地区）。</w:t>
      </w:r>
    </w:p>
    <w:p w14:paraId="6357651A">
      <w:pPr>
        <w:pStyle w:val="45"/>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none"/>
        </w:rPr>
      </w:pPr>
      <w:r>
        <w:rPr>
          <w:rFonts w:ascii="方正黑体_GBK" w:hAnsi="方正黑体_GBK" w:eastAsia="方正黑体_GBK"/>
          <w:color w:val="3D3D3D"/>
          <w:kern w:val="0"/>
          <w:sz w:val="15"/>
          <w:szCs w:val="15"/>
          <w:highlight w:val="none"/>
        </w:rPr>
        <w:t xml:space="preserve"> 3.元：指人民币元。</w:t>
      </w:r>
    </w:p>
    <w:p w14:paraId="47B57672">
      <w:pPr>
        <w:pStyle w:val="45"/>
        <w:keepNext w:val="0"/>
        <w:keepLines w:val="0"/>
        <w:pageBreakBefore w:val="0"/>
        <w:widowControl/>
        <w:suppressLineNumbers w:val="0"/>
        <w:tabs>
          <w:tab w:val="left" w:pos="567"/>
        </w:tabs>
        <w:suppressAutoHyphens w:val="0"/>
        <w:spacing w:line="200" w:lineRule="exact"/>
        <w:ind w:left="289" w:firstLine="0"/>
        <w:rPr>
          <w:rFonts w:hint="eastAsia" w:ascii="方正黑体_GBK" w:hAnsi="方正黑体_GBK" w:eastAsia="方正黑体_GBK"/>
          <w:color w:val="3D3D3D"/>
          <w:kern w:val="0"/>
          <w:sz w:val="15"/>
          <w:szCs w:val="15"/>
          <w:lang w:val="en-US" w:eastAsia="zh-CN"/>
        </w:rPr>
      </w:pPr>
      <w:r>
        <w:rPr>
          <w:rFonts w:ascii="方正黑体_GBK" w:hAnsi="方正黑体_GBK" w:eastAsia="方正黑体_GBK"/>
          <w:color w:val="3D3D3D"/>
          <w:kern w:val="0"/>
          <w:sz w:val="15"/>
          <w:szCs w:val="15"/>
          <w:highlight w:val="none"/>
        </w:rPr>
        <w:t xml:space="preserve"> 4.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14:paraId="0F119FAD">
      <w:pPr>
        <w:pStyle w:val="30"/>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rPr>
          <w:rFonts w:hint="eastAsia"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第三条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情景示例</w:t>
      </w:r>
    </w:p>
    <w:p w14:paraId="71BD20A6">
      <w:pPr>
        <w:spacing w:line="200" w:lineRule="exact"/>
        <w:ind w:firstLine="280"/>
        <w:jc w:val="left"/>
      </w:pPr>
      <w:r>
        <w:rPr>
          <w:rFonts w:ascii="方正黑体_GBK" w:hAnsi="方正黑体_GBK" w:eastAsia="方正黑体_GBK" w:cs="宋体"/>
          <w:sz w:val="15"/>
          <w:szCs w:val="20"/>
        </w:rPr>
        <w:t>假设：投资者认购本理财产品10万元，成立日当日产品净值为1.0000元，折算份额100,000份。</w:t>
      </w:r>
    </w:p>
    <w:p w14:paraId="6EFAE914">
      <w:pPr>
        <w:spacing w:line="200" w:lineRule="exact"/>
        <w:ind w:firstLine="280"/>
        <w:jc w:val="left"/>
      </w:pPr>
      <w:r>
        <w:rPr>
          <w:rFonts w:ascii="方正黑体_GBK" w:hAnsi="方正黑体_GBK" w:eastAsia="方正黑体_GBK" w:cs="宋体"/>
          <w:sz w:val="15"/>
          <w:szCs w:val="20"/>
        </w:rPr>
        <w:t>情景示例一：产品赎回确认时，扣除所有税费后（如有业绩报酬，已扣除）的赎回确认每份额净值为1.0300，则客户在资金到帐日收到到期款项为103,000元。</w:t>
      </w:r>
    </w:p>
    <w:p w14:paraId="237B5380">
      <w:pPr>
        <w:spacing w:line="200" w:lineRule="exact"/>
        <w:ind w:firstLine="280"/>
        <w:jc w:val="left"/>
      </w:pPr>
      <w:r>
        <w:rPr>
          <w:rFonts w:ascii="方正黑体_GBK" w:hAnsi="方正黑体_GBK" w:eastAsia="方正黑体_GBK" w:cs="宋体"/>
          <w:sz w:val="15"/>
          <w:szCs w:val="20"/>
        </w:rPr>
        <w:t>情景示例二：产品赎回确认时，扣除所有税费后（如有业绩报酬，已扣除）的赎回确认每份额净值为0.9700，则客户在资金到帐日收到到期款项为97,000元。</w:t>
      </w:r>
    </w:p>
    <w:p w14:paraId="1DC744F1">
      <w:pPr>
        <w:spacing w:line="200" w:lineRule="exact"/>
      </w:pPr>
      <w:r>
        <w:rPr>
          <w:rFonts w:ascii="方正黑体_GBK" w:hAnsi="方正黑体_GBK" w:eastAsia="方正黑体_GBK" w:cs="宋体"/>
          <w:sz w:val="15"/>
          <w:szCs w:val="20"/>
        </w:rPr>
        <w:t xml:space="preserve"> 以上数据为假设情形中的模拟数据，不代表实际收益，投资须谨慎。</w:t>
      </w:r>
    </w:p>
    <w:p w14:paraId="2FA407D2">
      <w:pPr>
        <w:pStyle w:val="30"/>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hint="eastAsia" w:ascii="方正黑体_GBK" w:hAnsi="方正黑体_GBK" w:eastAsia="方正黑体_GBK"/>
          <w:vanish w:val="0"/>
          <w:sz w:val="15"/>
          <w:szCs w:val="15"/>
        </w:rPr>
      </w:pPr>
      <w:r>
        <w:rPr>
          <w:rFonts w:hint="eastAsia" w:ascii="方正黑体_GBK" w:hAnsi="方正黑体_GBK" w:eastAsia="方正黑体_GBK"/>
          <w:b/>
          <w:bCs/>
          <w:vanish w:val="0"/>
          <w:color w:val="auto"/>
          <w:kern w:val="0"/>
          <w:sz w:val="15"/>
          <w:szCs w:val="15"/>
        </w:rPr>
        <w:t>特别提请投资者注意的是，上述收益率测算仅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14:paraId="5811C703">
      <w:pPr>
        <w:pStyle w:val="30"/>
        <w:keepNext w:val="0"/>
        <w:keepLines w:val="0"/>
        <w:pageBreakBefore w:val="0"/>
        <w:widowControl/>
        <w:suppressLineNumbers w:val="0"/>
        <w:suppressAutoHyphens w:val="0"/>
        <w:spacing w:line="200" w:lineRule="exact"/>
        <w:ind w:firstLine="300" w:firstLineChars="200"/>
        <w:rPr>
          <w:rFonts w:hint="eastAsia" w:ascii="方正黑体_GBK" w:hAnsi="方正黑体_GBK" w:eastAsia="方正黑体_GBK"/>
          <w:sz w:val="20"/>
          <w:szCs w:val="20"/>
          <w:lang w:val="en-US" w:eastAsia="zh-CN"/>
        </w:rPr>
      </w:pPr>
      <w:r>
        <w:rPr>
          <w:rFonts w:hint="eastAsia" w:ascii="方正黑体_GBK" w:hAnsi="方正黑体_GBK" w:eastAsia="方正黑体_GBK"/>
          <w:b/>
          <w:bCs/>
          <w:vanish w:val="0"/>
          <w:kern w:val="0"/>
          <w:sz w:val="15"/>
          <w:szCs w:val="15"/>
        </w:rPr>
        <w:t>风险提示：如出现本理财产品所投资的资产或资产组合项下义务人出现无法兑付本金等极端情况，产品运作到期后投资者可能无收益，并可能损失全部本金。</w:t>
      </w:r>
    </w:p>
    <w:p w14:paraId="57958AC5">
      <w:pPr>
        <w:pStyle w:val="30"/>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rPr>
          <w:rFonts w:ascii="方正黑体_GBK" w:hAnsi="方正黑体_GBK" w:eastAsia="方正黑体_GBK"/>
          <w:b/>
          <w:bCs w:val="0"/>
          <w:vanish w:val="0"/>
          <w:color w:val="auto"/>
          <w:kern w:val="0"/>
          <w:sz w:val="15"/>
          <w:szCs w:val="15"/>
        </w:rPr>
      </w:pPr>
      <w:r>
        <w:rPr>
          <w:rFonts w:hint="eastAsia" w:ascii="方正黑体_GBK" w:hAnsi="方正黑体_GBK" w:eastAsia="方正黑体_GBK"/>
          <w:b/>
          <w:bCs/>
          <w:vanish w:val="0"/>
          <w:color w:val="auto"/>
          <w:kern w:val="0"/>
          <w:sz w:val="15"/>
          <w:szCs w:val="15"/>
        </w:rPr>
        <w:t>第四</w:t>
      </w:r>
      <w:r>
        <w:rPr>
          <w:rFonts w:hint="eastAsia" w:ascii="方正黑体_GBK" w:hAnsi="方正黑体_GBK" w:eastAsia="方正黑体_GBK"/>
          <w:b/>
          <w:bCs w:val="0"/>
          <w:vanish w:val="0"/>
          <w:color w:val="auto"/>
          <w:kern w:val="0"/>
          <w:sz w:val="15"/>
          <w:szCs w:val="15"/>
        </w:rPr>
        <w:t>条</w:t>
      </w:r>
      <w:r>
        <w:rPr>
          <w:rFonts w:hint="eastAsia" w:ascii="方正黑体_GBK" w:hAnsi="方正黑体_GBK" w:eastAsia="方正黑体_GBK" w:cs="Times New Roman"/>
          <w:b/>
          <w:bCs w:val="0"/>
          <w:vanish w:val="0"/>
          <w:color w:val="auto"/>
          <w:kern w:val="0"/>
          <w:sz w:val="15"/>
          <w:szCs w:val="15"/>
        </w:rPr>
        <w:t xml:space="preserve">  </w:t>
      </w:r>
      <w:r>
        <w:rPr>
          <w:rFonts w:hint="eastAsia" w:ascii="方正黑体_GBK" w:hAnsi="方正黑体_GBK" w:eastAsia="方正黑体_GBK"/>
          <w:b/>
          <w:bCs w:val="0"/>
          <w:vanish w:val="0"/>
          <w:color w:val="auto"/>
          <w:kern w:val="0"/>
          <w:sz w:val="15"/>
          <w:szCs w:val="15"/>
        </w:rPr>
        <w:t>理财产品估值</w:t>
      </w:r>
    </w:p>
    <w:p w14:paraId="25C4CBE4">
      <w:pPr>
        <w:spacing w:line="200" w:lineRule="exact"/>
        <w:ind w:firstLine="300"/>
        <w:jc w:val="both"/>
      </w:pPr>
      <w:r>
        <w:rPr>
          <w:rFonts w:ascii="方正黑体_GBK" w:hAnsi="方正黑体_GBK" w:eastAsia="方正黑体_GBK" w:cs="宋体"/>
          <w:sz w:val="15"/>
          <w:szCs w:val="20"/>
        </w:rPr>
        <w:t>（一）估值日</w:t>
      </w:r>
    </w:p>
    <w:p w14:paraId="1FCD0261">
      <w:pPr>
        <w:spacing w:line="200" w:lineRule="exact"/>
        <w:ind w:firstLine="300"/>
        <w:jc w:val="both"/>
      </w:pPr>
      <w:r>
        <w:rPr>
          <w:rFonts w:ascii="方正黑体_GBK" w:hAnsi="方正黑体_GBK" w:eastAsia="方正黑体_GBK" w:cs="宋体"/>
          <w:sz w:val="15"/>
          <w:szCs w:val="20"/>
        </w:rPr>
        <w:t>本理财产品每个工作日进行估值。</w:t>
      </w:r>
    </w:p>
    <w:p w14:paraId="1FB7ECA7">
      <w:pPr>
        <w:spacing w:line="200" w:lineRule="exact"/>
        <w:ind w:firstLine="300"/>
        <w:jc w:val="both"/>
      </w:pPr>
      <w:r>
        <w:rPr>
          <w:rFonts w:ascii="方正黑体_GBK" w:hAnsi="方正黑体_GBK" w:eastAsia="方正黑体_GBK" w:cs="宋体"/>
          <w:sz w:val="15"/>
          <w:szCs w:val="20"/>
        </w:rPr>
        <w:t>（二）估值对象</w:t>
      </w:r>
    </w:p>
    <w:p w14:paraId="70344236">
      <w:pPr>
        <w:spacing w:line="200" w:lineRule="exact"/>
        <w:ind w:firstLine="300"/>
        <w:jc w:val="both"/>
      </w:pPr>
      <w:r>
        <w:rPr>
          <w:rFonts w:ascii="方正黑体_GBK" w:hAnsi="方正黑体_GBK" w:eastAsia="方正黑体_GBK" w:cs="宋体"/>
          <w:sz w:val="15"/>
          <w:szCs w:val="20"/>
        </w:rPr>
        <w:t>本理财产品所拥有的所有资产及负债。</w:t>
      </w:r>
    </w:p>
    <w:p w14:paraId="34432B8B">
      <w:pPr>
        <w:spacing w:line="200" w:lineRule="exact"/>
        <w:ind w:firstLine="300"/>
        <w:jc w:val="both"/>
      </w:pPr>
      <w:r>
        <w:rPr>
          <w:rFonts w:ascii="方正黑体_GBK" w:hAnsi="方正黑体_GBK" w:eastAsia="方正黑体_GBK" w:cs="宋体"/>
          <w:sz w:val="15"/>
          <w:szCs w:val="20"/>
        </w:rPr>
        <w:t>（三）估值目的</w:t>
      </w:r>
    </w:p>
    <w:p w14:paraId="09DBB7F7">
      <w:pPr>
        <w:spacing w:line="200" w:lineRule="exact"/>
        <w:ind w:firstLine="300"/>
        <w:jc w:val="both"/>
      </w:pPr>
      <w:r>
        <w:rPr>
          <w:rFonts w:ascii="方正黑体_GBK" w:hAnsi="方正黑体_GBK" w:eastAsia="方正黑体_GBK" w:cs="宋体"/>
          <w:sz w:val="15"/>
          <w:szCs w:val="20"/>
        </w:rPr>
        <w:t>客观、准确反映理财产品的价值。</w:t>
      </w:r>
    </w:p>
    <w:p w14:paraId="15D28997">
      <w:pPr>
        <w:spacing w:line="200" w:lineRule="exact"/>
        <w:ind w:firstLine="300"/>
        <w:jc w:val="both"/>
      </w:pPr>
      <w:r>
        <w:rPr>
          <w:rFonts w:ascii="方正黑体_GBK" w:hAnsi="方正黑体_GBK" w:eastAsia="方正黑体_GBK" w:cs="宋体"/>
          <w:sz w:val="15"/>
          <w:szCs w:val="20"/>
        </w:rPr>
        <w:t>（四）估值原则</w:t>
      </w:r>
    </w:p>
    <w:p w14:paraId="6F339DB4">
      <w:pPr>
        <w:spacing w:line="200" w:lineRule="exact"/>
        <w:ind w:firstLine="300"/>
        <w:jc w:val="both"/>
      </w:pPr>
      <w:r>
        <w:rPr>
          <w:rFonts w:ascii="方正黑体_GBK" w:hAnsi="方正黑体_GBK" w:eastAsia="方正黑体_GBK" w:cs="宋体"/>
          <w:sz w:val="15"/>
          <w:szCs w:val="20"/>
        </w:rPr>
        <w:t>理财产品应坚持公允价值计量原则，符合会计准则和监管规定的范围内的可选择摊余成本法计量。</w:t>
      </w:r>
    </w:p>
    <w:p w14:paraId="7E5D1B8B">
      <w:pPr>
        <w:spacing w:line="200" w:lineRule="exact"/>
        <w:ind w:firstLine="300"/>
        <w:jc w:val="both"/>
      </w:pPr>
      <w:r>
        <w:rPr>
          <w:rFonts w:ascii="方正黑体_GBK" w:hAnsi="方正黑体_GBK" w:eastAsia="方正黑体_GBK" w:cs="宋体"/>
          <w:sz w:val="15"/>
          <w:szCs w:val="20"/>
        </w:rPr>
        <w:t>（五）估值方法</w:t>
      </w:r>
    </w:p>
    <w:p w14:paraId="5524213F">
      <w:pPr>
        <w:spacing w:line="200" w:lineRule="exact"/>
        <w:ind w:firstLine="280"/>
        <w:jc w:val="left"/>
      </w:pPr>
      <w:r>
        <w:rPr>
          <w:rFonts w:ascii="方正黑体_GBK" w:hAnsi="方正黑体_GBK" w:eastAsia="方正黑体_GBK" w:cs="宋体"/>
          <w:sz w:val="15"/>
          <w:szCs w:val="20"/>
        </w:rPr>
        <w:t>估值方法中列示的资产品种不代表管理人的实际投向，本理财产品拟投资范围以“投资范围”章节描述为准。</w:t>
      </w:r>
    </w:p>
    <w:p w14:paraId="2D34E9A6">
      <w:pPr>
        <w:spacing w:line="200" w:lineRule="exact"/>
        <w:ind w:firstLine="280"/>
        <w:jc w:val="left"/>
      </w:pPr>
      <w:r>
        <w:rPr>
          <w:rFonts w:ascii="方正黑体_GBK" w:hAnsi="方正黑体_GBK" w:eastAsia="方正黑体_GBK" w:cs="宋体"/>
          <w:sz w:val="15"/>
          <w:szCs w:val="20"/>
        </w:rPr>
        <w:t>1.银行存款、回购等货币市场工具</w:t>
      </w:r>
    </w:p>
    <w:p w14:paraId="4E844EB6">
      <w:pPr>
        <w:spacing w:line="200" w:lineRule="exact"/>
        <w:ind w:firstLine="280"/>
        <w:jc w:val="left"/>
      </w:pPr>
      <w:r>
        <w:rPr>
          <w:rFonts w:ascii="方正黑体_GBK" w:hAnsi="方正黑体_GBK" w:eastAsia="方正黑体_GBK" w:cs="宋体"/>
          <w:sz w:val="15"/>
          <w:szCs w:val="20"/>
        </w:rPr>
        <w:t>以本金列示，按商定的利率在实际持有期间内逐日计提。</w:t>
      </w:r>
    </w:p>
    <w:p w14:paraId="627DD680">
      <w:pPr>
        <w:spacing w:line="200" w:lineRule="exact"/>
        <w:ind w:firstLine="280"/>
        <w:jc w:val="left"/>
      </w:pPr>
      <w:r>
        <w:rPr>
          <w:rFonts w:ascii="方正黑体_GBK" w:hAnsi="方正黑体_GBK" w:eastAsia="方正黑体_GBK" w:cs="宋体"/>
          <w:color w:val="3D3D3D"/>
          <w:sz w:val="15"/>
          <w:szCs w:val="20"/>
        </w:rPr>
        <w:t>2.债券类资产</w:t>
      </w:r>
    </w:p>
    <w:p w14:paraId="19F5C190">
      <w:pPr>
        <w:spacing w:line="200" w:lineRule="exact"/>
        <w:ind w:firstLine="280"/>
        <w:jc w:val="left"/>
      </w:pPr>
      <w:r>
        <w:rPr>
          <w:rFonts w:ascii="方正黑体_GBK" w:hAnsi="方正黑体_GBK" w:eastAsia="方正黑体_GBK" w:cs="宋体"/>
          <w:color w:val="3D3D3D"/>
          <w:sz w:val="15"/>
          <w:szCs w:val="20"/>
        </w:rPr>
        <w:t>本理财产品所投债券均在全国银行间债券市场或证券交易所市场交易，按照第三方估值机构提供的相应品种当日的估值净价或最近交易日的收盘价进行估值。因经济环境发生重大变化或债券发行主体发生重大事件等，导致债券价格发生重大变化的或导致债券发行主体无法履行应尽的偿债义务等情况，经管理人合理判断后，参考第三方估值机构提供的估值数据等，对该债券的价值进行重估，并合理确定后续估值方法。若因其交易不活跃或未来现金流难以确认等客观原因，导致第三方估值机构提供的估值数据无法反映其公允价值的，经管理人和托管人协商一致后，可采用其他合理的估值技术对其进行估值。对于符合企业会计准则及监管规定范围内的，分类为“以摊余成本计量的金融资产”的资产按摊余成本法估值，并按照会计准则采用合理减值计量模型或第三方减值计量结果进行预期信用损失的减值计提。未上市债券（指买入的债券已起息但尚未在全国银行间债券市场或证券交易所市场上市的阶段）按其成本估值，应收利息按债券发行利率逐日计提，计入理财产品的当日净值。如二级市场交易价格显著偏离或有其他证据显示成本无法作为合理参考的，根据实际情况调整估值方法。</w:t>
      </w:r>
    </w:p>
    <w:p w14:paraId="1F51546C">
      <w:pPr>
        <w:spacing w:line="200" w:lineRule="exact"/>
        <w:ind w:firstLine="280"/>
        <w:jc w:val="left"/>
      </w:pPr>
      <w:r>
        <w:rPr>
          <w:rFonts w:ascii="方正黑体_GBK" w:hAnsi="方正黑体_GBK" w:eastAsia="方正黑体_GBK" w:cs="宋体"/>
          <w:color w:val="3D3D3D"/>
          <w:sz w:val="15"/>
          <w:szCs w:val="20"/>
        </w:rPr>
        <w:t>3.非标准化债权类资产</w:t>
      </w:r>
    </w:p>
    <w:p w14:paraId="28A8C4F6">
      <w:pPr>
        <w:spacing w:line="200" w:lineRule="exact"/>
        <w:ind w:firstLine="280"/>
        <w:jc w:val="left"/>
      </w:pPr>
      <w:r>
        <w:rPr>
          <w:rFonts w:ascii="方正黑体_GBK" w:hAnsi="方正黑体_GBK" w:eastAsia="方正黑体_GBK" w:cs="宋体"/>
          <w:color w:val="3D3D3D"/>
          <w:sz w:val="15"/>
          <w:szCs w:val="20"/>
        </w:rPr>
        <w:t>非标准化债权类资产包括股票质押式回购、同业借款、应收账款、收受益权、收益凭证、各类资产支持计划等资产，以及其他符合监管要求的非标准化债权类资产等。非标准化债权类资产的公允价值计量根据具体资产合同约定要素，合理采用估值技术进行估值。对于符合企业会计准则及监管规定范围内的，分类为“以摊余成本计量的金融资产”的资产按摊余成本法估值，并按照会计准则采用合理减值计量模型或第三方减值计量结果进行预期信用损失的减值计提。</w:t>
      </w:r>
    </w:p>
    <w:p w14:paraId="104D5193">
      <w:pPr>
        <w:spacing w:line="200" w:lineRule="exact"/>
        <w:ind w:firstLine="280"/>
        <w:jc w:val="left"/>
      </w:pPr>
      <w:r>
        <w:rPr>
          <w:rFonts w:ascii="方正黑体_GBK" w:hAnsi="方正黑体_GBK" w:eastAsia="方正黑体_GBK" w:cs="宋体"/>
          <w:color w:val="3D3D3D"/>
          <w:sz w:val="15"/>
          <w:szCs w:val="20"/>
        </w:rPr>
        <w:t>4.证券投资基金</w:t>
      </w:r>
    </w:p>
    <w:p w14:paraId="47C6D583">
      <w:pPr>
        <w:spacing w:line="200" w:lineRule="exact"/>
        <w:ind w:firstLine="280"/>
        <w:jc w:val="left"/>
      </w:pPr>
      <w:r>
        <w:rPr>
          <w:rFonts w:ascii="方正黑体_GBK" w:hAnsi="方正黑体_GBK" w:eastAsia="方正黑体_GBK" w:cs="宋体"/>
          <w:color w:val="3D3D3D"/>
          <w:sz w:val="15"/>
          <w:szCs w:val="20"/>
        </w:rPr>
        <w:t>非上市证券投资基金估值以基金管理人出具的基金净资产管理估值报告或分红确认单为准。上市证券投资基金按所投资基金最近一个估值日的份额净值或收盘价进行估值；境内上市交易型货币市场基金，如所投资基金披露份额净值，则按所投资基金最近一个估值日的份额净值估值；如所投资基金披露万份（百份）收益，则按所投资基金前一估值日后至估值日期间（含节假日）的万份（百份）收益计提估值日基金收益。</w:t>
      </w:r>
    </w:p>
    <w:p w14:paraId="2AAC6E0F">
      <w:pPr>
        <w:spacing w:line="200" w:lineRule="exact"/>
        <w:ind w:firstLine="280"/>
        <w:jc w:val="left"/>
      </w:pPr>
      <w:r>
        <w:rPr>
          <w:rFonts w:ascii="方正黑体_GBK" w:hAnsi="方正黑体_GBK" w:eastAsia="方正黑体_GBK" w:cs="宋体"/>
          <w:color w:val="3D3D3D"/>
          <w:sz w:val="15"/>
          <w:szCs w:val="20"/>
        </w:rPr>
        <w:t>5.股权类资产</w:t>
      </w:r>
    </w:p>
    <w:p w14:paraId="183B56FD">
      <w:pPr>
        <w:spacing w:line="200" w:lineRule="exact"/>
        <w:ind w:firstLine="280"/>
        <w:jc w:val="left"/>
      </w:pPr>
      <w:r>
        <w:rPr>
          <w:rFonts w:ascii="方正黑体_GBK" w:hAnsi="方正黑体_GBK" w:eastAsia="方正黑体_GBK" w:cs="宋体"/>
          <w:color w:val="3D3D3D"/>
          <w:sz w:val="15"/>
          <w:szCs w:val="20"/>
        </w:rPr>
        <w:t>上市流通股票按估值日其所在证券交易所的收盘价估值；估值日无交易，且最近交易日后未发生影响公允价值计量的重大事件的，以最近交易日的收盘价估值，如最近交易日后发生影响影响公允价值计量的重大事件的，可参考类似品种的现行价格及重大变化因素，调整最近交易日的收盘价确定公允价值。交易不活跃股权和非上市股权存在公允价值的，按照公允价值估值，或采用估值技术确定估值，也可采用被委托机构提供的估值或计量报告。</w:t>
      </w:r>
    </w:p>
    <w:p w14:paraId="3ABA7E46">
      <w:pPr>
        <w:spacing w:line="200" w:lineRule="exact"/>
        <w:ind w:firstLine="280"/>
        <w:jc w:val="left"/>
      </w:pPr>
      <w:r>
        <w:rPr>
          <w:rFonts w:ascii="方正黑体_GBK" w:hAnsi="方正黑体_GBK" w:eastAsia="方正黑体_GBK" w:cs="宋体"/>
          <w:color w:val="3D3D3D"/>
          <w:sz w:val="15"/>
          <w:szCs w:val="20"/>
        </w:rPr>
        <w:t>6.资管计划、信托计划等资产</w:t>
      </w:r>
    </w:p>
    <w:p w14:paraId="318B70B9">
      <w:pPr>
        <w:spacing w:line="200" w:lineRule="exact"/>
        <w:ind w:firstLine="280"/>
        <w:jc w:val="left"/>
      </w:pPr>
      <w:r>
        <w:rPr>
          <w:rFonts w:ascii="方正黑体_GBK" w:hAnsi="方正黑体_GBK" w:eastAsia="方正黑体_GBK" w:cs="宋体"/>
          <w:color w:val="3D3D3D"/>
          <w:sz w:val="15"/>
          <w:szCs w:val="20"/>
        </w:rPr>
        <w:t>存在公允价值的，按照公允价值估值，或采用估值技术确定估值，也可采用被委托机构提供的估值或计量报告。</w:t>
      </w:r>
    </w:p>
    <w:p w14:paraId="5416CD93">
      <w:pPr>
        <w:spacing w:line="200" w:lineRule="exact"/>
        <w:ind w:firstLine="280"/>
        <w:jc w:val="left"/>
      </w:pPr>
      <w:r>
        <w:rPr>
          <w:rFonts w:ascii="方正黑体_GBK" w:hAnsi="方正黑体_GBK" w:eastAsia="方正黑体_GBK" w:cs="宋体"/>
          <w:color w:val="3D3D3D"/>
          <w:sz w:val="15"/>
          <w:szCs w:val="20"/>
        </w:rPr>
        <w:t>7.其他资产</w:t>
      </w:r>
    </w:p>
    <w:p w14:paraId="6766B677">
      <w:pPr>
        <w:spacing w:line="200" w:lineRule="exact"/>
        <w:ind w:firstLine="280"/>
        <w:jc w:val="left"/>
      </w:pPr>
      <w:r>
        <w:rPr>
          <w:rFonts w:ascii="方正黑体_GBK" w:hAnsi="方正黑体_GBK" w:eastAsia="方正黑体_GBK" w:cs="宋体"/>
          <w:color w:val="3D3D3D"/>
          <w:sz w:val="15"/>
          <w:szCs w:val="20"/>
        </w:rPr>
        <w:t>存在公允价值的，按照公允价值估值，或采用估值技术确定估值，也可采用被委托机构提供的估值或计量报告。具体可参考《企业会计准则》以及相关监管政策的规定。</w:t>
      </w:r>
    </w:p>
    <w:p w14:paraId="1D1501E8">
      <w:pPr>
        <w:spacing w:line="200" w:lineRule="exact"/>
        <w:ind w:firstLine="280"/>
        <w:jc w:val="left"/>
      </w:pPr>
      <w:r>
        <w:rPr>
          <w:rFonts w:ascii="方正黑体_GBK" w:hAnsi="方正黑体_GBK" w:eastAsia="方正黑体_GBK" w:cs="宋体"/>
          <w:color w:val="3D3D3D"/>
          <w:sz w:val="15"/>
          <w:szCs w:val="20"/>
        </w:rPr>
        <w:t>8.如果管理人或托管人认为按以上规定的方法对产品资产进行估值不能客观反映其公允价值的，可提出异议，管理人和托管人协商一致后，变更公允价值的确定方式，并从经管理人与托管人协商一致日起执行。</w:t>
      </w:r>
    </w:p>
    <w:p w14:paraId="5D2B689C">
      <w:pPr>
        <w:spacing w:line="200" w:lineRule="exact"/>
        <w:ind w:firstLine="280"/>
        <w:jc w:val="left"/>
      </w:pPr>
      <w:r>
        <w:rPr>
          <w:rFonts w:ascii="方正黑体_GBK" w:hAnsi="方正黑体_GBK" w:eastAsia="方正黑体_GBK" w:cs="宋体"/>
          <w:color w:val="3D3D3D"/>
          <w:sz w:val="15"/>
          <w:szCs w:val="20"/>
        </w:rPr>
        <w:t>9.如有新增事项或变更事项，按国家最新规定或管理人最新的约定估值。</w:t>
      </w:r>
    </w:p>
    <w:p w14:paraId="4E5AFA4C">
      <w:pPr>
        <w:spacing w:line="200" w:lineRule="exact"/>
        <w:ind w:firstLine="280"/>
        <w:jc w:val="left"/>
      </w:pPr>
      <w:r>
        <w:rPr>
          <w:rFonts w:ascii="方正黑体_GBK" w:hAnsi="方正黑体_GBK" w:eastAsia="方正黑体_GBK" w:cs="宋体"/>
          <w:sz w:val="15"/>
          <w:szCs w:val="20"/>
        </w:rPr>
        <w:t>开放式理财产品在前一估值日内，产品资产净值50%以上的资产不具备活跃交易市场或者在活跃市场中无报价，且不能采用估值技术可靠计量公允价值的，管理人将暂停该产品估值，并采取延缓支付赎回款项或暂停接受理财产品认购、申购、赎回申请等措施。管理人将在采取上述一种或多种措施后3个交易日内告知投资者，并说明运用相关措施的原因、拟采取的应对安排等，投资者需重新进行资金安排。</w:t>
      </w:r>
    </w:p>
    <w:p w14:paraId="543607FA">
      <w:pPr>
        <w:spacing w:line="200" w:lineRule="exact"/>
        <w:ind w:firstLine="300"/>
        <w:jc w:val="both"/>
      </w:pPr>
      <w:r>
        <w:rPr>
          <w:rFonts w:ascii="方正黑体_GBK" w:hAnsi="方正黑体_GBK" w:eastAsia="方正黑体_GBK" w:cs="宋体"/>
          <w:sz w:val="15"/>
          <w:szCs w:val="20"/>
        </w:rPr>
        <w:t>（六）估值错误及暂停估值</w:t>
      </w:r>
    </w:p>
    <w:p w14:paraId="29920724">
      <w:pPr>
        <w:spacing w:line="200" w:lineRule="exact"/>
        <w:ind w:firstLine="300"/>
        <w:jc w:val="both"/>
      </w:pPr>
      <w:r>
        <w:rPr>
          <w:rFonts w:ascii="方正黑体_GBK" w:hAnsi="方正黑体_GBK" w:eastAsia="方正黑体_GBK" w:cs="宋体"/>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金融监督管理总局或理财产品合同认定其他情形的，理财产品管理人与托管人协商后可选择暂停估值。</w:t>
      </w:r>
    </w:p>
    <w:p w14:paraId="40B4CD7D">
      <w:pPr>
        <w:pStyle w:val="30"/>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五</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信息披露</w:t>
      </w:r>
    </w:p>
    <w:p w14:paraId="5E886E31">
      <w:pPr>
        <w:pStyle w:val="30"/>
        <w:keepNext w:val="0"/>
        <w:keepLines w:val="0"/>
        <w:pageBreakBefore w:val="0"/>
        <w:widowControl/>
        <w:numPr>
          <w:ilvl w:val="0"/>
          <w:numId w:val="3"/>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信息披露渠道</w:t>
      </w:r>
    </w:p>
    <w:p w14:paraId="2392297C">
      <w:pPr>
        <w:spacing w:line="200" w:lineRule="exact"/>
      </w:pPr>
      <w:r>
        <w:rPr>
          <w:rFonts w:ascii="方正黑体_GBK" w:hAnsi="方正黑体_GBK" w:eastAsia="方正黑体_GBK" w:cs="宋体"/>
          <w:color w:val="3D3D3D"/>
          <w:sz w:val="15"/>
          <w:szCs w:val="20"/>
        </w:rPr>
        <w:t xml:space="preserve">  本理财产品的信息披露渠道包括但不限于南银理财官网（www.nanyinwealth.com）、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14:paraId="5E1DBF58">
      <w:pPr>
        <w:pStyle w:val="30"/>
        <w:keepNext w:val="0"/>
        <w:keepLines w:val="0"/>
        <w:pageBreakBefore w:val="0"/>
        <w:widowControl/>
        <w:numPr>
          <w:ilvl w:val="0"/>
          <w:numId w:val="3"/>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信息披露的内容及时间</w:t>
      </w:r>
    </w:p>
    <w:p w14:paraId="307715EA">
      <w:pPr>
        <w:pStyle w:val="30"/>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ascii="方正黑体_GBK" w:hAnsi="方正黑体_GBK" w:eastAsia="方正黑体_GBK"/>
          <w:vanish w:val="0"/>
          <w:color w:val="3D3D3D"/>
          <w:kern w:val="0"/>
          <w:sz w:val="15"/>
          <w:szCs w:val="15"/>
        </w:rPr>
        <w:t xml:space="preserve"> </w:t>
      </w:r>
      <w:r>
        <w:rPr>
          <w:rFonts w:hint="eastAsia" w:ascii="方正黑体_GBK" w:hAnsi="方正黑体_GBK" w:eastAsia="方正黑体_GBK"/>
          <w:vanish w:val="0"/>
          <w:color w:val="3D3D3D"/>
          <w:kern w:val="0"/>
          <w:sz w:val="15"/>
          <w:szCs w:val="15"/>
        </w:rPr>
        <w:t>净值信息</w:t>
      </w:r>
    </w:p>
    <w:p w14:paraId="38ABDAB6">
      <w:pPr>
        <w:pStyle w:val="30"/>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管理人在本理财产品存续期间至少</w:t>
      </w:r>
      <w:r>
        <w:rPr>
          <w:rFonts w:hint="eastAsia" w:ascii="方正黑体_GBK" w:hAnsi="方正黑体_GBK" w:eastAsia="方正黑体_GBK"/>
          <w:vanish w:val="0"/>
          <w:color w:val="3D3D3D"/>
          <w:kern w:val="0"/>
          <w:sz w:val="15"/>
          <w:szCs w:val="15"/>
        </w:rPr>
        <w:t>按月</w:t>
      </w:r>
      <w:r>
        <w:rPr>
          <w:rFonts w:hint="eastAsia" w:ascii="方正黑体_GBK" w:hAnsi="方正黑体_GBK" w:eastAsia="方正黑体_GBK" w:cs="Times New Roman"/>
          <w:vanish w:val="0"/>
          <w:color w:val="3D3D3D"/>
          <w:kern w:val="0"/>
          <w:sz w:val="15"/>
          <w:szCs w:val="15"/>
        </w:rPr>
        <w:t>向投资者披露净值</w:t>
      </w:r>
      <w:r>
        <w:rPr>
          <w:rFonts w:hint="eastAsia" w:ascii="方正黑体_GBK" w:hAnsi="方正黑体_GBK" w:eastAsia="方正黑体_GBK"/>
          <w:vanish w:val="0"/>
          <w:color w:val="3D3D3D"/>
          <w:kern w:val="0"/>
          <w:sz w:val="15"/>
          <w:szCs w:val="15"/>
        </w:rPr>
        <w:t>。</w:t>
      </w:r>
    </w:p>
    <w:p w14:paraId="23522B2F">
      <w:pPr>
        <w:pStyle w:val="30"/>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产品发行公告</w:t>
      </w:r>
    </w:p>
    <w:p w14:paraId="173ECA43">
      <w:pPr>
        <w:pStyle w:val="30"/>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管理人将在本理财产品成立后</w:t>
      </w:r>
      <w:r>
        <w:rPr>
          <w:rFonts w:ascii="方正黑体_GBK" w:hAnsi="方正黑体_GBK" w:eastAsia="方正黑体_GBK"/>
          <w:vanish w:val="0"/>
          <w:color w:val="3D3D3D"/>
          <w:kern w:val="0"/>
          <w:sz w:val="15"/>
          <w:szCs w:val="15"/>
        </w:rPr>
        <w:t>5</w:t>
      </w:r>
      <w:r>
        <w:rPr>
          <w:rFonts w:hint="eastAsia" w:ascii="方正黑体_GBK" w:hAnsi="方正黑体_GBK" w:eastAsia="方正黑体_GBK"/>
          <w:vanish w:val="0"/>
          <w:color w:val="3D3D3D"/>
          <w:kern w:val="0"/>
          <w:sz w:val="15"/>
          <w:szCs w:val="15"/>
        </w:rPr>
        <w:t>个工作日内披露产品发行公告。</w:t>
      </w:r>
    </w:p>
    <w:p w14:paraId="1044274B">
      <w:pPr>
        <w:pStyle w:val="30"/>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定期报告</w:t>
      </w:r>
    </w:p>
    <w:p w14:paraId="43AA66F1">
      <w:pPr>
        <w:pStyle w:val="30"/>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管理人将在每个季度结束之日起</w:t>
      </w:r>
      <w:r>
        <w:rPr>
          <w:rFonts w:ascii="方正黑体_GBK" w:hAnsi="方正黑体_GBK" w:eastAsia="方正黑体_GBK"/>
          <w:vanish w:val="0"/>
          <w:color w:val="3D3D3D"/>
          <w:kern w:val="0"/>
          <w:sz w:val="15"/>
          <w:szCs w:val="15"/>
        </w:rPr>
        <w:t>15</w:t>
      </w:r>
      <w:r>
        <w:rPr>
          <w:rFonts w:hint="eastAsia" w:ascii="方正黑体_GBK" w:hAnsi="方正黑体_GBK" w:eastAsia="方正黑体_GBK"/>
          <w:vanish w:val="0"/>
          <w:color w:val="3D3D3D"/>
          <w:kern w:val="0"/>
          <w:sz w:val="15"/>
          <w:szCs w:val="15"/>
        </w:rPr>
        <w:t>个工作日内、上半年结束之日起</w:t>
      </w:r>
      <w:r>
        <w:rPr>
          <w:rFonts w:ascii="方正黑体_GBK" w:hAnsi="方正黑体_GBK" w:eastAsia="方正黑体_GBK"/>
          <w:vanish w:val="0"/>
          <w:color w:val="3D3D3D"/>
          <w:kern w:val="0"/>
          <w:sz w:val="15"/>
          <w:szCs w:val="15"/>
        </w:rPr>
        <w:t>60</w:t>
      </w:r>
      <w:r>
        <w:rPr>
          <w:rFonts w:hint="eastAsia" w:ascii="方正黑体_GBK" w:hAnsi="方正黑体_GBK" w:eastAsia="方正黑体_GBK"/>
          <w:vanish w:val="0"/>
          <w:color w:val="3D3D3D"/>
          <w:kern w:val="0"/>
          <w:sz w:val="15"/>
          <w:szCs w:val="15"/>
        </w:rPr>
        <w:t>个工作日内、每年结束之日起</w:t>
      </w:r>
      <w:r>
        <w:rPr>
          <w:rFonts w:ascii="方正黑体_GBK" w:hAnsi="方正黑体_GBK" w:eastAsia="方正黑体_GBK"/>
          <w:vanish w:val="0"/>
          <w:color w:val="3D3D3D"/>
          <w:kern w:val="0"/>
          <w:sz w:val="15"/>
          <w:szCs w:val="15"/>
        </w:rPr>
        <w:t>90</w:t>
      </w:r>
      <w:r>
        <w:rPr>
          <w:rFonts w:hint="eastAsia" w:ascii="方正黑体_GBK" w:hAnsi="方正黑体_GBK" w:eastAsia="方正黑体_GBK"/>
          <w:vanish w:val="0"/>
          <w:color w:val="3D3D3D"/>
          <w:kern w:val="0"/>
          <w:sz w:val="15"/>
          <w:szCs w:val="15"/>
        </w:rPr>
        <w:t>个工作日内披露本理财产品的季度、半年和年度报告，如果本理财产品成立不足</w:t>
      </w:r>
      <w:r>
        <w:rPr>
          <w:rFonts w:ascii="方正黑体_GBK" w:hAnsi="方正黑体_GBK" w:eastAsia="方正黑体_GBK"/>
          <w:vanish w:val="0"/>
          <w:color w:val="3D3D3D"/>
          <w:kern w:val="0"/>
          <w:sz w:val="15"/>
          <w:szCs w:val="15"/>
        </w:rPr>
        <w:t>90</w:t>
      </w:r>
      <w:r>
        <w:rPr>
          <w:rFonts w:hint="eastAsia" w:ascii="方正黑体_GBK" w:hAnsi="方正黑体_GBK" w:eastAsia="方正黑体_GBK" w:cs="Times New Roman"/>
          <w:vanish w:val="0"/>
          <w:color w:val="3D3D3D"/>
          <w:kern w:val="0"/>
          <w:sz w:val="15"/>
          <w:szCs w:val="15"/>
        </w:rPr>
        <w:t>个工作</w:t>
      </w:r>
      <w:r>
        <w:rPr>
          <w:rFonts w:hint="eastAsia" w:ascii="方正黑体_GBK" w:hAnsi="方正黑体_GBK" w:eastAsia="方正黑体_GBK"/>
          <w:vanish w:val="0"/>
          <w:color w:val="3D3D3D"/>
          <w:kern w:val="0"/>
          <w:sz w:val="15"/>
          <w:szCs w:val="15"/>
        </w:rPr>
        <w:t>日或者剩余存续期不超过</w:t>
      </w:r>
      <w:r>
        <w:rPr>
          <w:rFonts w:ascii="方正黑体_GBK" w:hAnsi="方正黑体_GBK" w:eastAsia="方正黑体_GBK"/>
          <w:vanish w:val="0"/>
          <w:color w:val="3D3D3D"/>
          <w:kern w:val="0"/>
          <w:sz w:val="15"/>
          <w:szCs w:val="15"/>
        </w:rPr>
        <w:t>90</w:t>
      </w:r>
      <w:r>
        <w:rPr>
          <w:rFonts w:hint="eastAsia" w:ascii="方正黑体_GBK" w:hAnsi="方正黑体_GBK" w:eastAsia="方正黑体_GBK" w:cs="Times New Roman"/>
          <w:vanish w:val="0"/>
          <w:color w:val="3D3D3D"/>
          <w:kern w:val="0"/>
          <w:sz w:val="15"/>
          <w:szCs w:val="15"/>
        </w:rPr>
        <w:t>个工作</w:t>
      </w:r>
      <w:r>
        <w:rPr>
          <w:rFonts w:hint="eastAsia" w:ascii="方正黑体_GBK" w:hAnsi="方正黑体_GBK" w:eastAsia="方正黑体_GBK"/>
          <w:vanish w:val="0"/>
          <w:color w:val="3D3D3D"/>
          <w:kern w:val="0"/>
          <w:sz w:val="15"/>
          <w:szCs w:val="15"/>
        </w:rPr>
        <w:t>日的，管理人可以不编制产品当期的季度、半年和年度报告。</w:t>
      </w:r>
    </w:p>
    <w:p w14:paraId="40F83310">
      <w:pPr>
        <w:pStyle w:val="30"/>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到期公告</w:t>
      </w:r>
    </w:p>
    <w:p w14:paraId="389B89A5">
      <w:pPr>
        <w:pStyle w:val="30"/>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管理人将在本理财产品终止后</w:t>
      </w:r>
      <w:r>
        <w:rPr>
          <w:rFonts w:ascii="方正黑体_GBK" w:hAnsi="方正黑体_GBK" w:eastAsia="方正黑体_GBK"/>
          <w:vanish w:val="0"/>
          <w:color w:val="3D3D3D"/>
          <w:kern w:val="0"/>
          <w:sz w:val="15"/>
          <w:szCs w:val="15"/>
        </w:rPr>
        <w:t>5</w:t>
      </w:r>
      <w:r>
        <w:rPr>
          <w:rFonts w:hint="eastAsia" w:ascii="方正黑体_GBK" w:hAnsi="方正黑体_GBK" w:eastAsia="方正黑体_GBK"/>
          <w:vanish w:val="0"/>
          <w:color w:val="3D3D3D"/>
          <w:kern w:val="0"/>
          <w:sz w:val="15"/>
          <w:szCs w:val="15"/>
        </w:rPr>
        <w:t>个工作日内披露产品到期公告。</w:t>
      </w:r>
    </w:p>
    <w:p w14:paraId="31085AED">
      <w:pPr>
        <w:pStyle w:val="30"/>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重大事项公告</w:t>
      </w:r>
    </w:p>
    <w:p w14:paraId="7710E385">
      <w:pPr>
        <w:pStyle w:val="30"/>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管理人将在发生可能对本理财产品投资者或者理财产品收益产生重大影响的事件后</w:t>
      </w:r>
      <w:r>
        <w:rPr>
          <w:rFonts w:ascii="方正黑体_GBK" w:hAnsi="方正黑体_GBK" w:eastAsia="方正黑体_GBK"/>
          <w:vanish w:val="0"/>
          <w:color w:val="3D3D3D"/>
          <w:kern w:val="0"/>
          <w:sz w:val="15"/>
          <w:szCs w:val="15"/>
        </w:rPr>
        <w:t>2</w:t>
      </w:r>
      <w:r>
        <w:rPr>
          <w:rFonts w:hint="eastAsia" w:ascii="方正黑体_GBK" w:hAnsi="方正黑体_GBK" w:eastAsia="方正黑体_GBK"/>
          <w:vanish w:val="0"/>
          <w:color w:val="3D3D3D"/>
          <w:kern w:val="0"/>
          <w:sz w:val="15"/>
          <w:szCs w:val="15"/>
        </w:rPr>
        <w:t>个工作日内披露重大事项公告。</w:t>
      </w:r>
    </w:p>
    <w:p w14:paraId="075986F6">
      <w:pPr>
        <w:pStyle w:val="30"/>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临时公告</w:t>
      </w:r>
    </w:p>
    <w:p w14:paraId="360760BC">
      <w:pPr>
        <w:pStyle w:val="30"/>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理财产品在运作管理过程中，发生可能对理财产品持有人权益产生影响的事项时，管理人将根据法律法规规定及时进行临时信息披露。</w:t>
      </w:r>
    </w:p>
    <w:p w14:paraId="13205A38">
      <w:pPr>
        <w:pStyle w:val="30"/>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关联交易信息披露</w:t>
      </w:r>
    </w:p>
    <w:p w14:paraId="60BEC0A7">
      <w:pPr>
        <w:pStyle w:val="30"/>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息</w:t>
      </w:r>
      <w:r>
        <w:rPr>
          <w:rFonts w:hint="eastAsia" w:ascii="方正黑体_GBK" w:hAnsi="方正黑体_GBK" w:eastAsia="方正黑体_GBK"/>
          <w:vanish w:val="0"/>
          <w:color w:val="3D3D3D"/>
          <w:kern w:val="0"/>
          <w:sz w:val="15"/>
          <w:szCs w:val="15"/>
        </w:rPr>
        <w:t>。</w:t>
      </w:r>
    </w:p>
    <w:p w14:paraId="27CC6729">
      <w:pPr>
        <w:pStyle w:val="30"/>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账单</w:t>
      </w:r>
    </w:p>
    <w:p w14:paraId="24956B85">
      <w:pPr>
        <w:pStyle w:val="30"/>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r>
        <w:rPr>
          <w:rFonts w:hint="eastAsia" w:ascii="方正黑体_GBK" w:hAnsi="方正黑体_GBK" w:eastAsia="方正黑体_GBK"/>
          <w:vanish w:val="0"/>
          <w:color w:val="3D3D3D"/>
          <w:kern w:val="0"/>
          <w:sz w:val="15"/>
          <w:szCs w:val="15"/>
        </w:rPr>
        <w:t>。</w:t>
      </w:r>
    </w:p>
    <w:p w14:paraId="4D839544">
      <w:pPr>
        <w:pStyle w:val="30"/>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hint="eastAsia" w:ascii="方正黑体_GBK" w:hAnsi="方正黑体_GBK" w:eastAsia="方正黑体_GBK" w:cs="Times New Roman"/>
          <w:b/>
          <w:bCs/>
          <w:vanish w:val="0"/>
          <w:color w:val="3D3D3D"/>
          <w:kern w:val="0"/>
          <w:sz w:val="15"/>
          <w:szCs w:val="15"/>
        </w:rPr>
      </w:pPr>
      <w:r>
        <w:rPr>
          <w:rFonts w:hint="eastAsia" w:ascii="方正黑体_GBK" w:hAnsi="方正黑体_GBK" w:eastAsia="方正黑体_GBK" w:cs="Times New Roman"/>
          <w:b/>
          <w:bCs/>
          <w:vanish w:val="0"/>
          <w:color w:val="3D3D3D"/>
          <w:kern w:val="0"/>
          <w:sz w:val="15"/>
          <w:szCs w:val="15"/>
        </w:rPr>
        <w:t>在本理财产品存续期内：</w:t>
      </w:r>
    </w:p>
    <w:p w14:paraId="3CAA2A87">
      <w:pPr>
        <w:pStyle w:val="30"/>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hint="eastAsia" w:ascii="方正黑体_GBK" w:hAnsi="方正黑体_GBK" w:eastAsia="方正黑体_GBK" w:cs="Times New Roman"/>
          <w:b/>
          <w:bCs/>
          <w:vanish w:val="0"/>
          <w:color w:val="3D3D3D"/>
          <w:kern w:val="0"/>
          <w:sz w:val="15"/>
          <w:szCs w:val="15"/>
        </w:rPr>
      </w:pPr>
      <w:r>
        <w:rPr>
          <w:rFonts w:hint="eastAsia" w:ascii="方正黑体_GBK" w:hAnsi="方正黑体_GBK" w:eastAsia="方正黑体_GBK" w:cs="Times New Roman"/>
          <w:b/>
          <w:bCs/>
          <w:vanish w:val="0"/>
          <w:color w:val="3D3D3D"/>
          <w:kern w:val="0"/>
          <w:sz w:val="15"/>
          <w:szCs w:val="15"/>
        </w:rPr>
        <w:t>（</w:t>
      </w:r>
      <w:r>
        <w:rPr>
          <w:rFonts w:ascii="方正黑体_GBK" w:hAnsi="方正黑体_GBK" w:eastAsia="方正黑体_GBK" w:cs="Times New Roman"/>
          <w:b/>
          <w:bCs/>
          <w:vanish w:val="0"/>
          <w:color w:val="3D3D3D"/>
          <w:kern w:val="0"/>
          <w:sz w:val="15"/>
          <w:szCs w:val="15"/>
        </w:rPr>
        <w:t>1</w:t>
      </w:r>
      <w:r>
        <w:rPr>
          <w:rFonts w:hint="eastAsia" w:ascii="方正黑体_GBK" w:hAnsi="方正黑体_GBK" w:eastAsia="方正黑体_GBK" w:cs="Times New Roman"/>
          <w:b/>
          <w:bCs/>
          <w:vanish w:val="0"/>
          <w:color w:val="3D3D3D"/>
          <w:kern w:val="0"/>
          <w:sz w:val="15"/>
          <w:szCs w:val="15"/>
        </w:rPr>
        <w:t>）若因国家法律法规、监管规定发生变化，甲方有权单方面对本理财产品的《理财产品销售协议书》《理财产品说明书》《理财产品风险揭示书》《投资者权益须知》《理财产品投资协议书》等相关销售文件进行修订，并进行信息披露。投资者在此同意，修订后的销售文件对投资者具有法律约束力；</w:t>
      </w:r>
    </w:p>
    <w:p w14:paraId="19A373AE">
      <w:pPr>
        <w:pStyle w:val="30"/>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b/>
          <w:bCs/>
          <w:vanish w:val="0"/>
          <w:color w:val="3D3D3D"/>
          <w:kern w:val="0"/>
          <w:sz w:val="15"/>
          <w:szCs w:val="15"/>
        </w:rPr>
      </w:pPr>
      <w:r>
        <w:rPr>
          <w:rFonts w:hint="eastAsia" w:ascii="方正黑体_GBK" w:hAnsi="方正黑体_GBK" w:eastAsia="方正黑体_GBK" w:cs="Times New Roman"/>
          <w:b/>
          <w:bCs/>
          <w:vanish w:val="0"/>
          <w:color w:val="3D3D3D"/>
          <w:kern w:val="0"/>
          <w:sz w:val="15"/>
          <w:szCs w:val="15"/>
        </w:rPr>
        <w:t>（</w:t>
      </w:r>
      <w:r>
        <w:rPr>
          <w:rFonts w:ascii="方正黑体_GBK" w:hAnsi="方正黑体_GBK" w:eastAsia="方正黑体_GBK" w:cs="Times New Roman"/>
          <w:b/>
          <w:bCs/>
          <w:vanish w:val="0"/>
          <w:color w:val="3D3D3D"/>
          <w:kern w:val="0"/>
          <w:sz w:val="15"/>
          <w:szCs w:val="15"/>
        </w:rPr>
        <w:t>2</w:t>
      </w:r>
      <w:r>
        <w:rPr>
          <w:rFonts w:hint="eastAsia" w:ascii="方正黑体_GBK" w:hAnsi="方正黑体_GBK" w:eastAsia="方正黑体_GBK" w:cs="Times New Roman"/>
          <w:b/>
          <w:bCs/>
          <w:vanish w:val="0"/>
          <w:color w:val="3D3D3D"/>
          <w:kern w:val="0"/>
          <w:sz w:val="15"/>
          <w:szCs w:val="15"/>
        </w:rPr>
        <w:t>）</w:t>
      </w:r>
      <w:r>
        <w:rPr>
          <w:rFonts w:ascii="方正黑体_GBK" w:hAnsi="方正黑体_GBK" w:eastAsia="方正黑体_GBK" w:cs="Times New Roman"/>
          <w:b/>
          <w:bCs/>
          <w:vanish w:val="0"/>
          <w:color w:val="3D3D3D"/>
          <w:kern w:val="0"/>
          <w:sz w:val="15"/>
          <w:szCs w:val="15"/>
        </w:rPr>
        <w:t>若因市场情况等发生变化或是出于维护本理财产品正常运营或管理的需要，或基于甲方合理认定的其他情形，且投资者无法发起赎回申请时，甲方有权单方面对本理财产品的销售文件进行修订，包括但不限于对本理财产品的投资范围、投资资产种类、投资比例或已约定的收费项目、条件、标准和方式等进行调整，并通过短信及南银理财官网等渠道进行信息披露。此种情况下管理人可能开放赎回，具体以管理人届时信息披露的内容为准。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p>
    <w:p w14:paraId="0D6642B2">
      <w:pPr>
        <w:pStyle w:val="30"/>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10.其他公告</w:t>
      </w:r>
    </w:p>
    <w:p w14:paraId="2F1A3F4F">
      <w:pPr>
        <w:pStyle w:val="30"/>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rPr>
      </w:pPr>
      <w:r>
        <w:rPr>
          <w:rFonts w:hint="eastAsia" w:ascii="方正黑体_GBK" w:hAnsi="方正黑体_GBK" w:eastAsia="方正黑体_GBK"/>
          <w:vanish w:val="0"/>
          <w:color w:val="3D3D3D"/>
          <w:kern w:val="0"/>
          <w:sz w:val="15"/>
          <w:szCs w:val="15"/>
        </w:rPr>
        <w:t>理财产品在运作管理过程中，管理人根据实际运作情况发布的其他公告。</w:t>
      </w:r>
    </w:p>
    <w:p w14:paraId="494CFAC6">
      <w:pPr>
        <w:pStyle w:val="30"/>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六</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投资者保护提示</w:t>
      </w:r>
    </w:p>
    <w:p w14:paraId="5D32ADF2">
      <w:pPr>
        <w:pStyle w:val="30"/>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您如对销售机构产品推介和销售等服务有任何意见或建议，您可通过拨打销售机构客服电话进行咨询及反馈。</w:t>
      </w:r>
    </w:p>
    <w:p w14:paraId="50F5596E">
      <w:pPr>
        <w:pStyle w:val="30"/>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您如对理财产品设计、投资管理等事项有任何意见或建议，您可通过拨打管理人客服电话进行咨询及反馈。</w:t>
      </w:r>
    </w:p>
    <w:p w14:paraId="2FD6F301">
      <w:pPr>
        <w:pStyle w:val="30"/>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hint="eastAsia" w:ascii="方正黑体_GBK" w:hAnsi="方正黑体_GBK" w:eastAsia="方正黑体_GBK" w:cs="Times New Roman"/>
          <w:vanish w:val="0"/>
          <w:color w:val="3D3D3D"/>
          <w:kern w:val="0"/>
          <w:sz w:val="15"/>
          <w:szCs w:val="15"/>
        </w:rPr>
        <w:t>销售机构及管理人的联系方式详见《投资者权益须知》第八条。</w:t>
      </w:r>
    </w:p>
    <w:p w14:paraId="4633C4FD">
      <w:pPr>
        <w:pStyle w:val="30"/>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七</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法律适用和争议解决</w:t>
      </w:r>
    </w:p>
    <w:p w14:paraId="0F519E06">
      <w:pPr>
        <w:pStyle w:val="30"/>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hint="eastAsia" w:ascii="方正黑体_GBK" w:hAnsi="方正黑体_GBK" w:eastAsia="方正黑体_GBK" w:cs="Times New Roman"/>
          <w:vanish w:val="0"/>
          <w:color w:val="3D3D3D"/>
          <w:kern w:val="0"/>
          <w:sz w:val="15"/>
          <w:szCs w:val="15"/>
        </w:rPr>
        <w:t>理财产品销售文件的订立、生效、履行、解释、修改和终止等事项的适用法律和争议解决方式按照销售协议书的相关约定执行。</w:t>
      </w:r>
    </w:p>
    <w:p w14:paraId="6502E5A6">
      <w:pPr>
        <w:pStyle w:val="30"/>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八</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重要提示</w:t>
      </w:r>
    </w:p>
    <w:p w14:paraId="2AB25FB6">
      <w:pPr>
        <w:pStyle w:val="30"/>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请您一定仔细阅读本理财产品销售文件，了解理财产品具体情况，关注投资风险，自主决定是否投资。</w:t>
      </w:r>
    </w:p>
    <w:p w14:paraId="37617767">
      <w:pPr>
        <w:pStyle w:val="30"/>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投资者特此</w:t>
      </w:r>
      <w:r>
        <w:rPr>
          <w:rFonts w:hint="eastAsia" w:ascii="方正黑体_GBK" w:hAnsi="方正黑体_GBK" w:eastAsia="方正黑体_GBK" w:cs="Times New Roman"/>
          <w:b/>
          <w:bCs/>
          <w:vanish w:val="0"/>
          <w:color w:val="auto"/>
          <w:kern w:val="0"/>
          <w:sz w:val="15"/>
          <w:szCs w:val="15"/>
        </w:rPr>
        <w:t>同</w:t>
      </w:r>
      <w:r>
        <w:rPr>
          <w:rFonts w:hint="eastAsia" w:ascii="方正黑体_GBK" w:hAnsi="方正黑体_GBK" w:eastAsia="方正黑体_GBK"/>
          <w:b/>
          <w:bCs/>
          <w:vanish w:val="0"/>
          <w:color w:val="auto"/>
          <w:kern w:val="0"/>
          <w:sz w:val="15"/>
          <w:szCs w:val="15"/>
        </w:rPr>
        <w:t>意</w:t>
      </w:r>
      <w:r>
        <w:rPr>
          <w:rFonts w:hint="eastAsia" w:ascii="方正黑体_GBK" w:hAnsi="方正黑体_GBK" w:eastAsia="方正黑体_GBK" w:cs="Times New Roman"/>
          <w:b/>
          <w:bCs/>
          <w:vanish w:val="0"/>
          <w:color w:val="auto"/>
          <w:kern w:val="0"/>
          <w:sz w:val="15"/>
          <w:szCs w:val="15"/>
        </w:rPr>
        <w:t>并授权：</w:t>
      </w:r>
      <w:r>
        <w:rPr>
          <w:rFonts w:hint="eastAsia" w:ascii="方正黑体_GBK" w:hAnsi="方正黑体_GBK" w:eastAsia="方正黑体_GBK"/>
          <w:b/>
          <w:bCs/>
          <w:vanish w:val="0"/>
          <w:color w:val="auto"/>
          <w:kern w:val="0"/>
          <w:sz w:val="15"/>
          <w:szCs w:val="15"/>
        </w:rPr>
        <w:t>管理人</w:t>
      </w:r>
      <w:r>
        <w:rPr>
          <w:rFonts w:hint="eastAsia" w:ascii="方正黑体_GBK" w:hAnsi="方正黑体_GBK" w:eastAsia="方正黑体_GBK" w:cs="Times New Roman"/>
          <w:b/>
          <w:bCs/>
          <w:vanish w:val="0"/>
          <w:color w:val="auto"/>
          <w:kern w:val="0"/>
          <w:sz w:val="15"/>
          <w:szCs w:val="15"/>
        </w:rPr>
        <w:t>及销售机构</w:t>
      </w:r>
      <w:r>
        <w:rPr>
          <w:rFonts w:hint="eastAsia" w:ascii="方正黑体_GBK" w:hAnsi="方正黑体_GBK" w:eastAsia="方正黑体_GBK"/>
          <w:b/>
          <w:bCs/>
          <w:vanish w:val="0"/>
          <w:color w:val="auto"/>
          <w:kern w:val="0"/>
          <w:sz w:val="15"/>
          <w:szCs w:val="15"/>
        </w:rPr>
        <w:t>有权按照法律法规</w:t>
      </w:r>
      <w:r>
        <w:rPr>
          <w:rFonts w:hint="eastAsia" w:ascii="方正黑体_GBK" w:hAnsi="方正黑体_GBK" w:eastAsia="方正黑体_GBK" w:cs="Times New Roman"/>
          <w:b/>
          <w:bCs/>
          <w:vanish w:val="0"/>
          <w:color w:val="auto"/>
          <w:kern w:val="0"/>
          <w:sz w:val="15"/>
          <w:szCs w:val="15"/>
        </w:rPr>
        <w:t>规定，遵循正当、必要的原则，收集、使用投资者个人信息，包括但不限于</w:t>
      </w:r>
      <w:r>
        <w:rPr>
          <w:rFonts w:hint="eastAsia" w:ascii="方正黑体_GBK" w:hAnsi="方正黑体_GBK" w:eastAsia="方正黑体_GBK"/>
          <w:b/>
          <w:bCs/>
          <w:vanish w:val="0"/>
          <w:color w:val="auto"/>
          <w:kern w:val="0"/>
          <w:sz w:val="15"/>
          <w:szCs w:val="15"/>
        </w:rPr>
        <w:t>根据法律法规规定</w:t>
      </w:r>
      <w:r>
        <w:rPr>
          <w:rFonts w:hint="eastAsia" w:ascii="方正黑体_GBK" w:hAnsi="方正黑体_GBK" w:eastAsia="方正黑体_GBK" w:cs="Times New Roman"/>
          <w:b/>
          <w:bCs/>
          <w:vanish w:val="0"/>
          <w:color w:val="auto"/>
          <w:kern w:val="0"/>
          <w:sz w:val="15"/>
          <w:szCs w:val="15"/>
        </w:rPr>
        <w:t>、监管或</w:t>
      </w:r>
      <w:r>
        <w:rPr>
          <w:rFonts w:hint="eastAsia" w:ascii="方正黑体_GBK" w:hAnsi="方正黑体_GBK" w:eastAsia="方正黑体_GBK"/>
          <w:b/>
          <w:bCs/>
          <w:vanish w:val="0"/>
          <w:color w:val="auto"/>
          <w:kern w:val="0"/>
          <w:sz w:val="15"/>
          <w:szCs w:val="15"/>
        </w:rPr>
        <w:t>有权机关要求</w:t>
      </w:r>
      <w:r>
        <w:rPr>
          <w:rFonts w:hint="eastAsia" w:ascii="方正黑体_GBK" w:hAnsi="方正黑体_GBK" w:eastAsia="方正黑体_GBK" w:cs="Times New Roman"/>
          <w:b/>
          <w:bCs/>
          <w:vanish w:val="0"/>
          <w:color w:val="auto"/>
          <w:kern w:val="0"/>
          <w:sz w:val="15"/>
          <w:szCs w:val="15"/>
        </w:rPr>
        <w:t>、理财业务需要等采集、处理及使用</w:t>
      </w:r>
      <w:r>
        <w:rPr>
          <w:rFonts w:hint="eastAsia" w:ascii="方正黑体_GBK" w:hAnsi="方正黑体_GBK" w:eastAsia="方正黑体_GBK"/>
          <w:b/>
          <w:bCs/>
          <w:vanish w:val="0"/>
          <w:color w:val="auto"/>
          <w:kern w:val="0"/>
          <w:sz w:val="15"/>
          <w:szCs w:val="15"/>
        </w:rPr>
        <w:t>投资者身份、持有理财产品、理财产品交易等信息</w:t>
      </w:r>
      <w:r>
        <w:rPr>
          <w:rFonts w:hint="eastAsia" w:ascii="方正黑体_GBK" w:hAnsi="方正黑体_GBK" w:eastAsia="方正黑体_GBK" w:cs="Times New Roman"/>
          <w:b/>
          <w:bCs/>
          <w:vanish w:val="0"/>
          <w:color w:val="auto"/>
          <w:kern w:val="0"/>
          <w:sz w:val="15"/>
          <w:szCs w:val="15"/>
        </w:rPr>
        <w:t>，</w:t>
      </w:r>
      <w:r>
        <w:rPr>
          <w:rFonts w:hint="eastAsia" w:ascii="方正黑体_GBK" w:hAnsi="方正黑体_GBK" w:eastAsia="方正黑体_GBK"/>
          <w:b/>
          <w:bCs/>
          <w:vanish w:val="0"/>
          <w:color w:val="auto"/>
          <w:kern w:val="0"/>
          <w:sz w:val="15"/>
          <w:szCs w:val="15"/>
        </w:rPr>
        <w:t>以及</w:t>
      </w:r>
      <w:r>
        <w:rPr>
          <w:rFonts w:hint="eastAsia" w:ascii="方正黑体_GBK" w:hAnsi="方正黑体_GBK" w:eastAsia="方正黑体_GBK"/>
          <w:b/>
          <w:bCs/>
          <w:vanish w:val="0"/>
          <w:color w:val="auto"/>
          <w:spacing w:val="0"/>
          <w:kern w:val="0"/>
          <w:sz w:val="15"/>
          <w:szCs w:val="15"/>
        </w:rPr>
        <w:t>在办理与理财产品相关事项</w:t>
      </w:r>
      <w:r>
        <w:rPr>
          <w:rFonts w:hint="eastAsia" w:ascii="方正黑体_GBK" w:hAnsi="方正黑体_GBK" w:eastAsia="方正黑体_GBK" w:cs="Times New Roman"/>
          <w:b/>
          <w:bCs/>
          <w:vanish w:val="0"/>
          <w:color w:val="auto"/>
          <w:spacing w:val="0"/>
          <w:kern w:val="0"/>
          <w:sz w:val="15"/>
          <w:szCs w:val="15"/>
        </w:rPr>
        <w:t>需要</w:t>
      </w:r>
      <w:r>
        <w:rPr>
          <w:rFonts w:hint="eastAsia" w:ascii="方正黑体_GBK" w:hAnsi="方正黑体_GBK" w:eastAsia="方正黑体_GBK"/>
          <w:b/>
          <w:bCs/>
          <w:vanish w:val="0"/>
          <w:color w:val="auto"/>
          <w:spacing w:val="0"/>
          <w:kern w:val="0"/>
          <w:sz w:val="15"/>
          <w:szCs w:val="15"/>
        </w:rPr>
        <w:t>的情况下向服务机构及其他管理人或销售机构认为必要的业务合作机构提供投资者</w:t>
      </w:r>
      <w:r>
        <w:rPr>
          <w:rFonts w:hint="eastAsia" w:ascii="方正黑体_GBK" w:hAnsi="方正黑体_GBK" w:eastAsia="方正黑体_GBK" w:cs="Times New Roman"/>
          <w:b/>
          <w:bCs/>
          <w:vanish w:val="0"/>
          <w:color w:val="auto"/>
          <w:spacing w:val="0"/>
          <w:kern w:val="0"/>
          <w:sz w:val="15"/>
          <w:szCs w:val="15"/>
        </w:rPr>
        <w:t>相关</w:t>
      </w:r>
      <w:r>
        <w:rPr>
          <w:rFonts w:hint="eastAsia" w:ascii="方正黑体_GBK" w:hAnsi="方正黑体_GBK" w:eastAsia="方正黑体_GBK"/>
          <w:b/>
          <w:bCs/>
          <w:vanish w:val="0"/>
          <w:color w:val="auto"/>
          <w:spacing w:val="0"/>
          <w:kern w:val="0"/>
          <w:sz w:val="15"/>
          <w:szCs w:val="15"/>
        </w:rPr>
        <w:t>信息</w:t>
      </w:r>
      <w:r>
        <w:rPr>
          <w:rFonts w:hint="eastAsia" w:ascii="方正黑体_GBK" w:hAnsi="方正黑体_GBK" w:eastAsia="方正黑体_GBK" w:cs="Times New Roman"/>
          <w:b/>
          <w:bCs/>
          <w:vanish w:val="0"/>
          <w:color w:val="auto"/>
          <w:spacing w:val="0"/>
          <w:kern w:val="0"/>
          <w:sz w:val="15"/>
          <w:szCs w:val="15"/>
        </w:rPr>
        <w:t>。</w:t>
      </w:r>
      <w:r>
        <w:rPr>
          <w:rFonts w:hint="eastAsia" w:ascii="方正黑体_GBK" w:hAnsi="方正黑体_GBK" w:eastAsia="方正黑体_GBK"/>
          <w:b/>
          <w:bCs/>
          <w:vanish w:val="0"/>
          <w:color w:val="auto"/>
          <w:kern w:val="0"/>
          <w:sz w:val="15"/>
          <w:szCs w:val="15"/>
        </w:rPr>
        <w:t>管理人及销售机构保证信息采集、处理及使用的安全性和合法性</w:t>
      </w:r>
      <w:r>
        <w:rPr>
          <w:rFonts w:hint="eastAsia" w:ascii="方正黑体_GBK" w:hAnsi="方正黑体_GBK" w:eastAsia="方正黑体_GBK"/>
          <w:b/>
          <w:bCs/>
          <w:vanish w:val="0"/>
          <w:color w:val="auto"/>
          <w:spacing w:val="0"/>
          <w:kern w:val="0"/>
          <w:sz w:val="15"/>
          <w:szCs w:val="15"/>
        </w:rPr>
        <w:t>。</w:t>
      </w:r>
    </w:p>
    <w:p w14:paraId="6425BA96">
      <w:pPr>
        <w:pStyle w:val="30"/>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本理财产品说明书在法律许可的范围内由管理人负责解释。若投资者对本理财说明书的内容有任何疑问或异议，</w:t>
      </w:r>
      <w:r>
        <w:rPr>
          <w:rFonts w:hint="eastAsia" w:ascii="方正黑体_GBK" w:hAnsi="方正黑体_GBK" w:eastAsia="方正黑体_GBK" w:cs="Times New Roman"/>
          <w:b/>
          <w:bCs/>
          <w:vanish w:val="0"/>
          <w:color w:val="auto"/>
          <w:kern w:val="0"/>
          <w:sz w:val="15"/>
          <w:szCs w:val="15"/>
        </w:rPr>
        <w:t>可与管理人或销售机构联系，管理人或销售机构将及时接听、记录投资者的意见或建议，并与投资者协商共同解决</w:t>
      </w:r>
      <w:r>
        <w:rPr>
          <w:rFonts w:hint="eastAsia" w:ascii="方正黑体_GBK" w:hAnsi="方正黑体_GBK" w:eastAsia="方正黑体_GBK"/>
          <w:b/>
          <w:bCs/>
          <w:vanish w:val="0"/>
          <w:color w:val="auto"/>
          <w:kern w:val="0"/>
          <w:sz w:val="15"/>
          <w:szCs w:val="15"/>
        </w:rPr>
        <w:t>。</w:t>
      </w:r>
    </w:p>
    <w:p w14:paraId="4F3A77CD">
      <w:pPr>
        <w:pStyle w:val="30"/>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rPr>
          <w:rFonts w:ascii="方正黑体_GBK" w:hAnsi="方正黑体_GBK" w:eastAsia="方正黑体_GBK"/>
          <w:b/>
          <w:bCs/>
          <w:vanish w:val="0"/>
          <w:color w:val="3D3D3D"/>
          <w:kern w:val="0"/>
          <w:sz w:val="15"/>
          <w:szCs w:val="15"/>
        </w:rPr>
      </w:pPr>
    </w:p>
    <w:p w14:paraId="5E0E6DE7">
      <w:pPr>
        <w:pStyle w:val="30"/>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风险提示：</w:t>
      </w:r>
    </w:p>
    <w:p w14:paraId="4D50FA68">
      <w:pPr>
        <w:pStyle w:val="30"/>
        <w:tabs>
          <w:tab w:val="left" w:pos="8033"/>
        </w:tabs>
        <w:ind w:left="0" w:firstLine="0"/>
        <w:jc w:val="left"/>
        <w:rPr>
          <w:rFonts w:hint="eastAsia" w:ascii="方正黑体_GBK" w:hAnsi="方正黑体_GBK" w:eastAsia="方正黑体_GBK"/>
          <w:sz w:val="20"/>
          <w:szCs w:val="20"/>
          <w:lang w:val="en-US" w:eastAsia="zh-CN"/>
        </w:rPr>
      </w:pPr>
      <w:r>
        <w:rPr>
          <w:rFonts w:hint="eastAsia" w:ascii="方正黑体_GBK" w:hAnsi="方正黑体_GBK" w:eastAsia="方正黑体_GBK"/>
          <w:b/>
          <w:bCs/>
          <w:color w:val="3D3D3D"/>
          <w:kern w:val="0"/>
          <w:sz w:val="15"/>
          <w:szCs w:val="15"/>
        </w:rPr>
        <w:t>本理财产品是</w:t>
      </w:r>
      <w:r>
        <w:rPr>
          <w:rFonts w:hint="eastAsia" w:ascii="方正黑体_GBK" w:hAnsi="方正黑体_GBK" w:eastAsia="方正黑体_GBK" w:cs="宋体"/>
          <w:b/>
          <w:bCs/>
          <w:i/>
          <w:iCs/>
          <w:caps w:val="0"/>
          <w:smallCaps w:val="0"/>
          <w:snapToGrid/>
          <w:vanish w:val="0"/>
          <w:color w:val="auto"/>
          <w:kern w:val="0"/>
          <w:sz w:val="20"/>
          <w:szCs w:val="18"/>
          <w:u w:val="single"/>
          <w:vertAlign w:val="baseline"/>
          <w:lang w:val="en-US" w:eastAsia="zh-CN"/>
        </w:rPr>
        <w:t>定期开放式、固定收益类、公募、净值型</w:t>
      </w:r>
      <w:r>
        <w:rPr>
          <w:rFonts w:hint="eastAsia" w:ascii="方正黑体_GBK" w:hAnsi="方正黑体_GBK" w:eastAsia="方正黑体_GBK"/>
          <w:b/>
          <w:bCs/>
          <w:color w:val="3D3D3D"/>
          <w:kern w:val="0"/>
          <w:sz w:val="15"/>
          <w:szCs w:val="15"/>
        </w:rPr>
        <w:t>理财产品，</w:t>
      </w:r>
      <w:r>
        <w:rPr>
          <w:rFonts w:hint="eastAsia" w:ascii="方正黑体_GBK" w:hAnsi="方正黑体_GBK" w:eastAsia="方正黑体_GBK"/>
          <w:b/>
          <w:bCs/>
          <w:i/>
          <w:iCs/>
          <w:color w:val="3D3D3D"/>
          <w:kern w:val="0"/>
          <w:sz w:val="21"/>
          <w:szCs w:val="21"/>
          <w:u w:val="single"/>
        </w:rPr>
        <w:t>不保证本金和收益</w:t>
      </w:r>
      <w:r>
        <w:rPr>
          <w:rFonts w:hint="eastAsia" w:ascii="方正黑体_GBK" w:hAnsi="方正黑体_GBK" w:eastAsia="方正黑体_GBK"/>
          <w:b/>
          <w:bCs/>
          <w:color w:val="3D3D3D"/>
          <w:kern w:val="0"/>
          <w:sz w:val="15"/>
          <w:szCs w:val="15"/>
        </w:rPr>
        <w:t>，您的本金与收益可能会蒙受重大损失，您应仔细阅读</w:t>
      </w:r>
      <w:r>
        <w:rPr>
          <w:rFonts w:hint="eastAsia" w:ascii="方正黑体_GBK" w:hAnsi="方正黑体_GBK" w:eastAsia="方正黑体_GBK" w:cs="Times New Roman"/>
          <w:b/>
          <w:bCs/>
          <w:color w:val="3D3D3D"/>
          <w:kern w:val="0"/>
          <w:sz w:val="15"/>
          <w:szCs w:val="15"/>
        </w:rPr>
        <w:t>《理财产品风险揭示书》《理财产品说明书》《投资者权益须知》《理财产品销售协议书》《理财产品投资协议书》</w:t>
      </w:r>
      <w:r>
        <w:rPr>
          <w:rFonts w:hint="eastAsia" w:ascii="方正黑体_GBK" w:hAnsi="方正黑体_GBK" w:eastAsia="方正黑体_GBK"/>
          <w:b/>
          <w:bCs/>
          <w:color w:val="3D3D3D"/>
          <w:kern w:val="0"/>
          <w:sz w:val="15"/>
          <w:szCs w:val="15"/>
        </w:rPr>
        <w:t>，充分认识投资风险，谨慎投资。</w:t>
      </w:r>
    </w:p>
    <w:sectPr>
      <w:headerReference r:id="rId5" w:type="default"/>
      <w:pgSz w:w="11907" w:h="16839"/>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黑体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7C1265">
    <w:pPr>
      <w:pStyle w:val="8"/>
      <w:jc w:val="right"/>
    </w:pPr>
    <w:r>
      <w:t>南银理财理财产品销售文件（2021第2版）</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5E306ED"/>
    <w:multiLevelType w:val="multilevel"/>
    <w:tmpl w:val="B5E306ED"/>
    <w:lvl w:ilvl="0" w:tentative="0">
      <w:start w:val="1"/>
      <w:numFmt w:val="chineseCountingThousand"/>
      <w:lvlText w:val="（%1）"/>
      <w:legacy w:legacy="1" w:legacySpace="0" w:legacyIndent="420"/>
      <w:lvlJc w:val="left"/>
      <w:pPr>
        <w:ind w:left="704" w:hanging="420"/>
      </w:pPr>
      <w:rPr>
        <w:rFonts w:hint="eastAsia" w:ascii="方正黑体_GBK" w:hAnsi="方正黑体_GBK" w:eastAsia="方正黑体_GBK"/>
        <w:b w:val="0"/>
        <w:bCs w:val="0"/>
      </w:rPr>
    </w:lvl>
    <w:lvl w:ilvl="1" w:tentative="0">
      <w:start w:val="1"/>
      <w:numFmt w:val="lowerLetter"/>
      <w:lvlText w:val="%2)"/>
      <w:legacy w:legacy="1" w:legacySpace="0" w:legacyIndent="420"/>
      <w:lvlJc w:val="left"/>
      <w:pPr>
        <w:ind w:left="1124" w:hanging="420"/>
      </w:pPr>
      <w:rPr>
        <w:rFonts w:hint="default" w:ascii="方正黑体_GBK" w:hAnsi="方正黑体_GBK" w:eastAsia="方正黑体_GBK"/>
      </w:rPr>
    </w:lvl>
    <w:lvl w:ilvl="2" w:tentative="0">
      <w:start w:val="1"/>
      <w:numFmt w:val="decimal"/>
      <w:lvlText w:val="%3."/>
      <w:legacy w:legacy="1" w:legacySpace="0" w:legacyIndent="420"/>
      <w:lvlJc w:val="right"/>
      <w:pPr>
        <w:ind w:left="1544" w:hanging="420"/>
      </w:pPr>
      <w:rPr>
        <w:rFonts w:hint="default" w:ascii="方正黑体_GBK" w:hAnsi="方正黑体_GBK" w:eastAsia="方正黑体_GBK"/>
      </w:rPr>
    </w:lvl>
    <w:lvl w:ilvl="3" w:tentative="0">
      <w:start w:val="1"/>
      <w:numFmt w:val="decimal"/>
      <w:lvlText w:val="%4."/>
      <w:legacy w:legacy="1" w:legacySpace="0" w:legacyIndent="420"/>
      <w:lvlJc w:val="left"/>
      <w:pPr>
        <w:ind w:left="1964" w:hanging="420"/>
      </w:pPr>
      <w:rPr>
        <w:rFonts w:hint="default" w:ascii="方正黑体_GBK" w:hAnsi="方正黑体_GBK" w:eastAsia="方正黑体_GBK"/>
      </w:rPr>
    </w:lvl>
    <w:lvl w:ilvl="4" w:tentative="0">
      <w:start w:val="1"/>
      <w:numFmt w:val="lowerLetter"/>
      <w:lvlText w:val="%5)"/>
      <w:legacy w:legacy="1" w:legacySpace="0" w:legacyIndent="420"/>
      <w:lvlJc w:val="left"/>
      <w:pPr>
        <w:ind w:left="2384" w:hanging="420"/>
      </w:pPr>
      <w:rPr>
        <w:rFonts w:hint="default" w:ascii="方正黑体_GBK" w:hAnsi="方正黑体_GBK" w:eastAsia="方正黑体_GBK"/>
      </w:rPr>
    </w:lvl>
    <w:lvl w:ilvl="5" w:tentative="0">
      <w:start w:val="1"/>
      <w:numFmt w:val="decimal"/>
      <w:lvlText w:val="%6."/>
      <w:legacy w:legacy="1" w:legacySpace="0" w:legacyIndent="420"/>
      <w:lvlJc w:val="right"/>
      <w:pPr>
        <w:ind w:left="2804" w:hanging="420"/>
      </w:pPr>
      <w:rPr>
        <w:rFonts w:hint="default" w:ascii="方正黑体_GBK" w:hAnsi="方正黑体_GBK" w:eastAsia="方正黑体_GBK"/>
      </w:rPr>
    </w:lvl>
    <w:lvl w:ilvl="6" w:tentative="0">
      <w:start w:val="1"/>
      <w:numFmt w:val="decimal"/>
      <w:lvlText w:val="%7."/>
      <w:legacy w:legacy="1" w:legacySpace="0" w:legacyIndent="420"/>
      <w:lvlJc w:val="left"/>
      <w:pPr>
        <w:ind w:left="3224" w:hanging="420"/>
      </w:pPr>
      <w:rPr>
        <w:rFonts w:hint="default" w:ascii="方正黑体_GBK" w:hAnsi="方正黑体_GBK" w:eastAsia="方正黑体_GBK"/>
      </w:rPr>
    </w:lvl>
    <w:lvl w:ilvl="7" w:tentative="0">
      <w:start w:val="1"/>
      <w:numFmt w:val="lowerLetter"/>
      <w:lvlText w:val="%8)"/>
      <w:legacy w:legacy="1" w:legacySpace="0" w:legacyIndent="420"/>
      <w:lvlJc w:val="left"/>
      <w:pPr>
        <w:ind w:left="3644" w:hanging="420"/>
      </w:pPr>
      <w:rPr>
        <w:rFonts w:hint="default" w:ascii="方正黑体_GBK" w:hAnsi="方正黑体_GBK" w:eastAsia="方正黑体_GBK"/>
      </w:rPr>
    </w:lvl>
    <w:lvl w:ilvl="8" w:tentative="0">
      <w:start w:val="1"/>
      <w:numFmt w:val="decimal"/>
      <w:lvlText w:val="%9."/>
      <w:legacy w:legacy="1" w:legacySpace="0" w:legacyIndent="420"/>
      <w:lvlJc w:val="right"/>
      <w:pPr>
        <w:ind w:left="4064" w:hanging="420"/>
      </w:pPr>
      <w:rPr>
        <w:rFonts w:hint="default" w:ascii="方正黑体_GBK" w:hAnsi="方正黑体_GBK" w:eastAsia="方正黑体_GBK"/>
      </w:rPr>
    </w:lvl>
  </w:abstractNum>
  <w:abstractNum w:abstractNumId="1">
    <w:nsid w:val="03D62ECE"/>
    <w:multiLevelType w:val="multilevel"/>
    <w:tmpl w:val="03D62ECE"/>
    <w:lvl w:ilvl="0" w:tentative="0">
      <w:start w:val="1"/>
      <w:numFmt w:val="decimal"/>
      <w:lvlText w:val="（%1）"/>
      <w:legacy w:legacy="1" w:legacySpace="0" w:legacyIndent="420"/>
      <w:lvlJc w:val="left"/>
      <w:pPr>
        <w:ind w:left="709" w:hanging="420"/>
      </w:pPr>
      <w:rPr>
        <w:rFonts w:hint="default" w:ascii="方正黑体_GBK" w:hAnsi="方正黑体_GBK" w:eastAsia="方正黑体_GBK" w:cs="Times New Roman"/>
      </w:rPr>
    </w:lvl>
    <w:lvl w:ilvl="1" w:tentative="0">
      <w:start w:val="1"/>
      <w:numFmt w:val="lowerLetter"/>
      <w:lvlText w:val="%2)"/>
      <w:legacy w:legacy="1" w:legacySpace="0" w:legacyIndent="420"/>
      <w:lvlJc w:val="left"/>
      <w:pPr>
        <w:ind w:left="1129" w:hanging="420"/>
      </w:pPr>
    </w:lvl>
    <w:lvl w:ilvl="2" w:tentative="0">
      <w:start w:val="1"/>
      <w:numFmt w:val="lowerRoman"/>
      <w:lvlText w:val="%3."/>
      <w:legacy w:legacy="1" w:legacySpace="0" w:legacyIndent="420"/>
      <w:lvlJc w:val="right"/>
      <w:pPr>
        <w:ind w:left="1549" w:hanging="420"/>
      </w:pPr>
    </w:lvl>
    <w:lvl w:ilvl="3" w:tentative="0">
      <w:start w:val="1"/>
      <w:numFmt w:val="decimal"/>
      <w:lvlText w:val="%4."/>
      <w:legacy w:legacy="1" w:legacySpace="0" w:legacyIndent="420"/>
      <w:lvlJc w:val="left"/>
      <w:pPr>
        <w:ind w:left="1969" w:hanging="420"/>
      </w:pPr>
    </w:lvl>
    <w:lvl w:ilvl="4" w:tentative="0">
      <w:start w:val="1"/>
      <w:numFmt w:val="lowerLetter"/>
      <w:lvlText w:val="%5)"/>
      <w:legacy w:legacy="1" w:legacySpace="0" w:legacyIndent="420"/>
      <w:lvlJc w:val="left"/>
      <w:pPr>
        <w:ind w:left="2389" w:hanging="420"/>
      </w:pPr>
    </w:lvl>
    <w:lvl w:ilvl="5" w:tentative="0">
      <w:start w:val="1"/>
      <w:numFmt w:val="lowerRoman"/>
      <w:lvlText w:val="%6."/>
      <w:legacy w:legacy="1" w:legacySpace="0" w:legacyIndent="420"/>
      <w:lvlJc w:val="right"/>
      <w:pPr>
        <w:ind w:left="2809" w:hanging="420"/>
      </w:pPr>
    </w:lvl>
    <w:lvl w:ilvl="6" w:tentative="0">
      <w:start w:val="1"/>
      <w:numFmt w:val="decimal"/>
      <w:lvlText w:val="%7."/>
      <w:legacy w:legacy="1" w:legacySpace="0" w:legacyIndent="420"/>
      <w:lvlJc w:val="left"/>
      <w:pPr>
        <w:ind w:left="3229" w:hanging="420"/>
      </w:pPr>
    </w:lvl>
    <w:lvl w:ilvl="7" w:tentative="0">
      <w:start w:val="1"/>
      <w:numFmt w:val="lowerLetter"/>
      <w:lvlText w:val="%8)"/>
      <w:legacy w:legacy="1" w:legacySpace="0" w:legacyIndent="420"/>
      <w:lvlJc w:val="left"/>
      <w:pPr>
        <w:ind w:left="3649" w:hanging="420"/>
      </w:pPr>
    </w:lvl>
    <w:lvl w:ilvl="8" w:tentative="0">
      <w:start w:val="1"/>
      <w:numFmt w:val="lowerRoman"/>
      <w:lvlText w:val="%9."/>
      <w:legacy w:legacy="1" w:legacySpace="0" w:legacyIndent="420"/>
      <w:lvlJc w:val="right"/>
      <w:pPr>
        <w:ind w:left="4069" w:hanging="420"/>
      </w:pPr>
    </w:lvl>
  </w:abstractNum>
  <w:abstractNum w:abstractNumId="2">
    <w:nsid w:val="25B654F3"/>
    <w:multiLevelType w:val="multilevel"/>
    <w:tmpl w:val="25B654F3"/>
    <w:lvl w:ilvl="0" w:tentative="0">
      <w:start w:val="1"/>
      <w:numFmt w:val="japaneseCounting"/>
      <w:lvlText w:val="（%1）"/>
      <w:lvlJc w:val="left"/>
      <w:pPr>
        <w:tabs>
          <w:tab w:val="left" w:pos="0"/>
        </w:tabs>
        <w:ind w:left="1021" w:hanging="720"/>
      </w:pPr>
      <w:rPr>
        <w:rFonts w:hint="default" w:ascii="方正黑体_GBK" w:hAnsi="方正黑体_GBK" w:eastAsia="方正黑体_GBK"/>
      </w:rPr>
    </w:lvl>
    <w:lvl w:ilvl="1" w:tentative="0">
      <w:start w:val="1"/>
      <w:numFmt w:val="lowerLetter"/>
      <w:lvlText w:val="%2)"/>
      <w:lvlJc w:val="left"/>
      <w:pPr>
        <w:tabs>
          <w:tab w:val="left" w:pos="0"/>
        </w:tabs>
        <w:ind w:left="1141" w:hanging="420"/>
      </w:pPr>
      <w:rPr>
        <w:rFonts w:hint="default" w:ascii="方正黑体_GBK" w:hAnsi="方正黑体_GBK" w:eastAsia="方正黑体_GBK"/>
      </w:rPr>
    </w:lvl>
    <w:lvl w:ilvl="2" w:tentative="0">
      <w:start w:val="1"/>
      <w:numFmt w:val="decimal"/>
      <w:lvlText w:val="%3."/>
      <w:lvlJc w:val="right"/>
      <w:pPr>
        <w:tabs>
          <w:tab w:val="left" w:pos="0"/>
        </w:tabs>
        <w:ind w:left="1561" w:hanging="420"/>
      </w:pPr>
      <w:rPr>
        <w:rFonts w:hint="default" w:ascii="方正黑体_GBK" w:hAnsi="方正黑体_GBK" w:eastAsia="方正黑体_GBK"/>
      </w:rPr>
    </w:lvl>
    <w:lvl w:ilvl="3" w:tentative="0">
      <w:start w:val="1"/>
      <w:numFmt w:val="decimal"/>
      <w:lvlText w:val="%4."/>
      <w:lvlJc w:val="left"/>
      <w:pPr>
        <w:tabs>
          <w:tab w:val="left" w:pos="0"/>
        </w:tabs>
        <w:ind w:left="1981" w:hanging="420"/>
      </w:pPr>
      <w:rPr>
        <w:rFonts w:hint="default" w:ascii="方正黑体_GBK" w:hAnsi="方正黑体_GBK" w:eastAsia="方正黑体_GBK"/>
      </w:rPr>
    </w:lvl>
    <w:lvl w:ilvl="4" w:tentative="0">
      <w:start w:val="1"/>
      <w:numFmt w:val="lowerLetter"/>
      <w:lvlText w:val="%5)"/>
      <w:lvlJc w:val="left"/>
      <w:pPr>
        <w:tabs>
          <w:tab w:val="left" w:pos="0"/>
        </w:tabs>
        <w:ind w:left="2401" w:hanging="420"/>
      </w:pPr>
      <w:rPr>
        <w:rFonts w:hint="default" w:ascii="方正黑体_GBK" w:hAnsi="方正黑体_GBK" w:eastAsia="方正黑体_GBK"/>
      </w:rPr>
    </w:lvl>
    <w:lvl w:ilvl="5" w:tentative="0">
      <w:start w:val="1"/>
      <w:numFmt w:val="decimal"/>
      <w:lvlText w:val="%6."/>
      <w:lvlJc w:val="right"/>
      <w:pPr>
        <w:tabs>
          <w:tab w:val="left" w:pos="0"/>
        </w:tabs>
        <w:ind w:left="2821" w:hanging="420"/>
      </w:pPr>
      <w:rPr>
        <w:rFonts w:hint="default" w:ascii="方正黑体_GBK" w:hAnsi="方正黑体_GBK" w:eastAsia="方正黑体_GBK"/>
      </w:rPr>
    </w:lvl>
    <w:lvl w:ilvl="6" w:tentative="0">
      <w:start w:val="1"/>
      <w:numFmt w:val="decimal"/>
      <w:lvlText w:val="%7."/>
      <w:lvlJc w:val="left"/>
      <w:pPr>
        <w:tabs>
          <w:tab w:val="left" w:pos="0"/>
        </w:tabs>
        <w:ind w:left="3241" w:hanging="420"/>
      </w:pPr>
      <w:rPr>
        <w:rFonts w:hint="default" w:ascii="方正黑体_GBK" w:hAnsi="方正黑体_GBK" w:eastAsia="方正黑体_GBK"/>
      </w:rPr>
    </w:lvl>
    <w:lvl w:ilvl="7" w:tentative="0">
      <w:start w:val="1"/>
      <w:numFmt w:val="lowerLetter"/>
      <w:lvlText w:val="%8)"/>
      <w:lvlJc w:val="left"/>
      <w:pPr>
        <w:tabs>
          <w:tab w:val="left" w:pos="0"/>
        </w:tabs>
        <w:ind w:left="3661" w:hanging="420"/>
      </w:pPr>
      <w:rPr>
        <w:rFonts w:hint="default" w:ascii="方正黑体_GBK" w:hAnsi="方正黑体_GBK" w:eastAsia="方正黑体_GBK"/>
      </w:rPr>
    </w:lvl>
    <w:lvl w:ilvl="8" w:tentative="0">
      <w:start w:val="1"/>
      <w:numFmt w:val="decimal"/>
      <w:lvlText w:val="%9."/>
      <w:lvlJc w:val="right"/>
      <w:pPr>
        <w:tabs>
          <w:tab w:val="left" w:pos="0"/>
        </w:tabs>
        <w:ind w:left="4081" w:hanging="420"/>
      </w:pPr>
      <w:rPr>
        <w:rFonts w:hint="default" w:ascii="方正黑体_GBK" w:hAnsi="方正黑体_GBK" w:eastAsia="方正黑体_GBK"/>
      </w:rPr>
    </w:lvl>
  </w:abstractNum>
  <w:abstractNum w:abstractNumId="3">
    <w:nsid w:val="72183CF9"/>
    <w:multiLevelType w:val="multilevel"/>
    <w:tmpl w:val="72183CF9"/>
    <w:lvl w:ilvl="0" w:tentative="0">
      <w:start w:val="1"/>
      <w:numFmt w:val="decimal"/>
      <w:lvlText w:val="%1."/>
      <w:lvlJc w:val="left"/>
      <w:pPr>
        <w:tabs>
          <w:tab w:val="left" w:pos="0"/>
        </w:tabs>
        <w:ind w:left="660" w:hanging="360"/>
      </w:pPr>
      <w:rPr>
        <w:rFonts w:hint="default" w:ascii="方正黑体_GBK" w:hAnsi="方正黑体_GBK" w:eastAsia="方正黑体_GBK"/>
      </w:rPr>
    </w:lvl>
    <w:lvl w:ilvl="1" w:tentative="0">
      <w:start w:val="1"/>
      <w:numFmt w:val="lowerLetter"/>
      <w:lvlText w:val="%2)"/>
      <w:lvlJc w:val="left"/>
      <w:pPr>
        <w:tabs>
          <w:tab w:val="left" w:pos="0"/>
        </w:tabs>
        <w:ind w:left="1140" w:hanging="420"/>
      </w:pPr>
      <w:rPr>
        <w:rFonts w:hint="default" w:ascii="方正黑体_GBK" w:hAnsi="方正黑体_GBK" w:eastAsia="方正黑体_GBK"/>
      </w:rPr>
    </w:lvl>
    <w:lvl w:ilvl="2" w:tentative="0">
      <w:start w:val="1"/>
      <w:numFmt w:val="decimal"/>
      <w:lvlText w:val="%3."/>
      <w:lvlJc w:val="right"/>
      <w:pPr>
        <w:tabs>
          <w:tab w:val="left" w:pos="0"/>
        </w:tabs>
        <w:ind w:left="1560" w:hanging="420"/>
      </w:pPr>
      <w:rPr>
        <w:rFonts w:hint="default" w:ascii="方正黑体_GBK" w:hAnsi="方正黑体_GBK" w:eastAsia="方正黑体_GBK"/>
      </w:rPr>
    </w:lvl>
    <w:lvl w:ilvl="3" w:tentative="0">
      <w:start w:val="1"/>
      <w:numFmt w:val="decimal"/>
      <w:lvlText w:val="%4."/>
      <w:lvlJc w:val="left"/>
      <w:pPr>
        <w:tabs>
          <w:tab w:val="left" w:pos="0"/>
        </w:tabs>
        <w:ind w:left="1980" w:hanging="420"/>
      </w:pPr>
      <w:rPr>
        <w:rFonts w:hint="default" w:ascii="方正黑体_GBK" w:hAnsi="方正黑体_GBK" w:eastAsia="方正黑体_GBK"/>
      </w:rPr>
    </w:lvl>
    <w:lvl w:ilvl="4" w:tentative="0">
      <w:start w:val="1"/>
      <w:numFmt w:val="lowerLetter"/>
      <w:lvlText w:val="%5)"/>
      <w:lvlJc w:val="left"/>
      <w:pPr>
        <w:tabs>
          <w:tab w:val="left" w:pos="0"/>
        </w:tabs>
        <w:ind w:left="2400" w:hanging="420"/>
      </w:pPr>
      <w:rPr>
        <w:rFonts w:hint="default" w:ascii="方正黑体_GBK" w:hAnsi="方正黑体_GBK" w:eastAsia="方正黑体_GBK"/>
      </w:rPr>
    </w:lvl>
    <w:lvl w:ilvl="5" w:tentative="0">
      <w:start w:val="1"/>
      <w:numFmt w:val="decimal"/>
      <w:lvlText w:val="%6."/>
      <w:lvlJc w:val="right"/>
      <w:pPr>
        <w:tabs>
          <w:tab w:val="left" w:pos="0"/>
        </w:tabs>
        <w:ind w:left="2820" w:hanging="420"/>
      </w:pPr>
      <w:rPr>
        <w:rFonts w:hint="default" w:ascii="方正黑体_GBK" w:hAnsi="方正黑体_GBK" w:eastAsia="方正黑体_GBK"/>
      </w:rPr>
    </w:lvl>
    <w:lvl w:ilvl="6" w:tentative="0">
      <w:start w:val="1"/>
      <w:numFmt w:val="decimal"/>
      <w:lvlText w:val="%7."/>
      <w:lvlJc w:val="left"/>
      <w:pPr>
        <w:tabs>
          <w:tab w:val="left" w:pos="0"/>
        </w:tabs>
        <w:ind w:left="3240" w:hanging="420"/>
      </w:pPr>
      <w:rPr>
        <w:rFonts w:hint="default" w:ascii="方正黑体_GBK" w:hAnsi="方正黑体_GBK" w:eastAsia="方正黑体_GBK"/>
      </w:rPr>
    </w:lvl>
    <w:lvl w:ilvl="7" w:tentative="0">
      <w:start w:val="1"/>
      <w:numFmt w:val="lowerLetter"/>
      <w:lvlText w:val="%8)"/>
      <w:lvlJc w:val="left"/>
      <w:pPr>
        <w:tabs>
          <w:tab w:val="left" w:pos="0"/>
        </w:tabs>
        <w:ind w:left="3660" w:hanging="420"/>
      </w:pPr>
      <w:rPr>
        <w:rFonts w:hint="default" w:ascii="方正黑体_GBK" w:hAnsi="方正黑体_GBK" w:eastAsia="方正黑体_GBK"/>
      </w:rPr>
    </w:lvl>
    <w:lvl w:ilvl="8" w:tentative="0">
      <w:start w:val="1"/>
      <w:numFmt w:val="decimal"/>
      <w:lvlText w:val="%9."/>
      <w:lvlJc w:val="right"/>
      <w:pPr>
        <w:tabs>
          <w:tab w:val="left" w:pos="0"/>
        </w:tabs>
        <w:ind w:left="4080" w:hanging="420"/>
      </w:pPr>
      <w:rPr>
        <w:rFonts w:hint="default" w:ascii="方正黑体_GBK" w:hAnsi="方正黑体_GBK" w:eastAsia="方正黑体_GBK"/>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4"/>
  <w:bordersDoNotSurroundHeader w:val="1"/>
  <w:bordersDoNotSurroundFooter w:val="1"/>
  <w:documentProtection w:edit="readOnly" w:enforcement="0"/>
  <w:defaultTabStop w:val="420"/>
  <w:drawingGridHorizontalSpacing w:val="1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ulTrailSpace/>
    <w:doNotExpandShiftReturn/>
    <w:adjustLineHeightInTable/>
    <w:useFELayout/>
    <w:compatSetting w:name="compatibilityMode" w:uri="http://schemas.microsoft.com/office/word" w:val="14"/>
  </w:compat>
  <w:docVars>
    <w:docVar w:name="commondata" w:val="eyJoZGlkIjoiM2M1ZGZjZGI0NDAxNWRlYTU1MDQzODcxYWQzMWNkMWYifQ=="/>
  </w:docVars>
  <w:rsids>
    <w:rsidRoot w:val="00000000"/>
    <w:rsid w:val="2ACE7A63"/>
    <w:rsid w:val="3A0C0BDB"/>
    <w:rsid w:val="72B712E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styleId="2">
    <w:name w:val="heading 1"/>
    <w:basedOn w:val="1"/>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styleId="3">
    <w:name w:val="heading 2"/>
    <w:basedOn w:val="1"/>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styleId="4">
    <w:name w:val="heading 3"/>
    <w:basedOn w:val="1"/>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default="1" w:styleId="14">
    <w:name w:val="Default Paragraph Font"/>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5">
    <w:name w:val="toc 5"/>
    <w:basedOn w:val="1"/>
    <w:next w:val="1"/>
    <w:qFormat/>
    <w:uiPriority w:val="0"/>
    <w:pPr>
      <w:ind w:left="1680"/>
    </w:pPr>
  </w:style>
  <w:style w:type="paragraph" w:styleId="6">
    <w:name w:val="toc 3"/>
    <w:basedOn w:val="1"/>
    <w:next w:val="1"/>
    <w:qFormat/>
    <w:uiPriority w:val="0"/>
    <w:pPr>
      <w:ind w:left="840"/>
    </w:pPr>
  </w:style>
  <w:style w:type="paragraph" w:styleId="7">
    <w:name w:val="footer"/>
    <w:basedOn w:val="1"/>
    <w:qFormat/>
    <w:uiPriority w:val="0"/>
    <w:pPr>
      <w:tabs>
        <w:tab w:val="center" w:pos="4153"/>
        <w:tab w:val="right" w:pos="8307"/>
      </w:tabs>
      <w:adjustRightInd/>
      <w:snapToGrid w:val="0"/>
      <w:contextualSpacing w:val="0"/>
      <w:jc w:val="left"/>
    </w:pPr>
    <w:rPr>
      <w:sz w:val="18"/>
    </w:rPr>
  </w:style>
  <w:style w:type="paragraph" w:styleId="8">
    <w:name w:val="header"/>
    <w:basedOn w:val="1"/>
    <w:qFormat/>
    <w:uiPriority w:val="0"/>
    <w:pPr>
      <w:pBdr>
        <w:bottom w:val="single" w:color="auto" w:sz="6" w:space="1"/>
      </w:pBdr>
      <w:tabs>
        <w:tab w:val="center" w:pos="4153"/>
        <w:tab w:val="right" w:pos="8307"/>
      </w:tabs>
      <w:adjustRightInd/>
      <w:snapToGrid w:val="0"/>
      <w:contextualSpacing w:val="0"/>
      <w:jc w:val="center"/>
    </w:pPr>
    <w:rPr>
      <w:sz w:val="18"/>
    </w:rPr>
  </w:style>
  <w:style w:type="paragraph" w:styleId="9">
    <w:name w:val="toc 1"/>
    <w:basedOn w:val="1"/>
    <w:next w:val="1"/>
    <w:qFormat/>
    <w:uiPriority w:val="0"/>
  </w:style>
  <w:style w:type="paragraph" w:styleId="10">
    <w:name w:val="toc 4"/>
    <w:basedOn w:val="1"/>
    <w:next w:val="1"/>
    <w:qFormat/>
    <w:uiPriority w:val="0"/>
    <w:pPr>
      <w:ind w:left="1260"/>
    </w:pPr>
  </w:style>
  <w:style w:type="paragraph" w:styleId="11">
    <w:name w:val="toc 2"/>
    <w:basedOn w:val="1"/>
    <w:next w:val="1"/>
    <w:qFormat/>
    <w:uiPriority w:val="0"/>
    <w:pPr>
      <w:ind w:left="420"/>
    </w:pPr>
  </w:style>
  <w:style w:type="table" w:styleId="13">
    <w:name w:val="Table Grid"/>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5">
    <w:name w:val="Strong"/>
    <w:qFormat/>
    <w:uiPriority w:val="0"/>
    <w:rPr>
      <w:b/>
    </w:rPr>
  </w:style>
  <w:style w:type="paragraph" w:customStyle="1" w:styleId="16">
    <w:name w:val="Normal687e4d42"/>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17">
    <w:name w:val="heading 13bfcccf6"/>
    <w:basedOn w:val="16"/>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18">
    <w:name w:val="heading 2738963d3"/>
    <w:basedOn w:val="16"/>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19">
    <w:name w:val="heading 3a684a888"/>
    <w:basedOn w:val="16"/>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20">
    <w:name w:val="Default Paragraph Fontf2029753"/>
    <w:qFormat/>
    <w:uiPriority w:val="0"/>
  </w:style>
  <w:style w:type="paragraph" w:customStyle="1" w:styleId="21">
    <w:name w:val="toc 127d01189"/>
    <w:basedOn w:val="16"/>
    <w:next w:val="1"/>
    <w:qFormat/>
    <w:uiPriority w:val="0"/>
  </w:style>
  <w:style w:type="paragraph" w:customStyle="1" w:styleId="22">
    <w:name w:val="toc 2c311bef7"/>
    <w:basedOn w:val="16"/>
    <w:next w:val="1"/>
    <w:qFormat/>
    <w:uiPriority w:val="0"/>
    <w:pPr>
      <w:ind w:left="420"/>
    </w:pPr>
  </w:style>
  <w:style w:type="paragraph" w:customStyle="1" w:styleId="23">
    <w:name w:val="toc 3459200ea"/>
    <w:basedOn w:val="16"/>
    <w:next w:val="1"/>
    <w:qFormat/>
    <w:uiPriority w:val="0"/>
    <w:pPr>
      <w:ind w:left="840"/>
    </w:pPr>
  </w:style>
  <w:style w:type="paragraph" w:customStyle="1" w:styleId="24">
    <w:name w:val="toc 45fa399bf"/>
    <w:basedOn w:val="16"/>
    <w:next w:val="1"/>
    <w:qFormat/>
    <w:uiPriority w:val="0"/>
    <w:pPr>
      <w:ind w:left="1260"/>
    </w:pPr>
  </w:style>
  <w:style w:type="paragraph" w:customStyle="1" w:styleId="25">
    <w:name w:val="toc 56fac4997"/>
    <w:basedOn w:val="16"/>
    <w:next w:val="1"/>
    <w:qFormat/>
    <w:uiPriority w:val="0"/>
    <w:pPr>
      <w:ind w:left="1680"/>
    </w:pPr>
  </w:style>
  <w:style w:type="paragraph" w:customStyle="1" w:styleId="26">
    <w:name w:val="headerc873a3d1"/>
    <w:basedOn w:val="16"/>
    <w:qFormat/>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27">
    <w:name w:val="footeraca5f3de"/>
    <w:basedOn w:val="16"/>
    <w:qFormat/>
    <w:uiPriority w:val="0"/>
    <w:pPr>
      <w:tabs>
        <w:tab w:val="center" w:pos="4153"/>
        <w:tab w:val="right" w:pos="8307"/>
      </w:tabs>
      <w:adjustRightInd/>
      <w:snapToGrid w:val="0"/>
      <w:contextualSpacing w:val="0"/>
      <w:jc w:val="left"/>
    </w:pPr>
    <w:rPr>
      <w:sz w:val="18"/>
    </w:rPr>
  </w:style>
  <w:style w:type="character" w:customStyle="1" w:styleId="28">
    <w:name w:val="Stronge3a543ff"/>
    <w:qFormat/>
    <w:uiPriority w:val="0"/>
    <w:rPr>
      <w:b/>
    </w:rPr>
  </w:style>
  <w:style w:type="paragraph" w:customStyle="1" w:styleId="29">
    <w:name w:val="annotation text23"/>
    <w:next w:val="9"/>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30">
    <w:name w:val="Normalcbf03b2f"/>
    <w:next w:val="9"/>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18"/>
      <w:szCs w:val="18"/>
      <w:u w:val="none" w:color="auto"/>
      <w:shd w:val="clear" w:color="auto" w:fill="auto"/>
      <w:vertAlign w:val="baseline"/>
      <w:lang w:val="en-US" w:eastAsia="zh-CN" w:bidi="ar-SA"/>
    </w:rPr>
  </w:style>
  <w:style w:type="paragraph" w:customStyle="1" w:styleId="31">
    <w:name w:val="heading 1a04b9498"/>
    <w:basedOn w:val="30"/>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32">
    <w:name w:val="heading 2aa7ca653"/>
    <w:basedOn w:val="30"/>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33">
    <w:name w:val="heading 3b91eb86f"/>
    <w:basedOn w:val="30"/>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34">
    <w:name w:val="Default Paragraph Fontd1a97c49"/>
    <w:qFormat/>
    <w:uiPriority w:val="0"/>
  </w:style>
  <w:style w:type="paragraph" w:customStyle="1" w:styleId="35">
    <w:name w:val="Normal Indent3e0de2b5"/>
    <w:basedOn w:val="30"/>
    <w:qFormat/>
    <w:uiPriority w:val="0"/>
    <w:pPr>
      <w:ind w:firstLine="200" w:firstLineChars="200"/>
    </w:pPr>
  </w:style>
  <w:style w:type="paragraph" w:customStyle="1" w:styleId="36">
    <w:name w:val="toc 5c5e9b67e"/>
    <w:basedOn w:val="30"/>
    <w:next w:val="1"/>
    <w:qFormat/>
    <w:uiPriority w:val="0"/>
    <w:pPr>
      <w:ind w:left="1680"/>
    </w:pPr>
  </w:style>
  <w:style w:type="paragraph" w:customStyle="1" w:styleId="37">
    <w:name w:val="toc 348c76eec"/>
    <w:basedOn w:val="30"/>
    <w:next w:val="1"/>
    <w:qFormat/>
    <w:uiPriority w:val="0"/>
    <w:pPr>
      <w:ind w:left="840"/>
    </w:pPr>
  </w:style>
  <w:style w:type="paragraph" w:customStyle="1" w:styleId="38">
    <w:name w:val="footerd59609d7"/>
    <w:basedOn w:val="30"/>
    <w:qFormat/>
    <w:uiPriority w:val="0"/>
    <w:pPr>
      <w:tabs>
        <w:tab w:val="center" w:pos="4153"/>
        <w:tab w:val="right" w:pos="8307"/>
      </w:tabs>
      <w:adjustRightInd/>
      <w:snapToGrid w:val="0"/>
      <w:contextualSpacing w:val="0"/>
      <w:jc w:val="left"/>
    </w:pPr>
    <w:rPr>
      <w:sz w:val="18"/>
    </w:rPr>
  </w:style>
  <w:style w:type="paragraph" w:customStyle="1" w:styleId="39">
    <w:name w:val="header36ebcab2"/>
    <w:basedOn w:val="30"/>
    <w:qFormat/>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40">
    <w:name w:val="toc 103be5d90"/>
    <w:basedOn w:val="30"/>
    <w:next w:val="1"/>
    <w:qFormat/>
    <w:uiPriority w:val="0"/>
  </w:style>
  <w:style w:type="paragraph" w:customStyle="1" w:styleId="41">
    <w:name w:val="toc 4b1459a31"/>
    <w:basedOn w:val="30"/>
    <w:next w:val="1"/>
    <w:qFormat/>
    <w:uiPriority w:val="0"/>
    <w:pPr>
      <w:ind w:left="1260"/>
    </w:pPr>
  </w:style>
  <w:style w:type="paragraph" w:customStyle="1" w:styleId="42">
    <w:name w:val="toc 2a4d92580"/>
    <w:basedOn w:val="30"/>
    <w:next w:val="1"/>
    <w:qFormat/>
    <w:uiPriority w:val="0"/>
    <w:pPr>
      <w:ind w:left="420"/>
    </w:pPr>
  </w:style>
  <w:style w:type="paragraph" w:customStyle="1" w:styleId="43">
    <w:name w:val="Normal (Web)47dd069a"/>
    <w:next w:val="8"/>
    <w:qFormat/>
    <w:uiPriority w:val="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hAnsi="方正黑体_GBK" w:eastAsia="方正黑体_GBK" w:cs="Times New Roman"/>
      <w:snapToGrid/>
      <w:color w:val="auto"/>
      <w:spacing w:val="0"/>
      <w:w w:val="100"/>
      <w:kern w:val="0"/>
      <w:position w:val="0"/>
      <w:sz w:val="24"/>
      <w:szCs w:val="24"/>
      <w:u w:val="none" w:color="auto"/>
      <w:shd w:val="clear" w:color="auto" w:fill="auto"/>
      <w:vertAlign w:val="baseline"/>
      <w:lang w:val="en-US" w:eastAsia="zh-CN" w:bidi="ar-SA"/>
    </w:rPr>
  </w:style>
  <w:style w:type="paragraph" w:customStyle="1" w:styleId="44">
    <w:name w:val="引文目录124"/>
    <w:next w:val="1"/>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200" w:leftChars="200" w:right="0" w:firstLine="0"/>
      <w:contextualSpacing w:val="0"/>
      <w:jc w:val="both"/>
      <w:textAlignment w:val="baseline"/>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5">
    <w:name w:val="Normal608f222a608f222a"/>
    <w:next w:val="9"/>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6">
    <w:name w:val="heading 16aeb93c76aeb93c7"/>
    <w:basedOn w:val="45"/>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47">
    <w:name w:val="heading 23155ebae3155ebae"/>
    <w:basedOn w:val="45"/>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48">
    <w:name w:val="heading 30ff6ba560ff6ba56"/>
    <w:basedOn w:val="45"/>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49">
    <w:name w:val="Default Paragraph Font49ff735249ff7352"/>
    <w:qFormat/>
    <w:uiPriority w:val="0"/>
  </w:style>
  <w:style w:type="paragraph" w:customStyle="1" w:styleId="50">
    <w:name w:val="引文目录1dd0c614add0c614a"/>
    <w:basedOn w:val="45"/>
    <w:next w:val="1"/>
    <w:qFormat/>
    <w:uiPriority w:val="0"/>
    <w:pPr>
      <w:ind w:left="200" w:leftChars="200"/>
    </w:pPr>
  </w:style>
  <w:style w:type="paragraph" w:customStyle="1" w:styleId="51">
    <w:name w:val="toc 5f5295bf2f5295bf2"/>
    <w:basedOn w:val="45"/>
    <w:next w:val="1"/>
    <w:qFormat/>
    <w:uiPriority w:val="0"/>
    <w:pPr>
      <w:ind w:left="1680"/>
    </w:pPr>
  </w:style>
  <w:style w:type="paragraph" w:customStyle="1" w:styleId="52">
    <w:name w:val="toc 316d77a4a16d77a4a"/>
    <w:basedOn w:val="45"/>
    <w:next w:val="1"/>
    <w:qFormat/>
    <w:uiPriority w:val="0"/>
    <w:pPr>
      <w:ind w:left="840"/>
    </w:pPr>
  </w:style>
  <w:style w:type="paragraph" w:customStyle="1" w:styleId="53">
    <w:name w:val="footerbf5184e4bf5184e4"/>
    <w:basedOn w:val="45"/>
    <w:qFormat/>
    <w:uiPriority w:val="0"/>
    <w:pPr>
      <w:tabs>
        <w:tab w:val="center" w:pos="4153"/>
        <w:tab w:val="right" w:pos="8307"/>
      </w:tabs>
      <w:adjustRightInd/>
      <w:snapToGrid w:val="0"/>
      <w:contextualSpacing w:val="0"/>
      <w:jc w:val="left"/>
    </w:pPr>
    <w:rPr>
      <w:sz w:val="18"/>
    </w:rPr>
  </w:style>
  <w:style w:type="paragraph" w:customStyle="1" w:styleId="54">
    <w:name w:val="headerff73c164ff73c164"/>
    <w:basedOn w:val="45"/>
    <w:qFormat/>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55">
    <w:name w:val="toc 1d29efdeed29efdee"/>
    <w:basedOn w:val="45"/>
    <w:next w:val="1"/>
    <w:qFormat/>
    <w:uiPriority w:val="0"/>
  </w:style>
  <w:style w:type="paragraph" w:customStyle="1" w:styleId="56">
    <w:name w:val="toc 44251891b4251891b"/>
    <w:basedOn w:val="45"/>
    <w:next w:val="1"/>
    <w:qFormat/>
    <w:uiPriority w:val="0"/>
    <w:pPr>
      <w:ind w:left="1260"/>
    </w:pPr>
  </w:style>
  <w:style w:type="paragraph" w:customStyle="1" w:styleId="57">
    <w:name w:val="toc 2ac289471ac289471"/>
    <w:basedOn w:val="45"/>
    <w:next w:val="1"/>
    <w:qFormat/>
    <w:uiPriority w:val="0"/>
    <w:pPr>
      <w:ind w:left="420"/>
    </w:pPr>
  </w:style>
  <w:style w:type="paragraph" w:customStyle="1" w:styleId="58">
    <w:name w:val="列出段落19324bff79324bff7"/>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200" w:firstLineChars="20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Normal.eit</Template>
  <Pages>18</Pages>
  <Words>39319</Words>
  <Characters>40649</Characters>
  <Lines>81</Lines>
  <Paragraphs>27</Paragraphs>
  <TotalTime>1</TotalTime>
  <ScaleCrop>false</ScaleCrop>
  <LinksUpToDate>false</LinksUpToDate>
  <CharactersWithSpaces>40817</CharactersWithSpaces>
  <Application>WPS Office_12.1.0.20784_F1E327BC-269C-435d-A152-05C5408002CA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2022-08-09T07:38:00Z</dcterms:created>
  <dc:creator>HP</dc:creator>
  <cp:lastModifiedBy>洋洋</cp:lastModifiedBy>
  <dcterms:modified xsi:type="dcterms:W3CDTF">2025-04-21T07:09:42Z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02AEF6DED8204361AEB85E71A6BDE641</vt:lpwstr>
  </property>
  <property fmtid="{D5CDD505-2E9C-101B-9397-08002B2CF9AE}" pid="4" name="KSOTemplateDocerSaveRecord">
    <vt:lpwstr>eyJoZGlkIjoiOTBkY2U3MjllYWUxNjVjYzQyMmI2ZjJjMjFkOWNlN2QiLCJ1c2VySWQiOiIyMzg3MTc3OTEifQ==</vt:lpwstr>
  </property>
</Properties>
</file>