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pPr>
        <w:spacing w:line="200" w:lineRule="exact"/>
      </w:pPr>
      <w:r>
        <w:rPr>
          <w:rFonts w:ascii="方正黑体_GBK" w:hAnsi="方正黑体_GBK" w:eastAsia="方正黑体_GBK" w:cs="宋体"/>
          <w:b/>
          <w:sz w:val="13"/>
          <w:szCs w:val="20"/>
        </w:rPr>
        <w:t xml:space="preserve">    1.债券类资产投资风险</w:t>
      </w:r>
    </w:p>
    <w:p>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spacing w:line="200" w:lineRule="exact"/>
      </w:pPr>
      <w:r>
        <w:rPr>
          <w:rFonts w:ascii="方正黑体_GBK" w:hAnsi="方正黑体_GBK" w:eastAsia="方正黑体_GBK" w:cs="宋体"/>
          <w:b/>
          <w:sz w:val="13"/>
          <w:szCs w:val="20"/>
        </w:rPr>
        <w:t xml:space="preserve">    2.非标准化债权类资产投资风险</w:t>
      </w:r>
    </w:p>
    <w:p>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spacing w:line="200" w:lineRule="exact"/>
      </w:pPr>
      <w:r>
        <w:rPr>
          <w:rFonts w:ascii="方正黑体_GBK" w:hAnsi="方正黑体_GBK" w:eastAsia="方正黑体_GBK" w:cs="宋体"/>
          <w:b/>
          <w:sz w:val="13"/>
          <w:szCs w:val="20"/>
        </w:rPr>
        <w:t xml:space="preserve">    3.资产管理产品投资风险</w:t>
      </w:r>
    </w:p>
    <w:p>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符合相关法律法规、监管规定要求的，经销售机构的风险承受能力评估体系评定为适合的机构投资者。</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pPr>
        <w:pStyle w:val="16"/>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r>
        <w:rPr>
          <w:rFonts w:ascii="方正黑体_GBK" w:hAnsi="方正黑体_GBK" w:eastAsia="方正黑体_GBK"/>
        </w:rPr>
        <w:br w:type="page"/>
      </w:r>
    </w:p>
    <w:p>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pPr>
        <w:pStyle w:val="43"/>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南银理财珠联璧合安稳1903一年定开公募人民币理财产品</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ZC108691944590</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A份额：Z10024</w:t>
            </w:r>
          </w:p>
          <w:p>
            <w:pPr>
              <w:spacing w:line="200" w:lineRule="exact"/>
            </w:pPr>
            <w:r>
              <w:rPr>
                <w:rFonts w:ascii="方正黑体_GBK" w:hAnsi="方正黑体_GBK" w:eastAsia="方正黑体_GBK" w:cs="宋体"/>
                <w:sz w:val="18"/>
                <w:szCs w:val="18"/>
              </w:rPr>
              <w:t>B份额：ZB10024</w:t>
            </w:r>
          </w:p>
          <w:p>
            <w:pPr>
              <w:spacing w:line="200" w:lineRule="exact"/>
            </w:pPr>
            <w:r>
              <w:rPr>
                <w:rFonts w:ascii="方正黑体_GBK" w:hAnsi="方正黑体_GBK" w:eastAsia="方正黑体_GBK" w:cs="宋体"/>
                <w:sz w:val="18"/>
                <w:szCs w:val="18"/>
              </w:rPr>
              <w:t>C份额：ZC10024</w:t>
            </w:r>
          </w:p>
          <w:p>
            <w:pPr>
              <w:spacing w:line="200" w:lineRule="exact"/>
            </w:pPr>
            <w:r>
              <w:rPr>
                <w:rFonts w:ascii="方正黑体_GBK" w:hAnsi="方正黑体_GBK" w:eastAsia="方正黑体_GBK" w:cs="宋体"/>
                <w:sz w:val="18"/>
                <w:szCs w:val="18"/>
              </w:rPr>
              <w:t>D份额：ZD10024</w:t>
            </w:r>
          </w:p>
          <w:p>
            <w:pPr>
              <w:spacing w:line="200" w:lineRule="exact"/>
            </w:pPr>
            <w:r>
              <w:rPr>
                <w:rFonts w:ascii="方正黑体_GBK" w:hAnsi="方正黑体_GBK" w:eastAsia="方正黑体_GBK" w:cs="宋体"/>
                <w:sz w:val="18"/>
                <w:szCs w:val="18"/>
              </w:rPr>
              <w:t>E份额：ZE10024</w:t>
            </w:r>
          </w:p>
          <w:p>
            <w:pPr>
              <w:spacing w:line="200" w:lineRule="exact"/>
            </w:pPr>
            <w:r>
              <w:rPr>
                <w:rFonts w:ascii="方正黑体_GBK" w:hAnsi="方正黑体_GBK" w:eastAsia="方正黑体_GBK" w:cs="宋体"/>
                <w:sz w:val="18"/>
                <w:szCs w:val="18"/>
              </w:rPr>
              <w:t>F份额：ZF10024</w:t>
            </w:r>
          </w:p>
          <w:p>
            <w:pPr>
              <w:spacing w:line="200" w:lineRule="exact"/>
            </w:pPr>
            <w:r>
              <w:rPr>
                <w:rFonts w:ascii="方正黑体_GBK" w:hAnsi="方正黑体_GBK" w:eastAsia="方正黑体_GBK" w:cs="宋体"/>
                <w:sz w:val="18"/>
                <w:szCs w:val="18"/>
              </w:rPr>
              <w:t>A2份额：Z11024</w:t>
            </w:r>
          </w:p>
          <w:p>
            <w:pPr>
              <w:spacing w:line="200" w:lineRule="exact"/>
            </w:pPr>
            <w:r>
              <w:rPr>
                <w:rFonts w:ascii="方正黑体_GBK" w:hAnsi="方正黑体_GBK" w:eastAsia="方正黑体_GBK" w:cs="宋体"/>
                <w:sz w:val="18"/>
                <w:szCs w:val="18"/>
              </w:rPr>
              <w:t>B2份额：ZB11024</w:t>
            </w:r>
          </w:p>
          <w:p>
            <w:pPr>
              <w:spacing w:line="200" w:lineRule="exact"/>
            </w:pPr>
            <w:r>
              <w:rPr>
                <w:rFonts w:ascii="方正黑体_GBK" w:hAnsi="方正黑体_GBK" w:eastAsia="方正黑体_GBK" w:cs="宋体"/>
                <w:sz w:val="18"/>
                <w:szCs w:val="18"/>
              </w:rPr>
              <w:t>C2份额：ZC11024</w:t>
            </w:r>
          </w:p>
          <w:p>
            <w:pPr>
              <w:spacing w:line="200" w:lineRule="exact"/>
            </w:pPr>
            <w:r>
              <w:rPr>
                <w:rFonts w:ascii="方正黑体_GBK" w:hAnsi="方正黑体_GBK" w:eastAsia="方正黑体_GBK" w:cs="宋体"/>
                <w:sz w:val="18"/>
                <w:szCs w:val="18"/>
              </w:rPr>
              <w:t>D2份额：ZD11024</w:t>
            </w:r>
          </w:p>
          <w:p>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E2份额：ZE11024</w:t>
            </w:r>
          </w:p>
          <w:p>
            <w:pPr>
              <w:spacing w:line="200" w:lineRule="exact"/>
            </w:pPr>
            <w:r>
              <w:rPr>
                <w:rFonts w:ascii="方正黑体_GBK" w:hAnsi="方正黑体_GBK" w:eastAsia="方正黑体_GBK" w:cs="宋体"/>
                <w:sz w:val="18"/>
                <w:szCs w:val="18"/>
              </w:rPr>
              <w:t>F2份额：ZF11024</w:t>
            </w:r>
          </w:p>
          <w:p>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G2份额：ZG11024</w:t>
            </w:r>
          </w:p>
          <w:p>
            <w:pPr>
              <w:spacing w:line="200" w:lineRule="exact"/>
            </w:pPr>
            <w:r>
              <w:rPr>
                <w:rFonts w:ascii="方正黑体_GBK" w:hAnsi="方正黑体_GBK" w:eastAsia="方正黑体_GBK" w:cs="宋体"/>
                <w:sz w:val="18"/>
                <w:szCs w:val="18"/>
              </w:rPr>
              <w:t>A3份额：Z12024</w:t>
            </w:r>
          </w:p>
          <w:p>
            <w:pPr>
              <w:spacing w:line="200" w:lineRule="exact"/>
            </w:pPr>
            <w:r>
              <w:rPr>
                <w:rFonts w:ascii="方正黑体_GBK" w:hAnsi="方正黑体_GBK" w:eastAsia="方正黑体_GBK" w:cs="宋体"/>
                <w:sz w:val="18"/>
                <w:szCs w:val="18"/>
              </w:rPr>
              <w:t>B3份额：ZB12024</w:t>
            </w:r>
          </w:p>
          <w:p>
            <w:pPr>
              <w:spacing w:line="200" w:lineRule="exact"/>
            </w:pPr>
            <w:r>
              <w:rPr>
                <w:rFonts w:ascii="方正黑体_GBK" w:hAnsi="方正黑体_GBK" w:eastAsia="方正黑体_GBK" w:cs="宋体"/>
                <w:sz w:val="18"/>
                <w:szCs w:val="18"/>
              </w:rPr>
              <w:t>C3份额：ZC12024</w:t>
            </w:r>
          </w:p>
          <w:p>
            <w:pPr>
              <w:spacing w:line="200" w:lineRule="exact"/>
            </w:pPr>
            <w:r>
              <w:rPr>
                <w:rFonts w:ascii="方正黑体_GBK" w:hAnsi="方正黑体_GBK" w:eastAsia="方正黑体_GBK" w:cs="宋体"/>
                <w:sz w:val="18"/>
                <w:szCs w:val="18"/>
              </w:rPr>
              <w:t>D3份额：ZD12024</w:t>
            </w:r>
          </w:p>
          <w:p>
            <w:pPr>
              <w:spacing w:line="200" w:lineRule="exact"/>
            </w:pPr>
            <w:r>
              <w:rPr>
                <w:rFonts w:ascii="方正黑体_GBK" w:hAnsi="方正黑体_GBK" w:eastAsia="方正黑体_GBK" w:cs="宋体"/>
                <w:sz w:val="18"/>
                <w:szCs w:val="18"/>
              </w:rPr>
              <w:t>E3份额：ZE12024</w:t>
            </w:r>
          </w:p>
          <w:p>
            <w:pPr>
              <w:spacing w:line="200" w:lineRule="exact"/>
            </w:pPr>
            <w:r>
              <w:rPr>
                <w:rFonts w:ascii="方正黑体_GBK" w:hAnsi="方正黑体_GBK" w:eastAsia="方正黑体_GBK" w:cs="宋体"/>
                <w:sz w:val="18"/>
                <w:szCs w:val="18"/>
              </w:rPr>
              <w:t>F3份额：ZF12024</w:t>
            </w:r>
          </w:p>
          <w:p>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全国</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符合相关法律法规、监管规定要求的，经销售机构的风险承受能力评估体系评定为适合的机构投资者。</w:t>
            </w:r>
          </w:p>
          <w:p>
            <w:pPr>
              <w:spacing w:line="200" w:lineRule="exact"/>
            </w:pPr>
            <w:r>
              <w:rPr>
                <w:rFonts w:ascii="方正黑体_GBK" w:hAnsi="方正黑体_GBK" w:eastAsia="方正黑体_GBK" w:cs="宋体"/>
                <w:sz w:val="18"/>
                <w:szCs w:val="18"/>
              </w:rPr>
              <w:t>A份额：南京银行股份有限公司、南银理财有限责任公司、昆山鹿城村镇银行股份有限公司、深圳前海微众银行股份有限公司、日照银行股份有限公司、秦皇岛银行股份有限公司、泰安银行股份有限公司、齐鲁银行股份有限公司、云南红塔银行股份有限公司、九江银行股份有限公司、互金平台、无锡锡商银行股份有限公司、江苏南通农村商业银行股份有限公司、江苏江阴农村商业银行股份有限公司、北京中关村银行股份有限公司客户。</w:t>
            </w:r>
          </w:p>
          <w:p>
            <w:pPr>
              <w:spacing w:line="200" w:lineRule="exact"/>
            </w:pPr>
            <w:r>
              <w:rPr>
                <w:rFonts w:ascii="方正黑体_GBK" w:hAnsi="方正黑体_GBK" w:eastAsia="方正黑体_GBK" w:cs="宋体"/>
                <w:sz w:val="18"/>
                <w:szCs w:val="18"/>
              </w:rPr>
              <w:t>B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pPr>
              <w:spacing w:line="200" w:lineRule="exact"/>
            </w:pPr>
            <w:r>
              <w:rPr>
                <w:rFonts w:ascii="方正黑体_GBK" w:hAnsi="方正黑体_GBK" w:eastAsia="方正黑体_GBK" w:cs="宋体"/>
                <w:sz w:val="18"/>
                <w:szCs w:val="18"/>
              </w:rPr>
              <w:t>C份额：河北银行股份有限公司、江苏扬州农村商业银行股份有限公司客户。</w:t>
            </w:r>
          </w:p>
          <w:p>
            <w:pPr>
              <w:spacing w:line="200" w:lineRule="exact"/>
            </w:pPr>
            <w:r>
              <w:rPr>
                <w:rFonts w:ascii="方正黑体_GBK" w:hAnsi="方正黑体_GBK" w:eastAsia="方正黑体_GBK" w:cs="宋体"/>
                <w:sz w:val="18"/>
                <w:szCs w:val="18"/>
              </w:rPr>
              <w:t>D份额：天津农村商业银行股份有限公司（专属客户）、甘肃银行股份有限公司、江苏镇江农村商业银行股份有限公司（20万元起购）客户。</w:t>
            </w:r>
          </w:p>
          <w:p>
            <w:pPr>
              <w:spacing w:line="200" w:lineRule="exact"/>
            </w:pPr>
            <w:r>
              <w:rPr>
                <w:rFonts w:ascii="方正黑体_GBK" w:hAnsi="方正黑体_GBK" w:eastAsia="方正黑体_GBK" w:cs="宋体"/>
                <w:sz w:val="18"/>
                <w:szCs w:val="18"/>
              </w:rPr>
              <w:t>E份额：天津农村商业银行股份有限公司（特邀客户）、江苏镇江农村商业银行股份有限公司（100万元起购）客户。</w:t>
            </w:r>
          </w:p>
          <w:p>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pPr>
              <w:spacing w:line="200" w:lineRule="exact"/>
            </w:pPr>
            <w:r>
              <w:rPr>
                <w:rFonts w:ascii="方正黑体_GBK" w:hAnsi="方正黑体_GBK" w:eastAsia="方正黑体_GBK" w:cs="宋体"/>
                <w:sz w:val="18"/>
                <w:szCs w:val="18"/>
              </w:rPr>
              <w:t>A2份额：南京银行股份有限公司、南银理财有限责任公司、无锡锡商银行股份有限公司、江苏南通农村商业银行股份有限公司、江苏江阴农村商业银行股份有限公司客户。</w:t>
            </w:r>
          </w:p>
          <w:p>
            <w:pPr>
              <w:spacing w:line="200" w:lineRule="exact"/>
            </w:pPr>
            <w:r>
              <w:rPr>
                <w:rFonts w:ascii="方正黑体_GBK" w:hAnsi="方正黑体_GBK" w:eastAsia="方正黑体_GBK" w:cs="宋体"/>
                <w:sz w:val="18"/>
                <w:szCs w:val="18"/>
              </w:rPr>
              <w:t>B2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pPr>
              <w:spacing w:line="200" w:lineRule="exact"/>
            </w:pPr>
            <w:r>
              <w:rPr>
                <w:rFonts w:ascii="方正黑体_GBK" w:hAnsi="方正黑体_GBK" w:eastAsia="方正黑体_GBK" w:cs="宋体"/>
                <w:sz w:val="18"/>
                <w:szCs w:val="18"/>
              </w:rPr>
              <w:t>C2份额：河北银行股份有限公司、江苏扬州农村商业银行股份有限公司客户。</w:t>
            </w:r>
          </w:p>
          <w:p>
            <w:pPr>
              <w:spacing w:line="200" w:lineRule="exact"/>
            </w:pPr>
            <w:r>
              <w:rPr>
                <w:rFonts w:ascii="方正黑体_GBK" w:hAnsi="方正黑体_GBK" w:eastAsia="方正黑体_GBK" w:cs="宋体"/>
                <w:sz w:val="18"/>
                <w:szCs w:val="18"/>
              </w:rPr>
              <w:t>D2份额：天津农村商业银行股份有限公司（专属客户）、甘肃银行股份有限公司、江苏镇江农村商业银行股份有限公司（20万元起购）客户。</w:t>
            </w:r>
          </w:p>
          <w:p>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E2份额：天津农村商业银行股份有限公司（特邀客户）、江苏镇江农村商业银行股份有限公司（100万元起购）客户。</w:t>
            </w:r>
          </w:p>
          <w:p>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G2份额：南京银行代发专属。代发是指近90天内有过代发记录的客户(不含跨行代发、批量兑付、批量付息)。</w:t>
            </w:r>
          </w:p>
          <w:p>
            <w:pPr>
              <w:spacing w:line="200" w:lineRule="exact"/>
            </w:pPr>
            <w:r>
              <w:rPr>
                <w:rFonts w:ascii="方正黑体_GBK" w:hAnsi="方正黑体_GBK" w:eastAsia="方正黑体_GBK" w:cs="宋体"/>
                <w:sz w:val="18"/>
                <w:szCs w:val="18"/>
              </w:rPr>
              <w:t>A3份额：南京银行股份有限公司、南银理财有限责任公司、无锡锡商银行股份有限公司、江苏南通农村商业银行股份有限公司、江苏江阴农村商业银行股份有限公司客户。</w:t>
            </w:r>
          </w:p>
          <w:p>
            <w:pPr>
              <w:spacing w:line="200" w:lineRule="exact"/>
            </w:pPr>
            <w:r>
              <w:rPr>
                <w:rFonts w:ascii="方正黑体_GBK" w:hAnsi="方正黑体_GBK" w:eastAsia="方正黑体_GBK" w:cs="宋体"/>
                <w:sz w:val="18"/>
                <w:szCs w:val="18"/>
              </w:rPr>
              <w:t>B3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pPr>
              <w:spacing w:line="200" w:lineRule="exact"/>
            </w:pPr>
            <w:r>
              <w:rPr>
                <w:rFonts w:ascii="方正黑体_GBK" w:hAnsi="方正黑体_GBK" w:eastAsia="方正黑体_GBK" w:cs="宋体"/>
                <w:sz w:val="18"/>
                <w:szCs w:val="18"/>
              </w:rPr>
              <w:t>C3份额：河北银行股份有限公司、江苏扬州农村商业银行股份有限公司客户。</w:t>
            </w:r>
          </w:p>
          <w:p>
            <w:pPr>
              <w:spacing w:line="200" w:lineRule="exact"/>
            </w:pPr>
            <w:r>
              <w:rPr>
                <w:rFonts w:ascii="方正黑体_GBK" w:hAnsi="方正黑体_GBK" w:eastAsia="方正黑体_GBK" w:cs="宋体"/>
                <w:sz w:val="18"/>
                <w:szCs w:val="18"/>
              </w:rPr>
              <w:t>D3份额：天津农村商业银行股份有限公司（专属客户）、甘肃银行股份有限公司、江苏镇江农村商业银行股份有限公司（20万元起购）客户。</w:t>
            </w:r>
          </w:p>
          <w:p>
            <w:pPr>
              <w:spacing w:line="200" w:lineRule="exact"/>
            </w:pPr>
            <w:r>
              <w:rPr>
                <w:rFonts w:ascii="方正黑体_GBK" w:hAnsi="方正黑体_GBK" w:eastAsia="方正黑体_GBK" w:cs="宋体"/>
                <w:sz w:val="18"/>
                <w:szCs w:val="18"/>
              </w:rPr>
              <w:t>E3份额：天津农村商业银行股份有限公司（特邀客户）、江苏镇江农村商业银行股份有限公司（100万元起购）客户。</w:t>
            </w:r>
          </w:p>
          <w:p>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个人投资者投资起点金额1元人民币，以1元的整数倍递增；</w:t>
            </w:r>
          </w:p>
          <w:p>
            <w:pPr>
              <w:spacing w:line="200" w:lineRule="exact"/>
            </w:pPr>
            <w:r>
              <w:rPr>
                <w:rFonts w:ascii="方正黑体_GBK" w:hAnsi="方正黑体_GBK" w:eastAsia="方正黑体_GBK" w:cs="宋体"/>
                <w:sz w:val="18"/>
                <w:szCs w:val="18"/>
              </w:rPr>
              <w:t>机构投资者投资起点金额1元人民币，以1元的整数倍递增；</w:t>
            </w:r>
          </w:p>
          <w:p>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color w:val="000000"/>
                <w:sz w:val="18"/>
                <w:szCs w:val="18"/>
              </w:rPr>
              <w:t>2019年02月27日 09:00—2019年03月05日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认购份额=确认认购金额/1。（认购份额以去尾法保留两位小数）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本理财产品每期封闭期为一年，当期封闭期起止时间以公告为准。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2019年03月06日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2019年03月06日—实际到期日（若本理财产品未被提前终止或延期终止，则实际到期日即为名义到期日，存续期限10年；若本理财产品被提前终止或延期终止，则实际到期日为提前终止日或延期终止日。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A份额/F份额：本次开放期为2025年4月22日9：00至2025年4月28日17：00,下一个开放期为2026年5月26日9：00至2026年6月1日17：00，投资者可以提交或撤销申购/赎回申请。</w:t>
            </w:r>
          </w:p>
          <w:p>
            <w:pPr>
              <w:spacing w:line="200" w:lineRule="exact"/>
              <w:jc w:val="left"/>
            </w:pPr>
            <w:r>
              <w:rPr>
                <w:rFonts w:ascii="方正黑体_GBK" w:hAnsi="方正黑体_GBK" w:eastAsia="方正黑体_GBK" w:cs="宋体"/>
                <w:sz w:val="18"/>
                <w:szCs w:val="18"/>
              </w:rPr>
              <w:t>B份额/C份额/D份额/E份额：本次开放期为2025年4月22日9：00至2025年4月28日17：00，投资者可以提交或撤销申购申请；确认申购成功的份额均将于下一个开放期（2026年5月26日9：00至2026年6月1日17：00）由系统自动发起赎回申请。</w:t>
            </w:r>
          </w:p>
          <w:p>
            <w:pPr>
              <w:spacing w:line="200" w:lineRule="exact"/>
              <w:jc w:val="left"/>
            </w:pPr>
            <w:r>
              <w:rPr>
                <w:rFonts w:ascii="方正黑体_GBK" w:hAnsi="方正黑体_GBK" w:eastAsia="方正黑体_GBK" w:cs="宋体"/>
                <w:sz w:val="18"/>
                <w:szCs w:val="18"/>
              </w:rPr>
              <w:t>A2份额/F2份额：本次开放期为2025年4月29日9：00至2025年5月6日17：00，投资者可以提交或撤销申购申请。下一个赎回开放期为2026年5月26日9：00至2026年6月1日17：00，投资者可以提交或撤销赎回申请；下一个申购开放期为2026年6月2日9：00至2026年6月8日17：00，投资者可以提交或撤销申购申请；</w:t>
            </w:r>
          </w:p>
          <w:p>
            <w:pPr>
              <w:spacing w:line="200" w:lineRule="exact"/>
              <w:jc w:val="left"/>
            </w:pPr>
            <w:r>
              <w:rPr>
                <w:rFonts w:ascii="方正黑体_GBK" w:hAnsi="方正黑体_GBK" w:eastAsia="方正黑体_GBK" w:cs="宋体"/>
                <w:sz w:val="18"/>
                <w:szCs w:val="18"/>
              </w:rPr>
              <w:t>B2份额/C2份额/D2份额/E2份额/G2份额：本次开放期为2025年4月29日9：00至2025年5月6日17：00，投资者可以提交或撤销申购申请；确认申购成功的份额均将于下一个开放期（2026年5月26日9：00至2026年6月1日17：00）由系统自动发起赎回申请。</w:t>
            </w:r>
          </w:p>
          <w:p>
            <w:pPr>
              <w:spacing w:line="200" w:lineRule="exact"/>
              <w:jc w:val="left"/>
            </w:pPr>
            <w:r>
              <w:rPr>
                <w:rFonts w:ascii="方正黑体_GBK" w:hAnsi="方正黑体_GBK" w:eastAsia="方正黑体_GBK" w:cs="宋体"/>
                <w:sz w:val="18"/>
                <w:szCs w:val="18"/>
              </w:rPr>
              <w:t>A3份额/F3份额：本次开放期为2025年5月7日9：00至2025年5月12日17：00，投资者可以提交或撤销申购申请。下一个赎回开放期为2026年5月26日9：00至2026年6月1日17：00，投资者可以提交或撤销赎回申请，下一个申购开放期为2026年6月9日9：00至2026年6月15日17：00，投资者可以提交或撤销申购申请；</w:t>
            </w:r>
          </w:p>
          <w:p>
            <w:pPr>
              <w:spacing w:line="200" w:lineRule="exact"/>
              <w:jc w:val="left"/>
            </w:pPr>
            <w:r>
              <w:rPr>
                <w:rFonts w:ascii="方正黑体_GBK" w:hAnsi="方正黑体_GBK" w:eastAsia="方正黑体_GBK" w:cs="宋体"/>
                <w:sz w:val="18"/>
                <w:szCs w:val="18"/>
              </w:rPr>
              <w:t>B3份额/C3份额/D3份额/E3份额：本次开放期为2025年5月7日9：00至2025年5月12日17：00，投资者可以提交或撤销申购申请；确认申购成功的份额均将于下一个开放期（2026年5月26日9：00至2026年6月1日17：00）由系统自动发起赎回申请。</w:t>
            </w:r>
          </w:p>
          <w:p>
            <w:pPr>
              <w:spacing w:line="200" w:lineRule="exact"/>
              <w:jc w:val="left"/>
            </w:pPr>
            <w:r>
              <w:rPr>
                <w:rFonts w:ascii="方正黑体_GBK" w:hAnsi="方正黑体_GBK" w:eastAsia="方正黑体_GBK" w:cs="宋体"/>
                <w:sz w:val="18"/>
                <w:szCs w:val="18"/>
              </w:rPr>
              <w:t>产品开放期如有调整以管理人公告为准。</w:t>
            </w:r>
          </w:p>
          <w:p>
            <w:pPr>
              <w:spacing w:line="200" w:lineRule="exact"/>
            </w:pPr>
            <w:r>
              <w:rPr>
                <w:rFonts w:ascii="方正黑体_GBK" w:hAnsi="方正黑体_GBK" w:eastAsia="方正黑体_GBK" w:cs="宋体"/>
                <w:sz w:val="18"/>
                <w:szCs w:val="18"/>
              </w:rPr>
              <w:t>在销售机构支持的前提下，申购/赎回开放期末日17:00前可以撤销申购/赎回申请。</w:t>
            </w:r>
          </w:p>
          <w:p>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b/>
                <w:sz w:val="18"/>
                <w:szCs w:val="18"/>
              </w:rPr>
              <w:t>本理财产品拟投资以下备选非标准化债权类资产：</w:t>
            </w:r>
          </w:p>
          <w:p>
            <w:pPr>
              <w:spacing w:line="200" w:lineRule="exact"/>
            </w:pPr>
            <w:r>
              <w:rPr>
                <w:rFonts w:ascii="方正黑体_GBK" w:hAnsi="方正黑体_GBK" w:eastAsia="方正黑体_GBK" w:cs="宋体"/>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pPr>
              <w:spacing w:line="200" w:lineRule="exact"/>
            </w:pPr>
            <w:r>
              <w:rPr>
                <w:rFonts w:ascii="方正黑体_GBK" w:hAnsi="方正黑体_GBK" w:eastAsia="方正黑体_GBK" w:cs="宋体"/>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pPr>
              <w:spacing w:line="200" w:lineRule="exact"/>
            </w:pPr>
            <w:r>
              <w:rPr>
                <w:rFonts w:ascii="方正黑体_GBK" w:hAnsi="方正黑体_GBK" w:eastAsia="方正黑体_GBK" w:cs="宋体"/>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pPr>
              <w:spacing w:line="200" w:lineRule="exact"/>
            </w:pPr>
            <w:r>
              <w:rPr>
                <w:rFonts w:ascii="方正黑体_GBK" w:hAnsi="方正黑体_GBK" w:eastAsia="方正黑体_GBK" w:cs="宋体"/>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w:t>
            </w:r>
          </w:p>
          <w:p>
            <w:pPr>
              <w:spacing w:line="200" w:lineRule="exact"/>
            </w:pPr>
            <w:r>
              <w:rPr>
                <w:rFonts w:ascii="方正黑体_GBK" w:hAnsi="方正黑体_GBK" w:eastAsia="方正黑体_GBK" w:cs="宋体"/>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w:t>
            </w:r>
          </w:p>
          <w:p>
            <w:pPr>
              <w:spacing w:line="200" w:lineRule="exact"/>
            </w:pPr>
            <w:r>
              <w:rPr>
                <w:rFonts w:ascii="方正黑体_GBK" w:hAnsi="方正黑体_GBK" w:eastAsia="方正黑体_GBK" w:cs="宋体"/>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w:t>
            </w:r>
          </w:p>
          <w:p>
            <w:pPr>
              <w:spacing w:line="200" w:lineRule="exact"/>
            </w:pPr>
            <w:r>
              <w:rPr>
                <w:rFonts w:ascii="方正黑体_GBK" w:hAnsi="方正黑体_GBK" w:eastAsia="方正黑体_GBK" w:cs="宋体"/>
                <w:sz w:val="18"/>
                <w:szCs w:val="18"/>
              </w:rPr>
              <w:t>(7)信托贷款：资产类型为信托公司设立的资金信托计划，底层资产为抖音及信托公司双重审核、信托公司自主风控后发放的“月付”个人消费贷款债权，资产到期日不超过理财产品最近一次开放日。</w:t>
            </w:r>
          </w:p>
          <w:p>
            <w:pPr>
              <w:spacing w:line="200" w:lineRule="exact"/>
            </w:pPr>
            <w:r>
              <w:rPr>
                <w:rFonts w:ascii="方正黑体_GBK" w:hAnsi="方正黑体_GBK" w:eastAsia="方正黑体_GBK" w:cs="宋体"/>
                <w:sz w:val="18"/>
                <w:szCs w:val="18"/>
              </w:rPr>
              <w:t>(8)信托贷款：资产类型为信托公司设立的资金信托计划，底层资产为抖音及信托公司双重审核、信托公司自主风控后发放的“放心借”贷款资产，资产到期日不超过理财产品最近一次开放日。</w:t>
            </w:r>
          </w:p>
          <w:p>
            <w:pPr>
              <w:spacing w:line="200" w:lineRule="exact"/>
            </w:pPr>
            <w:r>
              <w:rPr>
                <w:rFonts w:ascii="方正黑体_GBK" w:hAnsi="方正黑体_GBK" w:eastAsia="方正黑体_GBK" w:cs="宋体"/>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w:t>
            </w:r>
          </w:p>
          <w:p>
            <w:pPr>
              <w:spacing w:line="200" w:lineRule="exact"/>
            </w:pPr>
            <w:r>
              <w:rPr>
                <w:rFonts w:ascii="方正黑体_GBK" w:hAnsi="方正黑体_GBK" w:eastAsia="方正黑体_GBK" w:cs="宋体"/>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w:t>
            </w:r>
          </w:p>
          <w:p>
            <w:pPr>
              <w:spacing w:line="200" w:lineRule="exact"/>
            </w:pPr>
            <w:r>
              <w:rPr>
                <w:rFonts w:ascii="方正黑体_GBK" w:hAnsi="方正黑体_GBK" w:eastAsia="方正黑体_GBK" w:cs="宋体"/>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pPr>
              <w:spacing w:line="200" w:lineRule="exact"/>
            </w:pPr>
            <w:r>
              <w:rPr>
                <w:rFonts w:ascii="方正黑体_GBK" w:hAnsi="方正黑体_GBK" w:eastAsia="方正黑体_GBK" w:cs="宋体"/>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pPr>
              <w:spacing w:line="200" w:lineRule="exact"/>
            </w:pPr>
            <w:r>
              <w:rPr>
                <w:rFonts w:ascii="方正黑体_GBK" w:hAnsi="方正黑体_GBK" w:eastAsia="方正黑体_GBK" w:cs="宋体"/>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w:t>
            </w:r>
          </w:p>
          <w:p>
            <w:pPr>
              <w:spacing w:line="200" w:lineRule="exact"/>
            </w:pPr>
            <w:r>
              <w:rPr>
                <w:rFonts w:ascii="方正黑体_GBK" w:hAnsi="方正黑体_GBK" w:eastAsia="方正黑体_GBK" w:cs="宋体"/>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w:t>
            </w:r>
          </w:p>
          <w:p>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pPr>
              <w:spacing w:line="200" w:lineRule="exact"/>
            </w:pPr>
            <w:r>
              <w:rPr>
                <w:rFonts w:ascii="方正黑体_GBK" w:hAnsi="方正黑体_GBK" w:eastAsia="方正黑体_GBK" w:cs="宋体"/>
                <w:sz w:val="18"/>
                <w:szCs w:val="18"/>
              </w:rPr>
              <w:t>(17)信托贷款：资产类型为信托公司设立的固定收益类信托计划，底层资产为向融资人靖江市城市建设投资发展(集团)有限公司发放信托贷款，资产到期日不超过理财产品最近一次开放日。融资人评级为AA+(评级机构为中证鹏元资信评估股份有限公司)，融资人第一大股东为靖江市人民政府国有资产监督管理办公室，持股比例为100%。经营范围包括:许可项目：住宅室内装饰装修；建设工程质量检测；建设工程施工；建设工程勘察；建设工程设计；房地产开发经营；城市生活垃圾经营性服务；建筑物拆除作业(爆破作业除外)；道路货物运输(不含危险货物)；水产养殖；发电业务、输电业务、供(配)电业务；供电业务；输电、供电、受电电力设施的安装、维修和试验；网络文化经营；互联网直播技术服务(依法须经批准的项目，经相关部门批准后方可开展经营活动，具体经营项目以审批结果为准)一般项目：对外承包工程；工程造价咨询业务；物业管理；信息咨询服务(不含许可类信息咨询服务)；以自有资金从事投资活动；城市绿化管理；工程管理服务；工程和技术研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伏设备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电桩销售；充电控制设备租赁；集中式快速充电站；停车场服务；电动汽车充电基础设施运营；总质量4.5吨及以下普通货运车辆道路货物运输(除网络货运和危险货物)；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云计算装备技术服务；5G通信技术服务；技术推广服务；家用电器销售；机械设备销售；智能基础制造装备制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不含许可类租赁服务)；合同能源管理；热力生产和供应(除依法须经批准的项目外，凭营业执照依法自主开展经营活动)</w:t>
            </w:r>
          </w:p>
          <w:p>
            <w:pPr>
              <w:spacing w:line="200" w:lineRule="exact"/>
            </w:pPr>
            <w:r>
              <w:rPr>
                <w:rFonts w:ascii="方正黑体_GBK" w:hAnsi="方正黑体_GBK" w:eastAsia="方正黑体_GBK" w:cs="宋体"/>
                <w:sz w:val="18"/>
                <w:szCs w:val="18"/>
              </w:rPr>
              <w:t>(18)信托贷款：资产类型为信托公司设立的固定收益类信托计划，底层资产为向融资人江苏金坛建设集团有限公司发放信托贷款，资产到期日不超过理财产品最近一次开放日。融资人评级为AA+(评级机构为联合资信评估股份有限公司)，融资人第一大股东为常州市金坛区人民政府，持股比例为100%。经营范围包括:许可项目:建设工程设计;建设工程施工;建设工程监理;建设工程质量检测;电气安装服务;房地产开发经营;港口经营;自来水生产与供应;城市公共交通(依法须经批准的项目,经相关部门批准后方可开展经营活动,具体经营项目以相关部门批准文件或许可证件为准)一般项目:工程管理服务;市政设施管理;非居住房地产租赁;住房租赁;房屋拆迁服务;房地产经纪;房地产咨询;水污染治理;污水处理及其再生利用;水环境污染防治服务;旅游开发项目策划咨询;城市绿化管理;城市公园管理;城乡市容管理;粮食收购;粮油仓储服务;物业管理;停车场服务;水资源管理;金属材料销售;建筑材料销售;照明器具销售;以自有资金从事投资活动(除依法须经批准的项目外,凭营业执照依法自主开展经营活动)</w:t>
            </w:r>
          </w:p>
          <w:p>
            <w:pPr>
              <w:spacing w:line="200" w:lineRule="exact"/>
            </w:pPr>
            <w:r>
              <w:rPr>
                <w:rFonts w:ascii="方正黑体_GBK" w:hAnsi="方正黑体_GBK" w:eastAsia="方正黑体_GBK" w:cs="宋体"/>
                <w:sz w:val="18"/>
                <w:szCs w:val="18"/>
              </w:rPr>
              <w:t>(19)信托贷款：资产类型为信托公司设立的固定收益类信托计划，底层资产为向融资人江苏宜兴环保科技工业园国有控股有限公司发放信托贷款，资产到期日不超过理财产品最近一次开放日。融资人评级为AA+(评级机构为中证鹏元资信评估股份有限公司)，融资人第一大股东为中国宜兴环保科技工业园管理委员会，持股比例为51%。经营范围包括:一般项目：以自有资金从事投资活动；土地整治服务；土地使用权租赁；住房租赁；非居住房地产租赁；股权投资；企业管理；工程管理服务；科技推广和应用服务；社会经济咨询服务；园区管理服务；企业管理咨询；咨询策划服务(除依法须经批准的项目外，凭营业执照依法自主开展经营活动)</w:t>
            </w:r>
          </w:p>
          <w:p>
            <w:pPr>
              <w:spacing w:line="200" w:lineRule="exact"/>
            </w:pPr>
            <w:r>
              <w:rPr>
                <w:rFonts w:ascii="方正黑体_GBK" w:hAnsi="方正黑体_GBK" w:eastAsia="方正黑体_GBK" w:cs="宋体"/>
                <w:sz w:val="18"/>
                <w:szCs w:val="18"/>
              </w:rPr>
              <w:t>(20)信托贷款：资产类型为信托公司设立的固定收益类信托计划，底层资产为向融资人绍兴袍江经济技术开发区投资发展集团有限公司发放信托贷款，资产到期日不超过理财产品最近一次开放日。融资人评级为AA+(评级机构为大公国际资信评估有限公司)，融资人第一大股东为绍兴袍江经济技术开发区投资发展集团有限公司，持股比例为100%。经营范围包括:许可项目:房地产开发经营(依法须经批准的项目,经相关部门批准后方可开展经营活动,具体经营项目以审批结果为准)。一般项目:股权投资;园区管理服务;会议及展览服务;土地整治服务;物业管理;停车场服务;城市绿化管理;工程管理服务(除依法须经批准的项目外,凭营业执照依法自主开展经营活动)</w:t>
            </w:r>
          </w:p>
          <w:p>
            <w:pPr>
              <w:spacing w:line="200" w:lineRule="exact"/>
            </w:pPr>
            <w:r>
              <w:rPr>
                <w:rFonts w:ascii="方正黑体_GBK" w:hAnsi="方正黑体_GBK" w:eastAsia="方正黑体_GBK" w:cs="宋体"/>
                <w:sz w:val="18"/>
                <w:szCs w:val="18"/>
              </w:rPr>
              <w:t>(21)信托贷款：资产类型为信托公司设立的固定收益类信托计划，底层资产为向融资人诸暨市城乡投资集团有限公司发放信托贷款，资产到期日不超过理财产品最近一次开放日。融资人评级为AA+(评级机构为东方金诚国际信用评估有限公司)，融资人第一大股东为诸暨市建设集团有限公司，持股比例为100%。经营范围包括: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p>
            <w:pPr>
              <w:spacing w:line="200" w:lineRule="exact"/>
            </w:pPr>
            <w:r>
              <w:rPr>
                <w:rFonts w:ascii="方正黑体_GBK" w:hAnsi="方正黑体_GBK" w:eastAsia="方正黑体_GBK" w:cs="宋体"/>
                <w:sz w:val="18"/>
                <w:szCs w:val="18"/>
              </w:rPr>
              <w:t>(22)信托贷款：资产类型为信托公司设立的固定收益类信托计划，底层资产为向融资人湖州经开投资发展集团有限公司发放信托贷款，资产到期日不超过理财产品最近一次开放日。融资人评级为AA+(评级机构为联合资信评估股份有限公司)，融资人第一大股东为湖州南太湖国有控股集团有限公司，持股比例为100%。经营范围包括: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p>
            <w:pPr>
              <w:spacing w:line="200" w:lineRule="exact"/>
            </w:pPr>
            <w:r>
              <w:rPr>
                <w:rFonts w:ascii="方正黑体_GBK" w:hAnsi="方正黑体_GBK" w:eastAsia="方正黑体_GBK" w:cs="宋体"/>
                <w:sz w:val="18"/>
                <w:szCs w:val="18"/>
              </w:rPr>
              <w:t>(23)信托贷款：资产类型为信托公司设立的固定收益类信托计划，底层资产为向融资人绍兴市城中村改造建设投资有限公司发放信托贷款，资产到期日不超过理财产品最近一次开放日。融资人评级为AA(评级机构为上海新世纪资信评估投资服务有限公司)，融资人第一大股东为绍兴市越城区城市发展建设集团有限公司，持股比例为82.23%。经营范围包括:城中村改造；土地一级开发；基础设施建设；保障性住房建设。（依法须经批准的项目，经相关部门批准后方可开展经营活动）</w:t>
            </w:r>
          </w:p>
          <w:p>
            <w:pPr>
              <w:spacing w:line="200" w:lineRule="exact"/>
            </w:pPr>
            <w:r>
              <w:rPr>
                <w:rFonts w:ascii="方正黑体_GBK" w:hAnsi="方正黑体_GBK" w:eastAsia="方正黑体_GBK" w:cs="宋体"/>
                <w:sz w:val="18"/>
                <w:szCs w:val="18"/>
              </w:rPr>
              <w:t>(24)信托贷款：资产类型为信托公司设立的固定收益类信托计划，底层资产为向融资人张家港市高铁投资发展(集团)有限公司发放信托贷款，资产到期日不超过理财产品最近一次开放日。融资人评级为AA+(评级机构为中证鹏元资信评估股份有限公司)，融资人第一大股东为张家港市交通控股有限公司，持股比例为36.07%。经营范围包括: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p>
            <w:pPr>
              <w:spacing w:line="200" w:lineRule="exact"/>
            </w:pPr>
            <w:r>
              <w:rPr>
                <w:rFonts w:ascii="方正黑体_GBK" w:hAnsi="方正黑体_GBK" w:eastAsia="方正黑体_GBK" w:cs="宋体"/>
                <w:sz w:val="18"/>
                <w:szCs w:val="18"/>
              </w:rPr>
              <w:t>(25)信托贷款：资产类型为信托公司设立的固定收益类信托计划，底层资产为向融资人杭州之江城市建设投资集团有限公司发放信托贷款，资产到期日不超过理财产品最近一次开放日。融资人评级为AAA(评级机构为上海新世纪资信评估投资服务有限公司)，融资人第一大股东为杭州市西湖区人民政府国有资产监督管理办公室，持股比例为100%。经营范围包括:服务:土地整理,基础设施、公共设施项目的投资、开发和经营管理,房地产开发;其他无需审批的合法项目。(依法须经批准的项目,经相关部门批准后方可开展经营活动)</w:t>
            </w:r>
          </w:p>
          <w:p>
            <w:pPr>
              <w:spacing w:line="200" w:lineRule="exact"/>
            </w:pPr>
            <w:r>
              <w:rPr>
                <w:rFonts w:ascii="方正黑体_GBK" w:hAnsi="方正黑体_GBK" w:eastAsia="方正黑体_GBK" w:cs="宋体"/>
                <w:sz w:val="18"/>
                <w:szCs w:val="18"/>
              </w:rPr>
              <w:t>(26)信托贷款：资产类型为信托公司设立的固定收益类信托计划，底层资产为向融资人江苏金坛投资集团有限公司发放信托贷款，资产到期日不超过理财产品最近一次开放日。融资人评级为AA+(评级机构为中诚信国际信用评级有限责任公司)，融资人第一大股东为常州市金坛区人民政府，持股比例为100%。经营范围包括:许可项目:建设工程施工(依法须经批准的项目,经相关部门批准后方可开展经营活动,具体经营项目以审批结果为准)一般项目:股权投资;以自有资金从事投资活动;创业投资(限投资未上市企业);自有资金投资的资产管理服务;企业管理;园区管理服务;园林绿化工程施工;工程和技术研究和试验发展;工程管理服务;融资咨询服务;财务咨询(除依法须经批准的项目外,凭营业执照依法自主开展经营活动)</w:t>
            </w:r>
          </w:p>
          <w:p>
            <w:pPr>
              <w:spacing w:line="200" w:lineRule="exact"/>
            </w:pPr>
            <w:r>
              <w:rPr>
                <w:rFonts w:ascii="方正黑体_GBK" w:hAnsi="方正黑体_GBK" w:eastAsia="方正黑体_GBK" w:cs="宋体"/>
                <w:sz w:val="18"/>
                <w:szCs w:val="18"/>
              </w:rPr>
              <w:t>(27)信托贷款：资产类型为信托公司设立的固定收益类信托计划，底层资产为向融资人江苏润鑫城市投资集团有限公司发放信托贷款，资产到期日不超过理财产品最近一次开放日。融资人评级为AA+(评级机构为联合资信评估股份有限公司)，融资人第一大股东为睢宁县国有资产管理服务中心，持股比例为100%。经营范围包括:许可项目：建设工程施工(依法须经批准的项目，经相关部门批准后方可开展经营活动，具体经营项目以审批结果为准)  一般项目：以自有资金从事投资活动；工业工程设计服务；工业互联网数据服务；环境卫生公共设施安装服务；企业管理；国内贸易代理；名胜风景区管理；水资源管理；教育咨询服务(不含涉许可审批的教育培训活动)；信息技术咨询服务；信息咨询服务(不含许可类信息咨询服务)；商务代理代办服务；文艺创作；人力资源服务(不含职业中介活动、劳务派遣服务)；法律咨询(不含依法须律师事务所执业许可的业务)；服装制造；服装服饰批发；蔬菜种植；农业机械服务；机械设备销售；建筑材料销售；技术服务、技术开发、技术咨询、技术交流、技术转让、技术推广；货物进出口；技术进出口；进出口代理(除依法须经批准的项目外，凭营业执照依法自主开展经营活动)</w:t>
            </w:r>
          </w:p>
          <w:p>
            <w:pPr>
              <w:spacing w:line="200" w:lineRule="exact"/>
            </w:pPr>
            <w:r>
              <w:rPr>
                <w:rFonts w:ascii="方正黑体_GBK" w:hAnsi="方正黑体_GBK" w:eastAsia="方正黑体_GBK" w:cs="宋体"/>
                <w:sz w:val="18"/>
                <w:szCs w:val="18"/>
              </w:rPr>
              <w:t>(28)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pPr>
              <w:spacing w:line="200" w:lineRule="exact"/>
            </w:pPr>
            <w:r>
              <w:rPr>
                <w:rFonts w:ascii="方正黑体_GBK" w:hAnsi="方正黑体_GBK" w:eastAsia="方正黑体_GBK" w:cs="宋体"/>
                <w:sz w:val="18"/>
                <w:szCs w:val="18"/>
              </w:rPr>
              <w:t>(29)信托贷款：资产类型为信托公司设立的固定收益类信托计划，底层资产为向融资人江苏新睿城市发展集团有限公司发放信托贷款，资产到期日不超过理财产品最近一次开放日。融资人无外部评级，融资人第一大股东为淮安新城投资开发集团有限公司，持股比例为100%。经营范围包括:许可项目：建设工程施工；水利工程建设监理；水利工程质量检测(依法须经批准的项目，经相关部门批准后方可开展经营活动，具体经营项目以审批结果为准)  一般项目：停车场服务；土地整治服务；物业管理；住房租赁；非居住房地产租赁；建筑材料销售；房屋拆迁服务；农产品的生产、销售、加工、运输、贮藏及其他相关服务；农业机械销售；树木种植经营；园林绿化工程施工；城市绿化管理；花卉种植；园艺产品种植；园艺产品销售；农业园艺服务；农业专业及辅助性活动；智能农业管理；农村民间工艺及制品、休闲农业和乡村旅游资源的开发经营；污水处理及其再生利用；水污染治理；电动汽车充电基础设施运营；充电桩销售；充电控制设备租赁；智能输配电及控制设备销售；集中式快速充电站；输配电及控制设备制造；五金产品批发；土石方工程施工；五金产品零售(除依法须经批准的项目外，凭营业执照依法自主开展经营活动)</w:t>
            </w:r>
          </w:p>
          <w:p>
            <w:pPr>
              <w:spacing w:line="200" w:lineRule="exact"/>
            </w:pPr>
            <w:r>
              <w:rPr>
                <w:rFonts w:ascii="方正黑体_GBK" w:hAnsi="方正黑体_GBK" w:eastAsia="方正黑体_GBK" w:cs="宋体"/>
                <w:sz w:val="18"/>
                <w:szCs w:val="18"/>
              </w:rPr>
              <w:t>(30)信托贷款：资产类型为信托公司设立的固定收益类信托计划，底层资产为向融资人盱眙国有联合资产经营集团有限公司发放信托贷款，资产到期日不超过理财产品最近一次开放日。融资人评级为AA+(评级机构为东方金诚国际信用评估有限公司)，融资人第一大股东为盱眙县人民政府国有资产监督管理办公室，持股比例为100%。经营范围包括:根据政府授权,经营国有资产的产权管理,国有资本运营,自主开展产业投资,资产托管,咨询服务,房屋租赁,文化教育产业投资。(依法须经批准的项目,经相关部门批准后方可开展经营活动)</w:t>
            </w:r>
          </w:p>
          <w:p>
            <w:pPr>
              <w:spacing w:line="200" w:lineRule="exact"/>
            </w:pPr>
            <w:r>
              <w:rPr>
                <w:rFonts w:ascii="方正黑体_GBK" w:hAnsi="方正黑体_GBK" w:eastAsia="方正黑体_GBK" w:cs="宋体"/>
                <w:sz w:val="18"/>
                <w:szCs w:val="18"/>
              </w:rPr>
              <w:t>(31)信托贷款：资产类型为信托公司设立的固定收益类信托计划，底层资产为向融资人南京江北新区产业投资集团有限公司发放信托贷款，资产到期日不超过理财产品最近一次开放日。融资人评级为AAA(评级机构为联合资信评估股份有限公司)，融资人第一大股东为南京扬子国资投资集团有限责任公司，持股比例为45.59%。经营范围包括:投资兴办高新技术企业;高新技术项目风险投资;高新技术咨询服务;物业管理;开发区高新技术产品销售;开发区内企业生产所需原辅材料及配套设备供应;多余物资串换;机电产品、机械设备、仪器仪表、五金交电(不含助力车)、化工产品(不含危险品)、通信设备(不含卫星地面接收设备)销售(以上经营范围均不含国家专控商品及专项审批项目);房地产开发(凭资质证书在有效期内经营);高新区内土地开发、基础设施建设;自营和代理各类商品及技术的进出口业务;城市道路、桥梁、隧道、公共广场、绿化工程施工及提供劳务;污水处理、污水处理工程;河道整治及养护工程;高新技术研发;创业投资;投资管理咨询、服务。(依法须经批准的项目,经相关部门批准后方可开展经营活动)</w:t>
            </w:r>
          </w:p>
          <w:p>
            <w:pPr>
              <w:spacing w:line="200" w:lineRule="exact"/>
            </w:pPr>
            <w:r>
              <w:rPr>
                <w:rFonts w:ascii="方正黑体_GBK" w:hAnsi="方正黑体_GBK" w:eastAsia="方正黑体_GBK" w:cs="宋体"/>
                <w:sz w:val="18"/>
                <w:szCs w:val="18"/>
              </w:rPr>
              <w:t>(32)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pPr>
              <w:spacing w:line="200" w:lineRule="exact"/>
            </w:pPr>
            <w:r>
              <w:rPr>
                <w:rFonts w:ascii="方正黑体_GBK" w:hAnsi="方正黑体_GBK" w:eastAsia="方正黑体_GBK" w:cs="宋体"/>
                <w:sz w:val="18"/>
                <w:szCs w:val="18"/>
              </w:rPr>
              <w:t>(33)信托贷款：资产类型为信托公司设立的固定收益类信托计划，底层资产为向融资人东台惠民城镇化建设集团有限公司发放信托贷款，资产到期日不超过理财产品最近一次开放日。融资人评级为AA(评级机构为联合评级国际有限公司)，融资人第一大股东为东台市开创投资发展有限公司，持股比例为100%。经营范围包括:新农村社区、新市镇基础设施建设,土地开发及综合整治(房地产开发除外),物业服务,绿化养护,道路及河道保洁,政府授权的国有资产经营和管理,贵金属批发、零售(国家有专项审批的项目除外)。(依法须经批准的项目,经相关部门批准后方可开展经营活动)一般项目:机械电气设备制造;港口理货;港口货物装卸搬运活动;普通货物仓储服务(不含危险化学品等需许可审批的项目)(除依法须经批准的项目外,凭营业执照依法自主开展经营活动)</w:t>
            </w:r>
          </w:p>
          <w:p>
            <w:pPr>
              <w:spacing w:line="200" w:lineRule="exact"/>
            </w:pPr>
            <w:r>
              <w:rPr>
                <w:rFonts w:ascii="方正黑体_GBK" w:hAnsi="方正黑体_GBK" w:eastAsia="方正黑体_GBK" w:cs="宋体"/>
                <w:sz w:val="18"/>
                <w:szCs w:val="18"/>
              </w:rPr>
              <w:t>(34)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pPr>
              <w:spacing w:line="200" w:lineRule="exact"/>
            </w:pPr>
            <w:r>
              <w:rPr>
                <w:rFonts w:ascii="方正黑体_GBK" w:hAnsi="方正黑体_GBK" w:eastAsia="方正黑体_GBK" w:cs="宋体"/>
                <w:sz w:val="18"/>
                <w:szCs w:val="18"/>
              </w:rPr>
              <w:t>(35)信托贷款：资产类型为信托公司设立的固定收益类信托计划，底层资产为向融资人富皋万泰集团有限公司发放信托贷款，资产到期日不超过理财产品最近一次开放日。融资人评级为AA+(评级机构为联合资信评估股份有限公司)，融资人第一大股东为如皋市人民政府，持股比例为100%。经营范围包括:实业投资;投资管理;资产管理;城市基础设施建设;工程管理服务;房地产开发经营;房屋租赁;物业管理;土地整理服务;棚户区改造。(依法须经批准的项目,经相关部门批准后方可开展经营活动)</w:t>
            </w:r>
          </w:p>
          <w:p>
            <w:pPr>
              <w:spacing w:line="200" w:lineRule="exact"/>
            </w:pPr>
            <w:r>
              <w:rPr>
                <w:rFonts w:ascii="方正黑体_GBK" w:hAnsi="方正黑体_GBK" w:eastAsia="方正黑体_GBK" w:cs="宋体"/>
                <w:sz w:val="18"/>
                <w:szCs w:val="18"/>
              </w:rPr>
              <w:t>(36)信托贷款：资产类型为信托公司设立的固定收益类信托计划，底层资产为向融资人江苏扬中港务投资发展有限公司发放信托贷款，资产到期日不超过理财产品最近一次开放日。融资人无外部评级，融资人第一大股东为扬中市港口资产经营管理中心，持股比例为100%。经营范围包括:港口产业投资与管理；港口经营、经营港口理货业务；土地整理；房地产开发经营；建筑工程、基础工程、建筑物拆除工程施工；房屋租赁、设备租赁服务；物业管理；工程技术及商务信息咨询服务服务；交通设施工程、道路工程施工、维护；园林绿化工程养护。(依法须经批准的项目，经相关部门批准后方可开展经营活动)  一般项目：电子专用材料制造；半导体器件专用设备制造；电力电子元器件制造；技术玻璃制品制造；有色金属合金制造；有色金属压延加工；塑料制品制造；装卸搬运；港口货物装卸搬运活动；港口理货；集装箱销售；国内集装箱货物运输代理；船用配套设备制造；物料搬运装备销售；特种设备销售；船舶销售；通用设备修理；通用设备制造(不含特种设备制造)；非金属矿物制品制造；非金属矿及制品销售；煤炭及制品销售；机械电气设备销售；包装材料及制品销售；木材销售(除依法须经批准的项目外，凭营业执照依法自主开展经营活动)</w:t>
            </w:r>
          </w:p>
          <w:p>
            <w:pPr>
              <w:spacing w:line="200" w:lineRule="exact"/>
            </w:pPr>
            <w:r>
              <w:rPr>
                <w:rFonts w:ascii="方正黑体_GBK" w:hAnsi="方正黑体_GBK" w:eastAsia="方正黑体_GBK" w:cs="宋体"/>
                <w:sz w:val="18"/>
                <w:szCs w:val="18"/>
              </w:rPr>
              <w:t>(37)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100%。经营范围包括:许可项目：建设工程施工；建设工程设计；住宅室内装饰装修；建筑物拆除作业(爆破作业除外)(依法须经批准的项目，经相关部门批准后方可开展经营活动，具体经营项目以审批结果为准)  一般项目：工程管理服务；土地整治服务；自有资金投资的资产管理服务；供应链管理服务；公共事业管理服务；园区管理服务；技术服务、技术开发、技术咨询、技术交流、技术转让、技术推广；土地使用权租赁；住宅水电安装维护服务；劳务服务(不含劳务派遣)；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除依法须经批准的项目外，凭营业执照依法自主开展经营活动)</w:t>
            </w:r>
          </w:p>
          <w:p>
            <w:pPr>
              <w:spacing w:line="200" w:lineRule="exact"/>
            </w:pPr>
            <w:r>
              <w:rPr>
                <w:rFonts w:ascii="方正黑体_GBK" w:hAnsi="方正黑体_GBK" w:eastAsia="方正黑体_GBK" w:cs="宋体"/>
                <w:sz w:val="18"/>
                <w:szCs w:val="18"/>
              </w:rPr>
              <w:t>(38)信托贷款：资产类型为信托公司设立的固定收益类信托计划，底层资产为向融资人诸暨市交通基础设施建设有限公司发放信托贷款，资产到期日不超过理财产品最近一次开放日。融资人评级为AA+(评级机构为大公国际资信评估有限公司)，融资人第一大股东为诸暨市建设集团有限公司，持股比例为100%。经营范围包括:一般项目：站场：客运代理、货运站（场）经营（凭有效许可证经营）  公路和公路配套服务设施的建设、经营、管理；铁路项目的建设、经营；公交站场经营管理服务，公交站点设施租赁服务；新农村建设与投资；新能源汽车充电桩建设运营；实业投资；设计、制作、代理、发布：国内广告；批发零售：建材（除竹木）；(除依法须经批准的项目外，凭营业执照依法自主开展经营活动)。许可项目：房地产开发经营(依法须经批准的项目，经相关部门批准后方可开展经营活动，具体经营项目以审批结果为准)。</w:t>
            </w:r>
          </w:p>
          <w:p>
            <w:pPr>
              <w:spacing w:line="200" w:lineRule="exact"/>
            </w:pPr>
            <w:r>
              <w:rPr>
                <w:rFonts w:ascii="方正黑体_GBK" w:hAnsi="方正黑体_GBK" w:eastAsia="方正黑体_GBK" w:cs="宋体"/>
                <w:sz w:val="18"/>
                <w:szCs w:val="18"/>
              </w:rPr>
              <w:t>(39)信托贷款：资产类型为信托公司设立的固定收益类信托计划，底层资产为向融资人泗阳县民康农村经济发展有限公司发放信托贷款，资产到期日不超过理财产品最近一次开放日。融资人评级为AA(评级机构为联合资信评估股份有限公司)，融资人第一大股东为泗阳县国有资产经营有限公司，持股比例为100%。经营范围包括:农副产品购销(涉及前置许可的除外);林木种植;水产养殖;粮食生产基地建设;农村道路、渠、桥设施建设;土地整治、土地复垦、中低产田改造及相关涉农项目建设;市政工程建设;园林绿化工程施工;非金融投资、国有资产投资(国家法律、法规禁止或限制的除外);国有资产经营、管理、转让中介服务;企业托管服务;房屋租赁;纺织品、针织品、纺织原料(国家专控产品除外)销售;房地产开发、经营;受政府委托从事建筑工程(保障房)建设。(依法须经批准的项目,经相关部门批准后方可开展经营活动)一般项目:以自有资金从事投资活动;电动汽车充电基础设施运营;集中式快速充电站;充电桩销售;新能源汽车换电设施销售;新能源汽车整车销售;新能源汽车电附件销售;建筑工程机械与设备租赁;专业设计服务(除依法须经批准的项目外,凭营业执照依法自主开展经营活动)</w:t>
            </w:r>
          </w:p>
          <w:p>
            <w:pPr>
              <w:spacing w:line="200" w:lineRule="exact"/>
            </w:pPr>
            <w:r>
              <w:rPr>
                <w:rFonts w:ascii="方正黑体_GBK" w:hAnsi="方正黑体_GBK" w:eastAsia="方正黑体_GBK" w:cs="宋体"/>
                <w:sz w:val="18"/>
                <w:szCs w:val="18"/>
              </w:rPr>
              <w:t>(40)信托贷款：资产类型为信托公司设立的固定收益类信托计划，底层资产为向融资人泰州城发资本投资有限公司发放信托贷款，资产到期日不超过理财产品最近一次开放日。融资人无外部评级，融资人第一大股东为泰州城发环保科技有限公司，持股比例为100%。经营范围包括:许可项目：各类工程建设活动；房地产开发经营；粮食收购(依法须经批准的项目，经相关部门批准后方可开展经营活动，具体经营项目以审批结果为准)一般项目：自有资金投资的资产管理服务；以自有资金从事投资活动；股权投资；土地使用权租赁；房地产经纪；物业管理；住房租赁；非居住房地产租赁；农林牧渔业废弃物综合利用；饲料原料销售；建筑材料销售；煤炭及制品销售；专用化学产品制造(不含危险化学品)；新鲜蔬菜批发；新鲜水果批发；谷物种植；蔬菜种植；蔬菜、水果和坚果加工；花卉种植；水果种植；智能农业管理；农产品的生产、销售、加工、运输、贮藏及其他相关服务；农业专业及辅助性活动(除依法须经批准的项目外，凭营业执照依法自主开展经营活动)</w:t>
            </w:r>
          </w:p>
          <w:p>
            <w:pPr>
              <w:spacing w:line="200" w:lineRule="exact"/>
            </w:pPr>
            <w:r>
              <w:rPr>
                <w:rFonts w:ascii="方正黑体_GBK" w:hAnsi="方正黑体_GBK" w:eastAsia="方正黑体_GBK" w:cs="宋体"/>
                <w:sz w:val="18"/>
                <w:szCs w:val="18"/>
              </w:rPr>
              <w:t>(41)信托贷款：资产类型为信托公司设立的固定收益类信托计划，底层资产为向融资人泰州市凯明城市建设有限公司发放信托贷款，资产到期日不超过理财产品最近一次开放日。融资人无外部评级，融资人第一大股东为泰州医药高新技术产业开发区（泰州市高港区）国有资产管理中心，持股比例为97.69%。经营范围包括:许可项目：各类工程建设活动(依法须经批准的项目，经相关部门批准后方可开展经营活动，具体经营项目以审批结果为准)一般项目：土地整治服务；建筑材料销售；电线、电缆经营；金属材料销售；企业管理；工程管理服务；项目策划与公关服务(除依法须经批准的项目外，凭营业执照依法自主开展经营活动)</w:t>
            </w:r>
          </w:p>
          <w:p>
            <w:pPr>
              <w:spacing w:line="200" w:lineRule="exact"/>
            </w:pPr>
            <w:r>
              <w:rPr>
                <w:rFonts w:ascii="方正黑体_GBK" w:hAnsi="方正黑体_GBK" w:eastAsia="方正黑体_GBK" w:cs="宋体"/>
                <w:sz w:val="18"/>
                <w:szCs w:val="18"/>
              </w:rPr>
              <w:t>(42)信托贷款：资产类型为信托公司设立的固定收益类信托计划，底层资产为向融资人泰兴市襟江投资有限公司发放信托贷款，资产到期日不超过理财产品最近一次开放日。融资人无外部评级，融资人第一大股东为泰兴市港口集团有限公司，持股比例为85%。经营范围包括:政府授权范围内的国有、集体资产经营管理;对外投资管理、项目投资、股权投资、资产管理;开展土地一级开发、保障性住房以及商业地产开发建设和经营;公共基础设施建设、投资、开发。(依法须经批准的项目,经相关部门批准后方可开展经营活动)一般项目:水污染治理;水环境污染防治服务;金属材料销售;有色金属合金销售;非金属矿及制品销售;金属矿石销售;园林绿化工程施工;工程管理服务;房屋拆迁服务;物业管理;工程和技术研究和试验发展;化工产品生产(不含许可类化工产品);石油制品制造(不含危险化学品);汽车新车销售;汽车零配件批发;建筑材料销售;仪器仪表销售;机械设备销售;电子产品销售;电气设备销售;电气机械设备销售;针纺织品及原料销售;日用玻璃制品销售;技术玻璃制品销售;五金产品批发;食用农产品批发;非食用植物油销售;环境保护专用设备销售;园艺产品种植;花卉种植;农副产品销售;污水处理及其再生利用;化工产品销售(不含许可类化工产品)(除依法须经批准的项目外,凭营业执照依法自主开展经营活动)</w:t>
            </w:r>
          </w:p>
          <w:p>
            <w:pPr>
              <w:spacing w:line="200" w:lineRule="exact"/>
            </w:pPr>
            <w:r>
              <w:rPr>
                <w:rFonts w:ascii="方正黑体_GBK" w:hAnsi="方正黑体_GBK" w:eastAsia="方正黑体_GBK" w:cs="宋体"/>
                <w:sz w:val="18"/>
                <w:szCs w:val="18"/>
              </w:rPr>
              <w:t>(43)信托贷款：资产类型为信托公司设立的固定收益类信托计划，底层资产为向融资人宜兴市科产城人融合建设发展有限公司发放信托贷款，资产到期日不超过理财产品最近一次开放日。融资人无外部评级，融资人第一大股东为宜兴市人民政府国有资产监督管理办公室，持股比例为50%。经营范围包括:许可项目：建设工程施工；建设工程设计；建筑物拆除作业(爆破作业除外)；房屋建筑和市政基础设施项目工程总承包；旅游业务；道路货物运输(不含危险货物)；电线、电缆制造；职业中介活动(依法须经批准的项目，经相关部门批准后方可开展经营活动，具体经营项目以审批结果为准)一般项目：园林绿化工程施工；房屋拆迁服务；土地整治服务；股权投资；以自有资金从事投资活动；自有资金投资的资产管理服务；物业管理；工程管理服务；企业管理；供应链管理服务；公共事业管理服务；园区管理服务；土地使用权租赁；住房租赁；非居住房地产租赁；建筑材料销售；建筑装饰材料销售；建筑用石加工；社会经济咨询服务；融资咨询服务；财务咨询；技术服务、技术开发、技术咨询、技术交流、技术转让、技术推广；信息咨询服务(不含许可类信息咨询服务)；信息技术咨询服务；企业管理咨询；劳务服务(不含劳务派遣)；软件开发；网络技术服务；信息系统集成服务；计算机系统服务；数据处理和存储支持服务；科技推广和应用服务；物联网技术服务；大数据服务；互联网数据服务；数据处理服务；普通货物仓储服务(不含危险化学品等需许可审批的项目)；装卸搬运；货物进出口；技术进出口；进出口代理；锻件及粉末冶金制品销售；高性能有色金属及合金材料销售；金属材料销售；有色金属合金销售；有色金属压延加工；金属丝绳及其制品制造；金属丝绳及其制品销售；五金产品研发；五金产品制造；五金产品零售；电线、电缆经营；通用设备制造(不含特种设备制造)；机械设备销售；专用设备修理；环境保护专用设备销售；花卉种植；树木种植经营；医学研究和试验发展；市场营销策划；日用百货销售；人力资源服务(不含职业中介活动、劳务派遣服务)(除依法须经批准的项目外，凭营业执照依法自主开展经营活动)</w:t>
            </w:r>
          </w:p>
          <w:p>
            <w:pPr>
              <w:spacing w:line="200" w:lineRule="exact"/>
            </w:pPr>
            <w:r>
              <w:rPr>
                <w:rFonts w:ascii="方正黑体_GBK" w:hAnsi="方正黑体_GBK" w:eastAsia="方正黑体_GBK" w:cs="宋体"/>
                <w:sz w:val="18"/>
                <w:szCs w:val="18"/>
              </w:rPr>
              <w:t>(44)同业借款：资产类型为南银理财有限责任公司向持牌金融机构发放的同业借款，期限不超过1年，融资人为中国中信金融资产管理股份有限公司。</w:t>
            </w:r>
          </w:p>
          <w:p>
            <w:pPr>
              <w:spacing w:line="200" w:lineRule="exact"/>
            </w:pPr>
            <w:r>
              <w:rPr>
                <w:rFonts w:ascii="方正黑体_GBK" w:hAnsi="方正黑体_GBK" w:eastAsia="方正黑体_GBK" w:cs="宋体"/>
                <w:sz w:val="18"/>
                <w:szCs w:val="18"/>
              </w:rPr>
              <w:t>(45)同业借款：资产类型为南银理财有限责任公司向持牌金融机构发放的同业借款，期限不超过1年，融资人为中国东方资产管理股份有限公司。</w:t>
            </w:r>
          </w:p>
          <w:p>
            <w:pPr>
              <w:spacing w:line="200" w:lineRule="exact"/>
            </w:pPr>
            <w:r>
              <w:rPr>
                <w:rFonts w:ascii="方正黑体_GBK" w:hAnsi="方正黑体_GBK" w:eastAsia="方正黑体_GBK" w:cs="宋体"/>
                <w:sz w:val="18"/>
                <w:szCs w:val="18"/>
              </w:rPr>
              <w:t>(46)同业借款：资产类型为南银理财有限责任公司向持牌金融机构发放的同业借款，期限不超过1年，融资人为中国信达资产管理股份有限公司。</w:t>
            </w:r>
          </w:p>
          <w:p>
            <w:pPr>
              <w:spacing w:line="200" w:lineRule="exact"/>
            </w:pPr>
            <w:r>
              <w:rPr>
                <w:rFonts w:ascii="方正黑体_GBK" w:hAnsi="方正黑体_GBK" w:eastAsia="方正黑体_GBK" w:cs="宋体"/>
                <w:sz w:val="18"/>
                <w:szCs w:val="18"/>
              </w:rPr>
              <w:t>(47)同业借款：资产类型为南银理财有限责任公司向持牌金融机构发放的同业借款，期限不超过1年，融资人为中国长城资产管理股份有限公司。</w:t>
            </w:r>
          </w:p>
          <w:p>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rPr>
                <w:rFonts w:ascii="方正黑体_GBK" w:hAnsi="方正黑体_GBK" w:eastAsia="方正黑体_GBK" w:cs="宋体"/>
                <w:sz w:val="18"/>
                <w:szCs w:val="18"/>
              </w:rPr>
            </w:pPr>
            <w:r>
              <w:rPr>
                <w:rFonts w:ascii="方正黑体_GBK" w:hAnsi="方正黑体_GBK" w:eastAsia="方正黑体_GBK" w:cs="宋体"/>
                <w:sz w:val="18"/>
                <w:szCs w:val="18"/>
              </w:rPr>
              <w:t>A份额</w:t>
            </w:r>
            <w:r>
              <w:rPr>
                <w:rFonts w:hint="default" w:ascii="方正黑体_GBK" w:hAnsi="方正黑体_GBK" w:eastAsia="方正黑体_GBK" w:cs="宋体"/>
                <w:sz w:val="18"/>
                <w:szCs w:val="18"/>
                <w:lang w:val="en-US" w:eastAsia="zh-CN"/>
              </w:rPr>
              <w:t>/</w:t>
            </w:r>
            <w:r>
              <w:rPr>
                <w:rFonts w:ascii="方正黑体_GBK" w:hAnsi="方正黑体_GBK" w:eastAsia="方正黑体_GBK" w:cs="宋体"/>
                <w:sz w:val="18"/>
                <w:szCs w:val="18"/>
              </w:rPr>
              <w:t>A2份额</w:t>
            </w:r>
            <w:r>
              <w:rPr>
                <w:rFonts w:hint="default" w:ascii="方正黑体_GBK" w:hAnsi="方正黑体_GBK" w:eastAsia="方正黑体_GBK" w:cs="宋体"/>
                <w:sz w:val="18"/>
                <w:szCs w:val="18"/>
                <w:lang w:val="en-US" w:eastAsia="zh-CN"/>
              </w:rPr>
              <w:t>/</w:t>
            </w:r>
            <w:r>
              <w:rPr>
                <w:rFonts w:ascii="方正黑体_GBK" w:hAnsi="方正黑体_GBK" w:eastAsia="方正黑体_GBK" w:cs="宋体"/>
                <w:sz w:val="18"/>
                <w:szCs w:val="18"/>
              </w:rPr>
              <w:t>A</w:t>
            </w:r>
            <w:r>
              <w:rPr>
                <w:rFonts w:hint="default" w:ascii="方正黑体_GBK" w:hAnsi="方正黑体_GBK" w:eastAsia="方正黑体_GBK" w:cs="宋体"/>
                <w:sz w:val="18"/>
                <w:szCs w:val="18"/>
                <w:lang w:val="en-US" w:eastAsia="zh-CN"/>
              </w:rPr>
              <w:t>3</w:t>
            </w:r>
            <w:r>
              <w:rPr>
                <w:rFonts w:ascii="方正黑体_GBK" w:hAnsi="方正黑体_GBK" w:eastAsia="方正黑体_GBK" w:cs="宋体"/>
                <w:sz w:val="18"/>
                <w:szCs w:val="18"/>
              </w:rPr>
              <w:t>份额：业绩比较基准为年化2.7</w:t>
            </w:r>
            <w:r>
              <w:rPr>
                <w:rFonts w:hint="eastAsia" w:ascii="方正黑体_GBK" w:hAnsi="方正黑体_GBK" w:eastAsia="方正黑体_GBK" w:cs="宋体"/>
                <w:sz w:val="18"/>
                <w:szCs w:val="18"/>
                <w:lang w:val="en-US" w:eastAsia="zh-CN"/>
              </w:rPr>
              <w:t>5</w:t>
            </w:r>
            <w:r>
              <w:rPr>
                <w:rFonts w:ascii="方正黑体_GBK" w:hAnsi="方正黑体_GBK" w:eastAsia="方正黑体_GBK" w:cs="宋体"/>
                <w:sz w:val="18"/>
                <w:szCs w:val="18"/>
              </w:rPr>
              <w:t>%-3.3</w:t>
            </w:r>
            <w:r>
              <w:rPr>
                <w:rFonts w:hint="eastAsia" w:ascii="方正黑体_GBK" w:hAnsi="方正黑体_GBK" w:eastAsia="方正黑体_GBK" w:cs="宋体"/>
                <w:sz w:val="18"/>
                <w:szCs w:val="18"/>
                <w:lang w:val="en-US" w:eastAsia="zh-CN"/>
              </w:rPr>
              <w:t>5</w:t>
            </w:r>
            <w:r>
              <w:rPr>
                <w:rFonts w:ascii="方正黑体_GBK" w:hAnsi="方正黑体_GBK" w:eastAsia="方正黑体_GBK" w:cs="宋体"/>
                <w:sz w:val="18"/>
                <w:szCs w:val="18"/>
              </w:rPr>
              <w:t>% 。</w:t>
            </w:r>
          </w:p>
          <w:p>
            <w:pPr>
              <w:spacing w:line="200" w:lineRule="exact"/>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B</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/B</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/B3</w:t>
            </w:r>
            <w:r>
              <w:rPr>
                <w:rFonts w:ascii="方正黑体_GBK" w:hAnsi="方正黑体_GBK" w:eastAsia="方正黑体_GBK" w:cs="宋体"/>
                <w:sz w:val="18"/>
                <w:szCs w:val="18"/>
              </w:rPr>
              <w:t>份额：业绩比较基准为年化2.7</w:t>
            </w:r>
            <w:r>
              <w:rPr>
                <w:rFonts w:hint="default" w:ascii="方正黑体_GBK" w:hAnsi="方正黑体_GBK" w:eastAsia="方正黑体_GBK" w:cs="宋体"/>
                <w:sz w:val="18"/>
                <w:szCs w:val="18"/>
                <w:lang w:val="en-US" w:eastAsia="zh-CN"/>
              </w:rPr>
              <w:t>5</w:t>
            </w:r>
            <w:r>
              <w:rPr>
                <w:rFonts w:ascii="方正黑体_GBK" w:hAnsi="方正黑体_GBK" w:eastAsia="方正黑体_GBK" w:cs="宋体"/>
                <w:sz w:val="18"/>
                <w:szCs w:val="18"/>
              </w:rPr>
              <w:t>%-3.3</w:t>
            </w:r>
            <w:r>
              <w:rPr>
                <w:rFonts w:hint="default" w:ascii="方正黑体_GBK" w:hAnsi="方正黑体_GBK" w:eastAsia="方正黑体_GBK" w:cs="宋体"/>
                <w:sz w:val="18"/>
                <w:szCs w:val="18"/>
                <w:lang w:val="en-US" w:eastAsia="zh-CN"/>
              </w:rPr>
              <w:t>5</w:t>
            </w:r>
            <w:r>
              <w:rPr>
                <w:rFonts w:ascii="方正黑体_GBK" w:hAnsi="方正黑体_GBK" w:eastAsia="方正黑体_GBK" w:cs="宋体"/>
                <w:sz w:val="18"/>
                <w:szCs w:val="18"/>
              </w:rPr>
              <w:t>% 。</w:t>
            </w:r>
          </w:p>
          <w:p>
            <w:pPr>
              <w:spacing w:line="200" w:lineRule="exact"/>
              <w:jc w:val="left"/>
              <w:rPr>
                <w:rFonts w:hint="default" w:ascii="方正黑体_GBK" w:hAnsi="方正黑体_GBK" w:eastAsia="方正黑体_GBK" w:cs="宋体"/>
                <w:sz w:val="18"/>
                <w:szCs w:val="18"/>
                <w:lang w:val="en-US" w:eastAsia="zh-CN"/>
              </w:rPr>
            </w:pPr>
            <w:r>
              <w:rPr>
                <w:rFonts w:hint="default" w:ascii="方正黑体_GBK" w:hAnsi="方正黑体_GBK" w:eastAsia="方正黑体_GBK" w:cs="宋体"/>
                <w:sz w:val="18"/>
                <w:szCs w:val="18"/>
                <w:lang w:val="en-US" w:eastAsia="zh-CN"/>
              </w:rPr>
              <w:t>C</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/C</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/C3</w:t>
            </w:r>
            <w:r>
              <w:rPr>
                <w:rFonts w:ascii="方正黑体_GBK" w:hAnsi="方正黑体_GBK" w:eastAsia="方正黑体_GBK" w:cs="宋体"/>
                <w:sz w:val="18"/>
                <w:szCs w:val="18"/>
              </w:rPr>
              <w:t>份额：业绩比较基准为年化2.8%-3.4% 。</w:t>
            </w:r>
          </w:p>
          <w:p>
            <w:pPr>
              <w:spacing w:line="200" w:lineRule="exact"/>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D</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/D</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/D3</w:t>
            </w:r>
            <w:r>
              <w:rPr>
                <w:rFonts w:ascii="方正黑体_GBK" w:hAnsi="方正黑体_GBK" w:eastAsia="方正黑体_GBK" w:cs="宋体"/>
                <w:sz w:val="18"/>
                <w:szCs w:val="18"/>
              </w:rPr>
              <w:t>份额：业绩比较基准为年化2.85%-3.45% 。</w:t>
            </w:r>
          </w:p>
          <w:p>
            <w:pPr>
              <w:widowControl/>
              <w:spacing w:line="200" w:lineRule="exact"/>
              <w:ind w:firstLine="0"/>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E</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/E</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/E3</w:t>
            </w:r>
            <w:r>
              <w:rPr>
                <w:rFonts w:ascii="方正黑体_GBK" w:hAnsi="方正黑体_GBK" w:eastAsia="方正黑体_GBK" w:cs="宋体"/>
                <w:sz w:val="18"/>
                <w:szCs w:val="18"/>
              </w:rPr>
              <w:t>份额：业绩比较基准为年化2.95%-3.55% 。</w:t>
            </w:r>
          </w:p>
          <w:p>
            <w:pPr>
              <w:widowControl/>
              <w:spacing w:line="200" w:lineRule="exact"/>
              <w:ind w:firstLine="0"/>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F</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/F</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/F3</w:t>
            </w:r>
            <w:r>
              <w:rPr>
                <w:rFonts w:ascii="方正黑体_GBK" w:hAnsi="方正黑体_GBK" w:eastAsia="方正黑体_GBK" w:cs="宋体"/>
                <w:sz w:val="18"/>
                <w:szCs w:val="18"/>
              </w:rPr>
              <w:t>份额：业绩比较基准为年化2.</w:t>
            </w:r>
            <w:r>
              <w:rPr>
                <w:rFonts w:hint="default" w:ascii="方正黑体_GBK" w:hAnsi="方正黑体_GBK" w:eastAsia="方正黑体_GBK" w:cs="宋体"/>
                <w:sz w:val="18"/>
                <w:szCs w:val="18"/>
                <w:lang w:val="en-US" w:eastAsia="zh-CN"/>
              </w:rPr>
              <w:t>8</w:t>
            </w:r>
            <w:r>
              <w:rPr>
                <w:rFonts w:ascii="方正黑体_GBK" w:hAnsi="方正黑体_GBK" w:eastAsia="方正黑体_GBK" w:cs="宋体"/>
                <w:sz w:val="18"/>
                <w:szCs w:val="18"/>
              </w:rPr>
              <w:t>%-3.</w:t>
            </w:r>
            <w:r>
              <w:rPr>
                <w:rFonts w:hint="default" w:ascii="方正黑体_GBK" w:hAnsi="方正黑体_GBK" w:eastAsia="方正黑体_GBK" w:cs="宋体"/>
                <w:sz w:val="18"/>
                <w:szCs w:val="18"/>
                <w:lang w:val="en-US" w:eastAsia="zh-CN"/>
              </w:rPr>
              <w:t>4</w:t>
            </w:r>
            <w:r>
              <w:rPr>
                <w:rFonts w:ascii="方正黑体_GBK" w:hAnsi="方正黑体_GBK" w:eastAsia="方正黑体_GBK" w:cs="宋体"/>
                <w:sz w:val="18"/>
                <w:szCs w:val="18"/>
              </w:rPr>
              <w:t>% 。</w:t>
            </w:r>
          </w:p>
          <w:p>
            <w:pPr>
              <w:spacing w:line="200" w:lineRule="exact"/>
              <w:jc w:val="left"/>
              <w:rPr>
                <w:rFonts w:ascii="方正黑体_GBK" w:hAnsi="方正黑体_GBK" w:eastAsia="方正黑体_GBK" w:cs="宋体"/>
                <w:sz w:val="18"/>
                <w:szCs w:val="18"/>
              </w:rPr>
            </w:pPr>
            <w:r>
              <w:rPr>
                <w:rFonts w:hint="eastAsia" w:ascii="方正黑体_GBK" w:hAnsi="方正黑体_GBK" w:eastAsia="方正黑体_GBK" w:cs="宋体"/>
                <w:sz w:val="18"/>
                <w:szCs w:val="18"/>
                <w:lang w:val="en-US" w:eastAsia="zh-CN"/>
              </w:rPr>
              <w:t>G2份额：</w:t>
            </w:r>
            <w:r>
              <w:rPr>
                <w:rFonts w:ascii="方正黑体_GBK" w:hAnsi="方正黑体_GBK" w:eastAsia="方正黑体_GBK" w:cs="宋体"/>
                <w:sz w:val="18"/>
                <w:szCs w:val="18"/>
              </w:rPr>
              <w:t>绩比较基准为年化2.85%-3.45% 。</w:t>
            </w:r>
          </w:p>
          <w:p>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w:t>
            </w:r>
            <w:bookmarkStart w:id="0" w:name="_GoBack"/>
            <w:bookmarkEnd w:id="0"/>
            <w:r>
              <w:rPr>
                <w:rFonts w:ascii="方正黑体_GBK" w:hAnsi="方正黑体_GBK" w:eastAsia="方正黑体_GBK" w:cs="宋体"/>
                <w:sz w:val="18"/>
                <w:szCs w:val="18"/>
              </w:rPr>
              <w:t>资策略基础上，管理人设定了本理财产品投资周期内业绩比较基准。</w:t>
            </w:r>
          </w:p>
          <w:p>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认/申购费：本理财产品暂不收取认/申购费。</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赎回费：本理财产品暂不收取赎回费。</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销售费：本理财产品按前一日理财产品资产净值收取销售费，按日计提。</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A份额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w:t>
            </w:r>
            <w:r>
              <w:rPr>
                <w:rFonts w:hint="eastAsia" w:ascii="方正黑体_GBK" w:hAnsi="方正黑体_GBK" w:eastAsia="方正黑体_GBK" w:cs="宋体"/>
                <w:b/>
                <w:bCs w:val="0"/>
                <w:i w:val="0"/>
                <w:caps w:val="0"/>
                <w:smallCaps w:val="0"/>
                <w:strike w:val="0"/>
                <w:dstrike w:val="0"/>
                <w:vanish w:val="0"/>
                <w:sz w:val="18"/>
                <w:szCs w:val="18"/>
                <w:lang w:val="en-US" w:eastAsia="zh-CN"/>
              </w:rPr>
              <w:t>3</w:t>
            </w:r>
            <w:r>
              <w:rPr>
                <w:rFonts w:ascii="方正黑体_GBK" w:hAnsi="方正黑体_GBK" w:eastAsia="方正黑体_GBK" w:cs="宋体"/>
                <w:b/>
                <w:bCs w:val="0"/>
                <w:i w:val="0"/>
                <w:caps w:val="0"/>
                <w:smallCaps w:val="0"/>
                <w:strike w:val="0"/>
                <w:dstrike w:val="0"/>
                <w:vanish w:val="0"/>
                <w:sz w:val="18"/>
                <w:szCs w:val="18"/>
              </w:rPr>
              <w:t>份额：销售费年化0.2%</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/B3</w:t>
            </w:r>
            <w:r>
              <w:rPr>
                <w:rFonts w:ascii="方正黑体_GBK" w:hAnsi="方正黑体_GBK" w:eastAsia="方正黑体_GBK" w:cs="宋体"/>
                <w:b/>
                <w:bCs w:val="0"/>
                <w:i w:val="0"/>
                <w:caps w:val="0"/>
                <w:smallCaps w:val="0"/>
                <w:strike w:val="0"/>
                <w:dstrike w:val="0"/>
                <w:vanish w:val="0"/>
                <w:sz w:val="18"/>
                <w:szCs w:val="18"/>
              </w:rPr>
              <w:t>份额：销售费年化0.2%</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C份额/C2份额/C3份额：销售费年化0.15%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D份额/D2份额/D3份额：销售费年化0.15%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E份额/E2份额/E3份额：销售费年化0.05%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F份额/F2份额/F3份额：销售费年化0.2%</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G2份额：销售费年化0.15%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每日计提的销售费=前一日理财产品资产净值×年化销售费率÷365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固定管理费：本理财产品按前一日理财产品资产净值收取固定管理费，按日计提。</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A份额/A2份额/A3份额：固定管理费年化0.35%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B份额/B2份额/B3份额：固定管理费年化0.35%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C份额/C2份额/C3份额：固定管理费年化0.35%</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D份额/D2份额/D3份额：固定管理费年化0.3%</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E份额/E2份额/E3份额：固定管理费年化0.3%</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F份额/F2份额/F3份额：固定管理费年化0.3%</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G2份额：固定管理费年化0.3%</w:t>
            </w:r>
          </w:p>
          <w:p>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每日计提的固定管理费=前一日理财产品资产净值×年化固定管理费率÷365</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托管费：</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本理财产品按前一日理财产品资产净值收取年化0.02%的托管费，按日计提。</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每日计提的托管费=前一日理财产品资产净值×年化托管费率÷365</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A份额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w:t>
            </w:r>
            <w:r>
              <w:rPr>
                <w:rFonts w:hint="eastAsia" w:ascii="方正黑体_GBK" w:hAnsi="方正黑体_GBK" w:eastAsia="方正黑体_GBK" w:cs="宋体"/>
                <w:b/>
                <w:bCs w:val="0"/>
                <w:i w:val="0"/>
                <w:caps w:val="0"/>
                <w:smallCaps w:val="0"/>
                <w:strike w:val="0"/>
                <w:dstrike w:val="0"/>
                <w:vanish w:val="0"/>
                <w:sz w:val="18"/>
                <w:szCs w:val="18"/>
                <w:lang w:val="en-US" w:eastAsia="zh-CN"/>
              </w:rPr>
              <w:t>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份额：申购/赎回确认日和产品实际到期时，当期产品投资的实际资产组合收益（扣除销售费、固定管理费、托管费等相关费用）超过3.3</w:t>
            </w:r>
            <w:r>
              <w:rPr>
                <w:rFonts w:hint="eastAsia" w:ascii="方正黑体_GBK" w:hAnsi="方正黑体_GBK" w:eastAsia="方正黑体_GBK" w:cs="宋体"/>
                <w:b/>
                <w:bCs w:val="0"/>
                <w:i w:val="0"/>
                <w:caps w:val="0"/>
                <w:smallCaps w:val="0"/>
                <w:strike w:val="0"/>
                <w:dstrike w:val="0"/>
                <w:vanish w:val="0"/>
                <w:sz w:val="18"/>
                <w:szCs w:val="18"/>
                <w:lang w:val="en-US" w:eastAsia="zh-CN"/>
              </w:rPr>
              <w:t>5</w:t>
            </w:r>
            <w:r>
              <w:rPr>
                <w:rFonts w:ascii="方正黑体_GBK" w:hAnsi="方正黑体_GBK" w:eastAsia="方正黑体_GBK" w:cs="宋体"/>
                <w:b/>
                <w:bCs w:val="0"/>
                <w:i w:val="0"/>
                <w:caps w:val="0"/>
                <w:smallCaps w:val="0"/>
                <w:strike w:val="0"/>
                <w:dstrike w:val="0"/>
                <w:vanish w:val="0"/>
                <w:sz w:val="18"/>
                <w:szCs w:val="18"/>
              </w:rPr>
              <w:t>%（年化，即产品该份额对应的业绩报酬计提基准）时，超过部分管理人将按60%收取业绩报酬。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份额：申购/赎回确认日和产品实际到期时，当期产品投资的实际资产组合收益（扣除销售费、固定管理费、托管费等相关费用）超过3.3</w:t>
            </w:r>
            <w:r>
              <w:rPr>
                <w:rFonts w:hint="eastAsia" w:ascii="方正黑体_GBK" w:hAnsi="方正黑体_GBK" w:eastAsia="方正黑体_GBK" w:cs="宋体"/>
                <w:b/>
                <w:bCs w:val="0"/>
                <w:i w:val="0"/>
                <w:caps w:val="0"/>
                <w:smallCaps w:val="0"/>
                <w:strike w:val="0"/>
                <w:dstrike w:val="0"/>
                <w:vanish w:val="0"/>
                <w:sz w:val="18"/>
                <w:szCs w:val="18"/>
                <w:lang w:val="en-US" w:eastAsia="zh-CN"/>
              </w:rPr>
              <w:t>5</w:t>
            </w:r>
            <w:r>
              <w:rPr>
                <w:rFonts w:ascii="方正黑体_GBK" w:hAnsi="方正黑体_GBK" w:eastAsia="方正黑体_GBK" w:cs="宋体"/>
                <w:b/>
                <w:bCs w:val="0"/>
                <w:i w:val="0"/>
                <w:caps w:val="0"/>
                <w:smallCaps w:val="0"/>
                <w:strike w:val="0"/>
                <w:dstrike w:val="0"/>
                <w:vanish w:val="0"/>
                <w:sz w:val="18"/>
                <w:szCs w:val="18"/>
              </w:rPr>
              <w:t>%（年化，即产品该份额对应的业绩报酬计提基准）时，超过部分管理人将按60%收取业绩报酬。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C</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/C</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/C3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3.4%（年化，即产品该份额对应的业绩报酬计提基准）时，超过部分管理人将按60%收取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D</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/D</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/D3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3.45%（年化，即产品该份额对应的业绩报酬计提基准）时，超过部分管理人将按60%收取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E</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/E</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/E3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3.55%（年化，即产品该份额对应的业绩报酬计提基准）时，超过部分管理人将按60%收取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F</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/F</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/F3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val="0"/>
                <w:i w:val="0"/>
                <w:caps w:val="0"/>
                <w:smallCaps w:val="0"/>
                <w:strike w:val="0"/>
                <w:dstrike w:val="0"/>
                <w:vanish w:val="0"/>
                <w:sz w:val="18"/>
                <w:szCs w:val="18"/>
                <w:lang w:val="en-US" w:eastAsia="zh-CN"/>
              </w:rPr>
              <w:t>4</w:t>
            </w:r>
            <w:r>
              <w:rPr>
                <w:rFonts w:ascii="方正黑体_GBK" w:hAnsi="方正黑体_GBK" w:eastAsia="方正黑体_GBK" w:cs="宋体"/>
                <w:b/>
                <w:bCs w:val="0"/>
                <w:i w:val="0"/>
                <w:caps w:val="0"/>
                <w:smallCaps w:val="0"/>
                <w:strike w:val="0"/>
                <w:dstrike w:val="0"/>
                <w:vanish w:val="0"/>
                <w:sz w:val="18"/>
                <w:szCs w:val="18"/>
              </w:rPr>
              <w:t>%（年化，即产品该份额对应的业绩报酬计提基准）时，超过部分管理人将按60%收取业绩报酬。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G</w:t>
            </w:r>
            <w:r>
              <w:rPr>
                <w:rFonts w:ascii="方正黑体_GBK" w:hAnsi="方正黑体_GBK" w:eastAsia="方正黑体_GBK" w:cs="宋体"/>
                <w:b/>
                <w:bCs w:val="0"/>
                <w:i w:val="0"/>
                <w:caps w:val="0"/>
                <w:smallCaps w:val="0"/>
                <w:strike w:val="0"/>
                <w:dstrike w:val="0"/>
                <w:vanish w:val="0"/>
                <w:sz w:val="18"/>
                <w:szCs w:val="18"/>
              </w:rPr>
              <w:t>2份额：申购/赎回确认日和产品实际到期时，当期产品投资的实际资产组合收益（扣除销售费、固定管理费、托管费等相关费用）超过3.45%（年化，即产品该份额对应的业绩报酬计提基准）时，超过部分管理人将按60%收取业绩报酬。</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注：1.根据财政部《资产管理产品相关会计处理规定》（财会〔2022〕14号）“将当期发生的管理人报酬计入当期损益”的相关规定，本理财产品将每日计提暂估的业绩报酬（如有）。</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计算本区间业绩报酬的公式如下：</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A={B-C*D*(1+E*F/365)}*G。</w:t>
            </w:r>
          </w:p>
          <w:p>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color w:val="000000"/>
                <w:sz w:val="18"/>
                <w:szCs w:val="18"/>
              </w:rPr>
              <w:t>具体参见本理财产品风险揭示书。</w:t>
            </w:r>
          </w:p>
          <w:p>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互金平台、日照银行股份有限公司、无锡锡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pPr>
              <w:spacing w:line="200" w:lineRule="exact"/>
              <w:jc w:val="left"/>
            </w:pPr>
            <w:r>
              <w:rPr>
                <w:rFonts w:ascii="方正黑体_GBK" w:hAnsi="方正黑体_GBK" w:eastAsia="方正黑体_GBK" w:cs="宋体"/>
                <w:sz w:val="18"/>
                <w:szCs w:val="18"/>
              </w:rPr>
              <w:t>销售机构主要职责如下：</w:t>
            </w:r>
          </w:p>
          <w:p>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pPr>
              <w:spacing w:line="200" w:lineRule="exact"/>
              <w:jc w:val="left"/>
            </w:pPr>
            <w:r>
              <w:rPr>
                <w:rFonts w:ascii="方正黑体_GBK" w:hAnsi="方正黑体_GBK" w:eastAsia="方正黑体_GBK" w:cs="宋体"/>
                <w:sz w:val="18"/>
                <w:szCs w:val="18"/>
              </w:rPr>
              <w:t>3.妥善保管投资者理财产品销售相关资料，保管年限不低于20年；</w:t>
            </w:r>
          </w:p>
          <w:p>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pPr>
              <w:spacing w:line="200" w:lineRule="exact"/>
              <w:jc w:val="left"/>
            </w:pPr>
            <w:r>
              <w:rPr>
                <w:rFonts w:ascii="方正黑体_GBK" w:hAnsi="方正黑体_GBK" w:eastAsia="方正黑体_GBK" w:cs="宋体"/>
                <w:sz w:val="18"/>
                <w:szCs w:val="18"/>
              </w:rPr>
              <w:t>5.建立健全投资者权益保护管理体系，加强投资者适当性管理；</w:t>
            </w:r>
          </w:p>
          <w:p>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本理财产品托管人为南京银行股份有限公司，主要职责如下：</w:t>
            </w:r>
          </w:p>
          <w:p>
            <w:pPr>
              <w:spacing w:line="200" w:lineRule="exact"/>
            </w:pPr>
            <w:r>
              <w:rPr>
                <w:rFonts w:ascii="方正黑体_GBK" w:hAnsi="方正黑体_GBK" w:eastAsia="方正黑体_GBK" w:cs="宋体"/>
                <w:sz w:val="18"/>
                <w:szCs w:val="18"/>
              </w:rPr>
              <w:t>1.安全保管理财产品财产；</w:t>
            </w:r>
          </w:p>
          <w:p>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pPr>
              <w:spacing w:line="200" w:lineRule="exact"/>
            </w:pPr>
            <w:r>
              <w:rPr>
                <w:rFonts w:ascii="方正黑体_GBK" w:hAnsi="方正黑体_GBK" w:eastAsia="方正黑体_GBK" w:cs="宋体"/>
                <w:sz w:val="18"/>
                <w:szCs w:val="18"/>
              </w:rPr>
              <w:t>3.按照托管协议约定和管理人的投资指令，及时办理清算、交割事宜；</w:t>
            </w:r>
          </w:p>
          <w:p>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pacing w:line="200" w:lineRule="exact"/>
            </w:pPr>
            <w:r>
              <w:rPr>
                <w:rFonts w:ascii="方正黑体_GBK" w:hAnsi="方正黑体_GBK" w:eastAsia="方正黑体_GBK" w:cs="宋体"/>
                <w:sz w:val="18"/>
                <w:szCs w:val="18"/>
              </w:rPr>
              <w:t>7.理财托管业务活动的记录、账册、报表和其他相关资料保存20年以上；</w:t>
            </w:r>
          </w:p>
          <w:p>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广东粤财信托有限公司、华泰资产管理有限公司、华鑫国际信托有限公司、建信保险资产管理有限公司、交银国际信托有限公司、上海国际信托有限公司、泰康资产管理有限责任公司、天津信托有限责任公司、中信信托有限责任公司、重庆国际信托股份有限公司，上述投资合作机构主要职责对应如下，具体职责以管理人与投资合作机构签署的合同为准。</w:t>
            </w:r>
          </w:p>
          <w:p>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广东粤财信托有限公司、华泰资产管理有限公司、华鑫国际信托有限公司、建信保险资产管理有限公司、交银国际信托有限公司、上海国际信托有限公司、泰康资产管理有限责任公司、天津信托有限责任公司、中信信托有限责任公司、重庆国际信托股份有限公司。</w:t>
            </w:r>
          </w:p>
          <w:p>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pPr>
              <w:spacing w:line="200" w:lineRule="exact"/>
            </w:pPr>
            <w:r>
              <w:rPr>
                <w:rFonts w:ascii="方正黑体_GBK" w:hAnsi="方正黑体_GBK" w:eastAsia="方正黑体_GBK" w:cs="宋体"/>
                <w:sz w:val="18"/>
                <w:szCs w:val="18"/>
              </w:rPr>
              <w:t>上述投资合作机构简介：</w:t>
            </w:r>
          </w:p>
          <w:p>
            <w:pPr>
              <w:spacing w:line="200" w:lineRule="exact"/>
            </w:pPr>
            <w:r>
              <w:rPr>
                <w:rFonts w:ascii="方正黑体_GBK" w:hAnsi="方正黑体_GBK" w:eastAsia="方正黑体_GBK" w:cs="宋体"/>
                <w:sz w:val="18"/>
                <w:szCs w:val="18"/>
              </w:rPr>
              <w:t>百瑞信托有限责任公司成立于2002年10月16日，注册资本金400000万元人民币。</w:t>
            </w:r>
          </w:p>
          <w:p>
            <w:pPr>
              <w:spacing w:line="200" w:lineRule="exact"/>
            </w:pPr>
            <w:r>
              <w:rPr>
                <w:rFonts w:ascii="方正黑体_GBK" w:hAnsi="方正黑体_GBK" w:eastAsia="方正黑体_GBK" w:cs="宋体"/>
                <w:sz w:val="18"/>
                <w:szCs w:val="18"/>
              </w:rPr>
              <w:t>大家资产管理有限责任公司成立于2011年05月20日，注册资本金6亿元人民币。</w:t>
            </w:r>
          </w:p>
          <w:p>
            <w:pPr>
              <w:spacing w:line="200" w:lineRule="exact"/>
            </w:pPr>
            <w:r>
              <w:rPr>
                <w:rFonts w:ascii="方正黑体_GBK" w:hAnsi="方正黑体_GBK" w:eastAsia="方正黑体_GBK" w:cs="宋体"/>
                <w:sz w:val="18"/>
                <w:szCs w:val="18"/>
              </w:rPr>
              <w:t>光大永明资产管理股份有限公司成立于2012年03月02日，注册资本金5亿元。</w:t>
            </w:r>
          </w:p>
          <w:p>
            <w:pPr>
              <w:spacing w:line="200" w:lineRule="exact"/>
            </w:pPr>
            <w:r>
              <w:rPr>
                <w:rFonts w:ascii="方正黑体_GBK" w:hAnsi="方正黑体_GBK" w:eastAsia="方正黑体_GBK" w:cs="宋体"/>
                <w:sz w:val="18"/>
                <w:szCs w:val="18"/>
              </w:rPr>
              <w:t>广东粤财信托有限公司成立于1985年03月07日，注册资本金380000万元。</w:t>
            </w:r>
          </w:p>
          <w:p>
            <w:pPr>
              <w:spacing w:line="200" w:lineRule="exact"/>
            </w:pPr>
            <w:r>
              <w:rPr>
                <w:rFonts w:ascii="方正黑体_GBK" w:hAnsi="方正黑体_GBK" w:eastAsia="方正黑体_GBK" w:cs="宋体"/>
                <w:sz w:val="18"/>
                <w:szCs w:val="18"/>
              </w:rPr>
              <w:t>华泰资产管理有限公司成立于2005年01月18日，注册资本金60060万元人民币。</w:t>
            </w:r>
          </w:p>
          <w:p>
            <w:pPr>
              <w:spacing w:line="200" w:lineRule="exact"/>
            </w:pPr>
            <w:r>
              <w:rPr>
                <w:rFonts w:ascii="方正黑体_GBK" w:hAnsi="方正黑体_GBK" w:eastAsia="方正黑体_GBK" w:cs="宋体"/>
                <w:sz w:val="18"/>
                <w:szCs w:val="18"/>
              </w:rPr>
              <w:t>华鑫国际信托有限公司成立于1984年06月01日，注册资本金73.95亿元。</w:t>
            </w:r>
          </w:p>
          <w:p>
            <w:pPr>
              <w:spacing w:line="200" w:lineRule="exact"/>
            </w:pPr>
            <w:r>
              <w:rPr>
                <w:rFonts w:ascii="方正黑体_GBK" w:hAnsi="方正黑体_GBK" w:eastAsia="方正黑体_GBK" w:cs="宋体"/>
                <w:sz w:val="18"/>
                <w:szCs w:val="18"/>
              </w:rPr>
              <w:t>建信保险资产管理有限公司成立于2016年04月27日，注册资本金3亿元。</w:t>
            </w:r>
          </w:p>
          <w:p>
            <w:pPr>
              <w:spacing w:line="200" w:lineRule="exact"/>
            </w:pPr>
            <w:r>
              <w:rPr>
                <w:rFonts w:ascii="方正黑体_GBK" w:hAnsi="方正黑体_GBK" w:eastAsia="方正黑体_GBK" w:cs="宋体"/>
                <w:sz w:val="18"/>
                <w:szCs w:val="18"/>
              </w:rPr>
              <w:t>交银国际信托有限公司成立于1983年11月23日，注册资本金57.65亿元。</w:t>
            </w:r>
          </w:p>
          <w:p>
            <w:pPr>
              <w:spacing w:line="200" w:lineRule="exact"/>
            </w:pPr>
            <w:r>
              <w:rPr>
                <w:rFonts w:ascii="方正黑体_GBK" w:hAnsi="方正黑体_GBK" w:eastAsia="方正黑体_GBK" w:cs="宋体"/>
                <w:sz w:val="18"/>
                <w:szCs w:val="18"/>
              </w:rPr>
              <w:t>上海国际信托有限公司成立于1981年05月06日，注册资本金50亿元。</w:t>
            </w:r>
          </w:p>
          <w:p>
            <w:pPr>
              <w:spacing w:line="200" w:lineRule="exact"/>
            </w:pPr>
            <w:r>
              <w:rPr>
                <w:rFonts w:ascii="方正黑体_GBK" w:hAnsi="方正黑体_GBK" w:eastAsia="方正黑体_GBK" w:cs="宋体"/>
                <w:sz w:val="18"/>
                <w:szCs w:val="18"/>
              </w:rPr>
              <w:t>泰康资产管理有限责任公司成立于2006年02月21日，注册资本金10亿元。</w:t>
            </w:r>
          </w:p>
          <w:p>
            <w:pPr>
              <w:spacing w:line="200" w:lineRule="exact"/>
            </w:pPr>
            <w:r>
              <w:rPr>
                <w:rFonts w:ascii="方正黑体_GBK" w:hAnsi="方正黑体_GBK" w:eastAsia="方正黑体_GBK" w:cs="宋体"/>
                <w:sz w:val="18"/>
                <w:szCs w:val="18"/>
              </w:rPr>
              <w:t>天津信托有限责任公司成立于1986年09月23日，注册资本金170000万元人民币。</w:t>
            </w:r>
          </w:p>
          <w:p>
            <w:pPr>
              <w:spacing w:line="200" w:lineRule="exact"/>
            </w:pPr>
            <w:r>
              <w:rPr>
                <w:rFonts w:ascii="方正黑体_GBK" w:hAnsi="方正黑体_GBK" w:eastAsia="方正黑体_GBK" w:cs="宋体"/>
                <w:sz w:val="18"/>
                <w:szCs w:val="18"/>
              </w:rPr>
              <w:t>中信信托有限责任公司成立于1988年03月01日，注册资本金1127600万元人民币。</w:t>
            </w:r>
          </w:p>
          <w:p>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发生下列情形时，管理人可暂停接受投资者认申购申请：</w:t>
            </w:r>
          </w:p>
          <w:p>
            <w:pPr>
              <w:spacing w:line="200" w:lineRule="exact"/>
            </w:pPr>
            <w:r>
              <w:rPr>
                <w:rFonts w:ascii="方正黑体_GBK" w:hAnsi="方正黑体_GBK" w:eastAsia="方正黑体_GBK" w:cs="宋体"/>
                <w:sz w:val="18"/>
                <w:szCs w:val="18"/>
              </w:rPr>
              <w:t>1.因不可抗力导致理财产品无法正常运作；</w:t>
            </w:r>
          </w:p>
          <w:p>
            <w:pPr>
              <w:spacing w:line="200" w:lineRule="exact"/>
            </w:pPr>
            <w:r>
              <w:rPr>
                <w:rFonts w:ascii="方正黑体_GBK" w:hAnsi="方正黑体_GBK" w:eastAsia="方正黑体_GBK" w:cs="宋体"/>
                <w:sz w:val="18"/>
                <w:szCs w:val="18"/>
              </w:rPr>
              <w:t>2.因监管政策、市场发生重大变化，导致理财产品无法正常运作；</w:t>
            </w:r>
          </w:p>
          <w:p>
            <w:pPr>
              <w:spacing w:line="200" w:lineRule="exact"/>
            </w:pPr>
            <w:r>
              <w:rPr>
                <w:rFonts w:ascii="方正黑体_GBK" w:hAnsi="方正黑体_GBK" w:eastAsia="方正黑体_GBK" w:cs="宋体"/>
                <w:sz w:val="18"/>
                <w:szCs w:val="18"/>
              </w:rPr>
              <w:t>3.管理人认为需要暂停认申购的其他情形。</w:t>
            </w:r>
          </w:p>
          <w:p>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0"/>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pPr>
        <w:pStyle w:val="4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pPr>
        <w:pStyle w:val="45"/>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南银理财珠联璧合安稳1903一年定开公募人民币理财产品</w:t>
      </w:r>
      <w:r>
        <w:rPr>
          <w:rFonts w:hint="eastAsia" w:ascii="方正黑体_GBK" w:hAnsi="方正黑体_GBK" w:eastAsia="方正黑体_GBK"/>
          <w:vanish w:val="0"/>
          <w:color w:val="3D3D3D"/>
          <w:kern w:val="0"/>
          <w:sz w:val="15"/>
          <w:szCs w:val="15"/>
        </w:rPr>
        <w:t>。</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5"/>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pPr>
        <w:pStyle w:val="4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0"/>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pPr>
        <w:spacing w:line="200" w:lineRule="exact"/>
        <w:ind w:firstLine="300"/>
        <w:jc w:val="both"/>
      </w:pPr>
      <w:r>
        <w:rPr>
          <w:rFonts w:ascii="方正黑体_GBK" w:hAnsi="方正黑体_GBK" w:eastAsia="方正黑体_GBK" w:cs="宋体"/>
          <w:sz w:val="15"/>
          <w:szCs w:val="20"/>
        </w:rPr>
        <w:t>（一）估值日</w:t>
      </w:r>
    </w:p>
    <w:p>
      <w:pPr>
        <w:spacing w:line="200" w:lineRule="exact"/>
        <w:ind w:firstLine="300"/>
        <w:jc w:val="both"/>
      </w:pPr>
      <w:r>
        <w:rPr>
          <w:rFonts w:ascii="方正黑体_GBK" w:hAnsi="方正黑体_GBK" w:eastAsia="方正黑体_GBK" w:cs="宋体"/>
          <w:sz w:val="15"/>
          <w:szCs w:val="20"/>
        </w:rPr>
        <w:t>本理财产品每个工作日进行估值。</w:t>
      </w:r>
    </w:p>
    <w:p>
      <w:pPr>
        <w:spacing w:line="200" w:lineRule="exact"/>
        <w:ind w:firstLine="300"/>
        <w:jc w:val="both"/>
      </w:pPr>
      <w:r>
        <w:rPr>
          <w:rFonts w:ascii="方正黑体_GBK" w:hAnsi="方正黑体_GBK" w:eastAsia="方正黑体_GBK" w:cs="宋体"/>
          <w:sz w:val="15"/>
          <w:szCs w:val="20"/>
        </w:rPr>
        <w:t>（二）估值对象</w:t>
      </w:r>
    </w:p>
    <w:p>
      <w:pPr>
        <w:spacing w:line="200" w:lineRule="exact"/>
        <w:ind w:firstLine="300"/>
        <w:jc w:val="both"/>
      </w:pPr>
      <w:r>
        <w:rPr>
          <w:rFonts w:ascii="方正黑体_GBK" w:hAnsi="方正黑体_GBK" w:eastAsia="方正黑体_GBK" w:cs="宋体"/>
          <w:sz w:val="15"/>
          <w:szCs w:val="20"/>
        </w:rPr>
        <w:t>本理财产品所拥有的所有资产及负债。</w:t>
      </w:r>
    </w:p>
    <w:p>
      <w:pPr>
        <w:spacing w:line="200" w:lineRule="exact"/>
        <w:ind w:firstLine="300"/>
        <w:jc w:val="both"/>
      </w:pPr>
      <w:r>
        <w:rPr>
          <w:rFonts w:ascii="方正黑体_GBK" w:hAnsi="方正黑体_GBK" w:eastAsia="方正黑体_GBK" w:cs="宋体"/>
          <w:sz w:val="15"/>
          <w:szCs w:val="20"/>
        </w:rPr>
        <w:t>（三）估值目的</w:t>
      </w:r>
    </w:p>
    <w:p>
      <w:pPr>
        <w:spacing w:line="200" w:lineRule="exact"/>
        <w:ind w:firstLine="300"/>
        <w:jc w:val="both"/>
      </w:pPr>
      <w:r>
        <w:rPr>
          <w:rFonts w:ascii="方正黑体_GBK" w:hAnsi="方正黑体_GBK" w:eastAsia="方正黑体_GBK" w:cs="宋体"/>
          <w:sz w:val="15"/>
          <w:szCs w:val="20"/>
        </w:rPr>
        <w:t>客观、准确反映理财产品的价值。</w:t>
      </w:r>
    </w:p>
    <w:p>
      <w:pPr>
        <w:spacing w:line="200" w:lineRule="exact"/>
        <w:ind w:firstLine="300"/>
        <w:jc w:val="both"/>
      </w:pPr>
      <w:r>
        <w:rPr>
          <w:rFonts w:ascii="方正黑体_GBK" w:hAnsi="方正黑体_GBK" w:eastAsia="方正黑体_GBK" w:cs="宋体"/>
          <w:sz w:val="15"/>
          <w:szCs w:val="20"/>
        </w:rPr>
        <w:t>（四）估值原则</w:t>
      </w:r>
    </w:p>
    <w:p>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pPr>
        <w:spacing w:line="200" w:lineRule="exact"/>
        <w:ind w:firstLine="300"/>
        <w:jc w:val="both"/>
      </w:pPr>
      <w:r>
        <w:rPr>
          <w:rFonts w:ascii="方正黑体_GBK" w:hAnsi="方正黑体_GBK" w:eastAsia="方正黑体_GBK" w:cs="宋体"/>
          <w:sz w:val="15"/>
          <w:szCs w:val="20"/>
        </w:rPr>
        <w:t>（五）估值方法</w:t>
      </w:r>
    </w:p>
    <w:p>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pPr>
        <w:spacing w:line="200" w:lineRule="exact"/>
        <w:ind w:firstLine="280"/>
        <w:jc w:val="left"/>
      </w:pPr>
      <w:r>
        <w:rPr>
          <w:rFonts w:ascii="方正黑体_GBK" w:hAnsi="方正黑体_GBK" w:eastAsia="方正黑体_GBK" w:cs="宋体"/>
          <w:sz w:val="15"/>
          <w:szCs w:val="20"/>
        </w:rPr>
        <w:t>1.银行存款、回购等货币市场工具</w:t>
      </w:r>
    </w:p>
    <w:p>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pPr>
        <w:spacing w:line="200" w:lineRule="exact"/>
        <w:ind w:firstLine="280"/>
        <w:jc w:val="left"/>
      </w:pPr>
      <w:r>
        <w:rPr>
          <w:rFonts w:ascii="方正黑体_GBK" w:hAnsi="方正黑体_GBK" w:eastAsia="方正黑体_GBK" w:cs="宋体"/>
          <w:color w:val="3D3D3D"/>
          <w:sz w:val="15"/>
          <w:szCs w:val="20"/>
        </w:rPr>
        <w:t>2.债券类资产</w:t>
      </w:r>
    </w:p>
    <w:p>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spacing w:line="200" w:lineRule="exact"/>
        <w:ind w:firstLine="280"/>
        <w:jc w:val="left"/>
      </w:pPr>
      <w:r>
        <w:rPr>
          <w:rFonts w:ascii="方正黑体_GBK" w:hAnsi="方正黑体_GBK" w:eastAsia="方正黑体_GBK" w:cs="宋体"/>
          <w:color w:val="3D3D3D"/>
          <w:sz w:val="15"/>
          <w:szCs w:val="20"/>
        </w:rPr>
        <w:t>3.非标准化债权类资产</w:t>
      </w:r>
    </w:p>
    <w:p>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spacing w:line="200" w:lineRule="exact"/>
        <w:ind w:firstLine="280"/>
        <w:jc w:val="left"/>
      </w:pPr>
      <w:r>
        <w:rPr>
          <w:rFonts w:ascii="方正黑体_GBK" w:hAnsi="方正黑体_GBK" w:eastAsia="方正黑体_GBK" w:cs="宋体"/>
          <w:color w:val="3D3D3D"/>
          <w:sz w:val="15"/>
          <w:szCs w:val="20"/>
        </w:rPr>
        <w:t>4.证券投资基金</w:t>
      </w:r>
    </w:p>
    <w:p>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spacing w:line="200" w:lineRule="exact"/>
        <w:ind w:firstLine="280"/>
        <w:jc w:val="left"/>
      </w:pPr>
      <w:r>
        <w:rPr>
          <w:rFonts w:ascii="方正黑体_GBK" w:hAnsi="方正黑体_GBK" w:eastAsia="方正黑体_GBK" w:cs="宋体"/>
          <w:color w:val="3D3D3D"/>
          <w:sz w:val="15"/>
          <w:szCs w:val="20"/>
        </w:rPr>
        <w:t>5.股权类资产</w:t>
      </w:r>
    </w:p>
    <w:p>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spacing w:line="200" w:lineRule="exact"/>
        <w:ind w:firstLine="280"/>
        <w:jc w:val="left"/>
      </w:pPr>
      <w:r>
        <w:rPr>
          <w:rFonts w:ascii="方正黑体_GBK" w:hAnsi="方正黑体_GBK" w:eastAsia="方正黑体_GBK" w:cs="宋体"/>
          <w:color w:val="3D3D3D"/>
          <w:sz w:val="15"/>
          <w:szCs w:val="20"/>
        </w:rPr>
        <w:t>6.资管计划、信托计划等资产</w:t>
      </w:r>
    </w:p>
    <w:p>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pPr>
        <w:spacing w:line="200" w:lineRule="exact"/>
        <w:ind w:firstLine="280"/>
        <w:jc w:val="left"/>
      </w:pPr>
      <w:r>
        <w:rPr>
          <w:rFonts w:ascii="方正黑体_GBK" w:hAnsi="方正黑体_GBK" w:eastAsia="方正黑体_GBK" w:cs="宋体"/>
          <w:color w:val="3D3D3D"/>
          <w:sz w:val="15"/>
          <w:szCs w:val="20"/>
        </w:rPr>
        <w:t>7.其他资产</w:t>
      </w:r>
    </w:p>
    <w:p>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spacing w:line="200" w:lineRule="exact"/>
        <w:ind w:firstLine="300"/>
        <w:jc w:val="both"/>
      </w:pPr>
      <w:r>
        <w:rPr>
          <w:rFonts w:ascii="方正黑体_GBK" w:hAnsi="方正黑体_GBK" w:eastAsia="方正黑体_GBK" w:cs="宋体"/>
          <w:sz w:val="15"/>
          <w:szCs w:val="20"/>
        </w:rPr>
        <w:t>（六）估值错误及暂停估值</w:t>
      </w:r>
    </w:p>
    <w:p>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pPr>
        <w:pStyle w:val="30"/>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03D62ECE"/>
    <w:multiLevelType w:val="multilevel"/>
    <w:tmpl w:val="03D62ECE"/>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25B654F3"/>
    <w:multiLevelType w:val="multilevel"/>
    <w:tmpl w:val="25B654F3"/>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3">
    <w:nsid w:val="72183CF9"/>
    <w:multiLevelType w:val="multilevel"/>
    <w:tmpl w:val="72183CF9"/>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docVars>
    <w:docVar w:name="commondata" w:val="eyJoZGlkIjoiM2M1ZGZjZGI0NDAxNWRlYTU1MDQzODcxYWQzMWNkMWYifQ=="/>
  </w:docVars>
  <w:rsids>
    <w:rsidRoot w:val="00000000"/>
    <w:rsid w:val="2ACE7A63"/>
    <w:rsid w:val="72B712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qFormat/>
    <w:uiPriority w:val="0"/>
    <w:pPr>
      <w:ind w:left="1680"/>
    </w:pPr>
  </w:style>
  <w:style w:type="paragraph" w:styleId="6">
    <w:name w:val="toc 3"/>
    <w:basedOn w:val="1"/>
    <w:next w:val="1"/>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qFormat/>
    <w:uiPriority w:val="0"/>
  </w:style>
  <w:style w:type="paragraph" w:styleId="10">
    <w:name w:val="toc 4"/>
    <w:basedOn w:val="1"/>
    <w:next w:val="1"/>
    <w:qFormat/>
    <w:uiPriority w:val="0"/>
    <w:pPr>
      <w:ind w:left="1260"/>
    </w:pPr>
  </w:style>
  <w:style w:type="paragraph" w:styleId="11">
    <w:name w:val="toc 2"/>
    <w:basedOn w:val="1"/>
    <w:next w:val="1"/>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687e4d4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3bfcccf6"/>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738963d3"/>
    <w:basedOn w:val="16"/>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a684a888"/>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f2029753"/>
    <w:qFormat/>
    <w:uiPriority w:val="0"/>
  </w:style>
  <w:style w:type="paragraph" w:customStyle="1" w:styleId="21">
    <w:name w:val="toc 127d01189"/>
    <w:basedOn w:val="16"/>
    <w:next w:val="1"/>
    <w:qFormat/>
    <w:uiPriority w:val="0"/>
  </w:style>
  <w:style w:type="paragraph" w:customStyle="1" w:styleId="22">
    <w:name w:val="toc 2c311bef7"/>
    <w:basedOn w:val="16"/>
    <w:next w:val="1"/>
    <w:qFormat/>
    <w:uiPriority w:val="0"/>
    <w:pPr>
      <w:ind w:left="420"/>
    </w:pPr>
  </w:style>
  <w:style w:type="paragraph" w:customStyle="1" w:styleId="23">
    <w:name w:val="toc 3459200ea"/>
    <w:basedOn w:val="16"/>
    <w:next w:val="1"/>
    <w:qFormat/>
    <w:uiPriority w:val="0"/>
    <w:pPr>
      <w:ind w:left="840"/>
    </w:pPr>
  </w:style>
  <w:style w:type="paragraph" w:customStyle="1" w:styleId="24">
    <w:name w:val="toc 45fa399bf"/>
    <w:basedOn w:val="16"/>
    <w:next w:val="1"/>
    <w:qFormat/>
    <w:uiPriority w:val="0"/>
    <w:pPr>
      <w:ind w:left="1260"/>
    </w:pPr>
  </w:style>
  <w:style w:type="paragraph" w:customStyle="1" w:styleId="25">
    <w:name w:val="toc 56fac4997"/>
    <w:basedOn w:val="16"/>
    <w:next w:val="1"/>
    <w:qFormat/>
    <w:uiPriority w:val="0"/>
    <w:pPr>
      <w:ind w:left="1680"/>
    </w:pPr>
  </w:style>
  <w:style w:type="paragraph" w:customStyle="1" w:styleId="26">
    <w:name w:val="headerc873a3d1"/>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aca5f3de"/>
    <w:basedOn w:val="16"/>
    <w:qFormat/>
    <w:uiPriority w:val="0"/>
    <w:pPr>
      <w:tabs>
        <w:tab w:val="center" w:pos="4153"/>
        <w:tab w:val="right" w:pos="8307"/>
      </w:tabs>
      <w:adjustRightInd/>
      <w:snapToGrid w:val="0"/>
      <w:contextualSpacing w:val="0"/>
      <w:jc w:val="left"/>
    </w:pPr>
    <w:rPr>
      <w:sz w:val="18"/>
    </w:rPr>
  </w:style>
  <w:style w:type="character" w:customStyle="1" w:styleId="28">
    <w:name w:val="Stronge3a543ff"/>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cbf03b2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a04b9498"/>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aa7ca653"/>
    <w:basedOn w:val="30"/>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b91eb86f"/>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d1a97c49"/>
    <w:qFormat/>
    <w:uiPriority w:val="0"/>
  </w:style>
  <w:style w:type="paragraph" w:customStyle="1" w:styleId="35">
    <w:name w:val="Normal Indent3e0de2b5"/>
    <w:basedOn w:val="30"/>
    <w:qFormat/>
    <w:uiPriority w:val="0"/>
    <w:pPr>
      <w:ind w:firstLine="200" w:firstLineChars="200"/>
    </w:pPr>
  </w:style>
  <w:style w:type="paragraph" w:customStyle="1" w:styleId="36">
    <w:name w:val="toc 5c5e9b67e"/>
    <w:basedOn w:val="30"/>
    <w:next w:val="1"/>
    <w:qFormat/>
    <w:uiPriority w:val="0"/>
    <w:pPr>
      <w:ind w:left="1680"/>
    </w:pPr>
  </w:style>
  <w:style w:type="paragraph" w:customStyle="1" w:styleId="37">
    <w:name w:val="toc 348c76eec"/>
    <w:basedOn w:val="30"/>
    <w:next w:val="1"/>
    <w:qFormat/>
    <w:uiPriority w:val="0"/>
    <w:pPr>
      <w:ind w:left="840"/>
    </w:pPr>
  </w:style>
  <w:style w:type="paragraph" w:customStyle="1" w:styleId="38">
    <w:name w:val="footerd59609d7"/>
    <w:basedOn w:val="30"/>
    <w:qFormat/>
    <w:uiPriority w:val="0"/>
    <w:pPr>
      <w:tabs>
        <w:tab w:val="center" w:pos="4153"/>
        <w:tab w:val="right" w:pos="8307"/>
      </w:tabs>
      <w:adjustRightInd/>
      <w:snapToGrid w:val="0"/>
      <w:contextualSpacing w:val="0"/>
      <w:jc w:val="left"/>
    </w:pPr>
    <w:rPr>
      <w:sz w:val="18"/>
    </w:rPr>
  </w:style>
  <w:style w:type="paragraph" w:customStyle="1" w:styleId="39">
    <w:name w:val="header36ebcab2"/>
    <w:basedOn w:val="30"/>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03be5d90"/>
    <w:basedOn w:val="30"/>
    <w:next w:val="1"/>
    <w:qFormat/>
    <w:uiPriority w:val="0"/>
  </w:style>
  <w:style w:type="paragraph" w:customStyle="1" w:styleId="41">
    <w:name w:val="toc 4b1459a31"/>
    <w:basedOn w:val="30"/>
    <w:next w:val="1"/>
    <w:qFormat/>
    <w:uiPriority w:val="0"/>
    <w:pPr>
      <w:ind w:left="1260"/>
    </w:pPr>
  </w:style>
  <w:style w:type="paragraph" w:customStyle="1" w:styleId="42">
    <w:name w:val="toc 2a4d92580"/>
    <w:basedOn w:val="30"/>
    <w:next w:val="1"/>
    <w:qFormat/>
    <w:uiPriority w:val="0"/>
    <w:pPr>
      <w:ind w:left="420"/>
    </w:pPr>
  </w:style>
  <w:style w:type="paragraph" w:customStyle="1" w:styleId="43">
    <w:name w:val="Normal (Web)47dd069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608f222a608f222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6aeb93c76aeb93c7"/>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3155ebae3155ebae"/>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0ff6ba560ff6ba56"/>
    <w:basedOn w:val="4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49ff735249ff7352"/>
    <w:qFormat/>
    <w:uiPriority w:val="0"/>
  </w:style>
  <w:style w:type="paragraph" w:customStyle="1" w:styleId="50">
    <w:name w:val="引文目录1dd0c614add0c614a"/>
    <w:basedOn w:val="45"/>
    <w:next w:val="1"/>
    <w:qFormat/>
    <w:uiPriority w:val="0"/>
    <w:pPr>
      <w:ind w:left="200" w:leftChars="200"/>
    </w:pPr>
  </w:style>
  <w:style w:type="paragraph" w:customStyle="1" w:styleId="51">
    <w:name w:val="toc 5f5295bf2f5295bf2"/>
    <w:basedOn w:val="45"/>
    <w:next w:val="1"/>
    <w:qFormat/>
    <w:uiPriority w:val="0"/>
    <w:pPr>
      <w:ind w:left="1680"/>
    </w:pPr>
  </w:style>
  <w:style w:type="paragraph" w:customStyle="1" w:styleId="52">
    <w:name w:val="toc 316d77a4a16d77a4a"/>
    <w:basedOn w:val="45"/>
    <w:next w:val="1"/>
    <w:uiPriority w:val="0"/>
    <w:pPr>
      <w:ind w:left="840"/>
    </w:pPr>
  </w:style>
  <w:style w:type="paragraph" w:customStyle="1" w:styleId="53">
    <w:name w:val="footerbf5184e4bf5184e4"/>
    <w:basedOn w:val="45"/>
    <w:qFormat/>
    <w:uiPriority w:val="0"/>
    <w:pPr>
      <w:tabs>
        <w:tab w:val="center" w:pos="4153"/>
        <w:tab w:val="right" w:pos="8307"/>
      </w:tabs>
      <w:adjustRightInd/>
      <w:snapToGrid w:val="0"/>
      <w:contextualSpacing w:val="0"/>
      <w:jc w:val="left"/>
    </w:pPr>
    <w:rPr>
      <w:sz w:val="18"/>
    </w:rPr>
  </w:style>
  <w:style w:type="paragraph" w:customStyle="1" w:styleId="54">
    <w:name w:val="headerff73c164ff73c164"/>
    <w:basedOn w:val="4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d29efdeed29efdee"/>
    <w:basedOn w:val="45"/>
    <w:next w:val="1"/>
    <w:qFormat/>
    <w:uiPriority w:val="0"/>
  </w:style>
  <w:style w:type="paragraph" w:customStyle="1" w:styleId="56">
    <w:name w:val="toc 44251891b4251891b"/>
    <w:basedOn w:val="45"/>
    <w:next w:val="1"/>
    <w:qFormat/>
    <w:uiPriority w:val="0"/>
    <w:pPr>
      <w:ind w:left="1260"/>
    </w:pPr>
  </w:style>
  <w:style w:type="paragraph" w:customStyle="1" w:styleId="57">
    <w:name w:val="toc 2ac289471ac289471"/>
    <w:basedOn w:val="45"/>
    <w:next w:val="1"/>
    <w:qFormat/>
    <w:uiPriority w:val="0"/>
    <w:pPr>
      <w:ind w:left="420"/>
    </w:pPr>
  </w:style>
  <w:style w:type="paragraph" w:customStyle="1" w:styleId="58">
    <w:name w:val="列出段落19324bff79324bff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21</Pages>
  <Words>39319</Words>
  <Characters>40649</Characters>
  <Lines>81</Lines>
  <Paragraphs>27</Paragraphs>
  <TotalTime>1</TotalTime>
  <ScaleCrop>false</ScaleCrop>
  <LinksUpToDate>false</LinksUpToDate>
  <CharactersWithSpaces>40817</CharactersWithSpaces>
  <Application>WPS Office_11.1.0.12763_F1E327BC-269C-435d-A152-05C5408002CA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高冬星</cp:lastModifiedBy>
  <dcterms:modified xsi:type="dcterms:W3CDTF">2025-04-21T02:24:48Z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02AEF6DED8204361AEB85E71A6BDE641</vt:lpwstr>
  </property>
</Properties>
</file>