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d2e93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d2e93d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cd07e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cd07e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9389e3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南银理财珠联璧合鑫逸稳半年119期封闭式公募人民币理财产品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ZZ700322500057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A份额：Y70119</w:t>
            </w:r>
          </w:p>
          <w:p>
            <w:pPr>
              <w:pStyle w:val="null10"/>
              <w:spacing w:lineRule="exact" w:line="200"/>
            </w:pPr>
            <w:r>
              <w:rPr>
                <w:rFonts w:ascii="方正黑体_GBK" w:hAnsi="方正黑体_GBK" w:cs="宋体" w:eastAsia="方正黑体_GBK"/>
                <w:sz w:val="18"/>
                <w:szCs w:val="18"/>
              </w:rPr>
              <w:t>B份额：Y71119</w:t>
            </w:r>
          </w:p>
          <w:p>
            <w:pPr>
              <w:pStyle w:val="null10"/>
              <w:spacing w:lineRule="exact" w:line="200"/>
            </w:pPr>
            <w:r>
              <w:rPr>
                <w:rFonts w:ascii="方正黑体_GBK" w:hAnsi="方正黑体_GBK" w:cs="宋体" w:eastAsia="方正黑体_GBK"/>
                <w:sz w:val="18"/>
                <w:szCs w:val="18"/>
              </w:rPr>
              <w:t>C份额：Y72119</w:t>
            </w:r>
          </w:p>
          <w:p>
            <w:pPr>
              <w:pStyle w:val="null10"/>
              <w:spacing w:lineRule="exact" w:line="200"/>
            </w:pPr>
            <w:r>
              <w:rPr>
                <w:rFonts w:ascii="方正黑体_GBK" w:hAnsi="方正黑体_GBK" w:cs="宋体" w:eastAsia="方正黑体_GBK"/>
                <w:sz w:val="18"/>
                <w:szCs w:val="18"/>
              </w:rPr>
              <w:t>D份额：Y73119</w:t>
            </w:r>
          </w:p>
          <w:p>
            <w:pPr>
              <w:pStyle w:val="null10"/>
              <w:spacing w:lineRule="exact" w:line="200"/>
            </w:pPr>
            <w:r>
              <w:rPr>
                <w:rFonts w:ascii="方正黑体_GBK" w:hAnsi="方正黑体_GBK" w:cs="宋体" w:eastAsia="方正黑体_GBK"/>
                <w:sz w:val="18"/>
                <w:szCs w:val="18"/>
              </w:rPr>
              <w:t>E份额：Y74119</w:t>
            </w:r>
          </w:p>
          <w:p>
            <w:pPr>
              <w:pStyle w:val="null10"/>
              <w:spacing w:lineRule="exact" w:line="200"/>
            </w:pPr>
            <w:r>
              <w:rPr>
                <w:rFonts w:ascii="方正黑体_GBK" w:hAnsi="方正黑体_GBK" w:cs="宋体" w:eastAsia="方正黑体_GBK"/>
                <w:sz w:val="18"/>
                <w:szCs w:val="18"/>
              </w:rPr>
              <w:t>F份额：Y75119</w:t>
            </w:r>
          </w:p>
          <w:p>
            <w:pPr>
              <w:pStyle w:val="null10"/>
              <w:spacing w:lineRule="exact" w:line="200"/>
            </w:pPr>
            <w:r>
              <w:rPr>
                <w:rFonts w:ascii="方正黑体_GBK" w:hAnsi="方正黑体_GBK" w:cs="宋体" w:eastAsia="方正黑体_GBK"/>
                <w:sz w:val="18"/>
                <w:szCs w:val="18"/>
              </w:rPr>
              <w:t>L份额：YB70119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A份额：除B、C、D、E、F、L份额以外的所有客户（详见“销售机构”条款）。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大众客群)、温州银行股份有限公司、浙江民泰商业银行股份有限公司、广州银行股份有限公司、江苏常熟农村商业银行股份有限公司(专属客户)、江苏苏州农村商业银行股份有限公司(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天津农村商业银行股份有限公司(滨海分行专属)、中原银行股份有限公司(县域客群专属)、富邦华一银行有限公司、桂林银行股份有限公司(常规客户)、宁波通商银行股份有限公司(零售客群)、石嘴山银行股份有限公司( 分行特供)、兴业银行股份有限公司、江苏镇江农村商业银行股份有限公司( 20万元起购)、江苏如皋农村商业银行股份有限公司( 代发客户)、江苏紫金农村商业银行股份有限公司(起点金额30万元以上)。</w:t>
            </w:r>
          </w:p>
          <w:p>
            <w:pPr>
              <w:pStyle w:val="null10"/>
              <w:spacing w:lineRule="exact" w:line="200"/>
            </w:pPr>
            <w:r>
              <w:rPr>
                <w:rFonts w:ascii="方正黑体_GBK" w:hAnsi="方正黑体_GBK" w:cs="宋体" w:eastAsia="方正黑体_GBK"/>
                <w:sz w:val="18"/>
                <w:szCs w:val="18"/>
              </w:rPr>
              <w:t>C份额：南京银行股份有限公司、杭州银行股份有限公司( 私行客群)、昆山鹿城村镇银行股份有限公司、天津农村商业银行股份有限公司(军人客户)、山西银行股份有限公司(30万元起购)、兰州银行股份有限公司、桂林银行股份有限公司(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E份额：湖北银行股份有限公司。</w:t>
            </w:r>
          </w:p>
          <w:p>
            <w:pPr>
              <w:pStyle w:val="null10"/>
              <w:spacing w:lineRule="exact" w:line="200"/>
            </w:pPr>
            <w:r>
              <w:rPr>
                <w:rFonts w:ascii="方正黑体_GBK" w:hAnsi="方正黑体_GBK" w:cs="宋体" w:eastAsia="方正黑体_GBK"/>
                <w:sz w:val="18"/>
                <w:szCs w:val="18"/>
              </w:rPr>
              <w:t>F份额：兴业银行股份有限公司（常规客户）。</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2025年10月22日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E份额：业绩比较基准为2.53%(年化)。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E份额：固定管理费年化0.18%</w:t>
            </w:r>
          </w:p>
          <w:p>
            <w:pPr>
              <w:pStyle w:val="null10"/>
              <w:spacing w:lineRule="exact" w:line="200"/>
            </w:pPr>
            <w:r>
              <w:rPr>
                <w:rFonts w:ascii="方正黑体_GBK" w:hAnsi="方正黑体_GBK" w:cs="宋体" w:eastAsia="方正黑体_GBK"/>
                <w:sz w:val="18"/>
                <w:b/>
                <w:szCs w:val="18"/>
              </w:rPr>
              <w:t>F份额：固定管理费年化0.18%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cd07ec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a0a75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a0a753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a0a753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a0a753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a0a753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a0a753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a0a753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a0a753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南银理财珠联璧合鑫逸稳半年119期封闭式公募人民币理财产品</w:t>
      </w:r>
      <w:r>
        <w:rPr>
          <w:rFonts w:ascii="方正黑体_GBK" w:eastAsia="方正黑体_GBK" w:hint="eastAsia" w:hAnsi="方正黑体_GBK"/>
          <w:vanish w:val="0"/>
          <w:color w:val="3D3D3D"/>
          <w:kern w:val="0"/>
          <w:sz w:val="15"/>
          <w:szCs w:val="15"/>
        </w:rPr>
        <w:t>。</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a0a753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a0a753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a0a753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a0a753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83e3ba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a0a753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a0a753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a0a753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83e3ba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cd07ece"/>
        <w:keepNext w:val="0"/>
        <w:keepLines w:val="0"/>
        <w:pageBreakBefore w:val="0"/>
        <w:widowControl/>
        <w:suppressLineNumbers w:val="0"/>
        <w:suppressAutoHyphens w:val="0"/>
        <w:spacing w:line="200" w:lineRule="exact"/>
        <w:ind w:firstLineChars="200" w:firstLine="300"/>
        <w:rPr>
          <w:rStyle w:val="b83e3ba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cd07e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cd07e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cd07e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cd07e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cd07e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cd07e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cd07e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cd07ec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d2e93da">
    <w:name w:val="Normal3d2e93d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b053019">
    <w:name w:val="heading 14b053019"/>
    <w:basedOn w:val="3d2e93d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0918f36">
    <w:name w:val="heading 2c0918f36"/>
    <w:basedOn w:val="3d2e93d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ed19889">
    <w:name w:val="heading 3ded19889"/>
    <w:basedOn w:val="3d2e93d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45bddb2">
    <w:name w:val="Default Paragraph Font145bddb2"/>
  </w:style>
  <w:style xmlns:r="http://schemas.openxmlformats.org/officeDocument/2006/relationships" w:type="paragraph" w:styleId="d6c535b6">
    <w:name w:val="toc 1d6c535b6"/>
    <w:basedOn w:val="3d2e93da"/>
    <w:autoRedefine/>
    <w:next w:val="0"/>
  </w:style>
  <w:style xmlns:r="http://schemas.openxmlformats.org/officeDocument/2006/relationships" w:type="paragraph" w:styleId="d6cad73e">
    <w:name w:val="toc 2d6cad73e"/>
    <w:basedOn w:val="3d2e93da"/>
    <w:autoRedefine/>
    <w:next w:val="0"/>
    <w:pPr>
      <w:ind w:left="420"/>
    </w:pPr>
  </w:style>
  <w:style xmlns:r="http://schemas.openxmlformats.org/officeDocument/2006/relationships" w:type="paragraph" w:styleId="0226e55a">
    <w:name w:val="toc 30226e55a"/>
    <w:basedOn w:val="3d2e93da"/>
    <w:autoRedefine/>
    <w:next w:val="0"/>
    <w:pPr>
      <w:ind w:left="840"/>
    </w:pPr>
  </w:style>
  <w:style xmlns:r="http://schemas.openxmlformats.org/officeDocument/2006/relationships" w:type="paragraph" w:styleId="c919072f">
    <w:name w:val="toc 4c919072f"/>
    <w:basedOn w:val="3d2e93da"/>
    <w:autoRedefine/>
    <w:next w:val="0"/>
    <w:pPr>
      <w:ind w:left="1260"/>
    </w:pPr>
  </w:style>
  <w:style xmlns:r="http://schemas.openxmlformats.org/officeDocument/2006/relationships" w:type="paragraph" w:styleId="2392dd3a">
    <w:name w:val="toc 52392dd3a"/>
    <w:basedOn w:val="3d2e93da"/>
    <w:autoRedefine/>
    <w:next w:val="0"/>
    <w:pPr>
      <w:ind w:left="1680"/>
    </w:pPr>
  </w:style>
  <w:style xmlns:r="http://schemas.openxmlformats.org/officeDocument/2006/relationships" w:type="paragraph" w:styleId="0ac0363b">
    <w:name w:val="header0ac0363b"/>
    <w:basedOn w:val="3d2e93d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0e80393">
    <w:name w:val="footer90e80393"/>
    <w:basedOn w:val="3d2e93da"/>
    <w:pPr>
      <w:tabs>
        <w:tab w:val="center" w:pos="4153"/>
        <w:tab w:val="right" w:pos="8307"/>
      </w:tabs>
      <w:adjustRightInd/>
      <w:snapToGrid w:val="0"/>
      <w:contextualSpacing w:val="0"/>
      <w:jc w:val="left"/>
    </w:pPr>
    <w:rPr>
      <w:sz w:val="18"/>
    </w:rPr>
  </w:style>
  <w:style xmlns:r="http://schemas.openxmlformats.org/officeDocument/2006/relationships" w:type="character" w:styleId="990ae5f4">
    <w:name w:val="Strong990ae5f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cd07ece">
    <w:name w:val="Normal1cd07ec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e94071b">
    <w:name w:val="heading 1ee94071b"/>
    <w:basedOn w:val="1cd07ec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ff3c2af">
    <w:name w:val="heading 26ff3c2af"/>
    <w:basedOn w:val="1cd07ec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8351a5f">
    <w:name w:val="heading 378351a5f"/>
    <w:basedOn w:val="1cd07ec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d1b7393">
    <w:name w:val="Default Paragraph Font4d1b7393"/>
  </w:style>
  <w:style xmlns:r="http://schemas.openxmlformats.org/officeDocument/2006/relationships" w:type="paragraph" w:styleId="27c6c61d">
    <w:name w:val="Normal Indent27c6c61d"/>
    <w:basedOn w:val="1cd07ece"/>
    <w:pPr>
      <w:ind w:firstLineChars="200" w:firstLine="200"/>
    </w:pPr>
  </w:style>
  <w:style xmlns:r="http://schemas.openxmlformats.org/officeDocument/2006/relationships" w:type="paragraph" w:styleId="3d359a2d">
    <w:name w:val="toc 53d359a2d"/>
    <w:basedOn w:val="1cd07ece"/>
    <w:next w:val="0"/>
    <w:pPr>
      <w:ind w:left="1680"/>
    </w:pPr>
  </w:style>
  <w:style xmlns:r="http://schemas.openxmlformats.org/officeDocument/2006/relationships" w:type="paragraph" w:styleId="b8f0885a">
    <w:name w:val="toc 3b8f0885a"/>
    <w:basedOn w:val="1cd07ece"/>
    <w:next w:val="0"/>
    <w:pPr>
      <w:ind w:left="840"/>
    </w:pPr>
  </w:style>
  <w:style xmlns:r="http://schemas.openxmlformats.org/officeDocument/2006/relationships" w:type="paragraph" w:styleId="7939f427">
    <w:name w:val="footer7939f427"/>
    <w:basedOn w:val="1cd07ece"/>
    <w:pPr>
      <w:tabs>
        <w:tab w:val="center" w:pos="4153"/>
        <w:tab w:val="right" w:pos="8307"/>
      </w:tabs>
      <w:adjustRightInd/>
      <w:snapToGrid w:val="0"/>
      <w:contextualSpacing w:val="0"/>
      <w:jc w:val="left"/>
    </w:pPr>
    <w:rPr>
      <w:sz w:val="18"/>
    </w:rPr>
  </w:style>
  <w:style xmlns:r="http://schemas.openxmlformats.org/officeDocument/2006/relationships" w:type="paragraph" w:styleId="38277c31">
    <w:name w:val="header38277c31"/>
    <w:basedOn w:val="1cd07ec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0dee991">
    <w:name w:val="toc 170dee991"/>
    <w:basedOn w:val="1cd07ece"/>
    <w:next w:val="0"/>
  </w:style>
  <w:style xmlns:r="http://schemas.openxmlformats.org/officeDocument/2006/relationships" w:type="paragraph" w:styleId="7d4b86da">
    <w:name w:val="toc 47d4b86da"/>
    <w:basedOn w:val="1cd07ece"/>
    <w:next w:val="0"/>
    <w:pPr>
      <w:ind w:left="1260"/>
    </w:pPr>
  </w:style>
  <w:style xmlns:r="http://schemas.openxmlformats.org/officeDocument/2006/relationships" w:type="paragraph" w:styleId="6fc6f38e">
    <w:name w:val="toc 26fc6f38e"/>
    <w:basedOn w:val="1cd07ece"/>
    <w:next w:val="0"/>
    <w:pPr>
      <w:ind w:left="420"/>
    </w:pPr>
  </w:style>
  <w:style xmlns:r="http://schemas.openxmlformats.org/officeDocument/2006/relationships" w:type="paragraph" w:styleId="29389e33">
    <w:name w:val="Normal (Web)29389e3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a0a7538">
    <w:name w:val="Normal8a0a75388a0a753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8bf1a6b">
    <w:name w:val="heading 1b8bf1a6bb8bf1a6b"/>
    <w:basedOn w:val="8a0a753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7c2b065">
    <w:name w:val="heading 207c2b06507c2b065"/>
    <w:basedOn w:val="8a0a753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c504c82">
    <w:name w:val="heading 35c504c825c504c82"/>
    <w:basedOn w:val="8a0a753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e35c12">
    <w:name w:val="Default Paragraph Fontbbe35c12bbe35c12"/>
  </w:style>
  <w:style xmlns:r="http://schemas.openxmlformats.org/officeDocument/2006/relationships" w:type="paragraph" w:customStyle="1" w:styleId="030b1da8">
    <w:name w:val="引文目录1030b1da8030b1da8"/>
    <w:basedOn w:val="8a0a7538"/>
    <w:next w:val="0"/>
    <w:pPr>
      <w:ind w:leftChars="200" w:left="200"/>
    </w:pPr>
  </w:style>
  <w:style xmlns:r="http://schemas.openxmlformats.org/officeDocument/2006/relationships" w:type="paragraph" w:styleId="2ebedbf2">
    <w:name w:val="toc 52ebedbf22ebedbf2"/>
    <w:basedOn w:val="8a0a7538"/>
    <w:next w:val="0"/>
    <w:pPr>
      <w:ind w:left="1680"/>
    </w:pPr>
  </w:style>
  <w:style xmlns:r="http://schemas.openxmlformats.org/officeDocument/2006/relationships" w:type="paragraph" w:styleId="d00fd0ca">
    <w:name w:val="toc 3d00fd0cad00fd0ca"/>
    <w:basedOn w:val="8a0a7538"/>
    <w:next w:val="0"/>
    <w:pPr>
      <w:ind w:left="840"/>
    </w:pPr>
  </w:style>
  <w:style xmlns:r="http://schemas.openxmlformats.org/officeDocument/2006/relationships" w:type="paragraph" w:styleId="f64c091c">
    <w:name w:val="footerf64c091cf64c091c"/>
    <w:basedOn w:val="8a0a7538"/>
    <w:pPr>
      <w:tabs>
        <w:tab w:val="center" w:pos="4153"/>
        <w:tab w:val="right" w:pos="8307"/>
      </w:tabs>
      <w:adjustRightInd/>
      <w:snapToGrid w:val="0"/>
      <w:contextualSpacing w:val="0"/>
      <w:jc w:val="left"/>
    </w:pPr>
    <w:rPr>
      <w:sz w:val="18"/>
    </w:rPr>
  </w:style>
  <w:style xmlns:r="http://schemas.openxmlformats.org/officeDocument/2006/relationships" w:type="paragraph" w:styleId="9fea372c">
    <w:name w:val="header9fea372c9fea372c"/>
    <w:basedOn w:val="8a0a753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cc2d22">
    <w:name w:val="toc 115cc2d2215cc2d22"/>
    <w:basedOn w:val="8a0a7538"/>
    <w:next w:val="0"/>
  </w:style>
  <w:style xmlns:r="http://schemas.openxmlformats.org/officeDocument/2006/relationships" w:type="paragraph" w:styleId="a390a662">
    <w:name w:val="toc 4a390a662a390a662"/>
    <w:basedOn w:val="8a0a7538"/>
    <w:next w:val="0"/>
    <w:pPr>
      <w:ind w:left="1260"/>
    </w:pPr>
  </w:style>
  <w:style xmlns:r="http://schemas.openxmlformats.org/officeDocument/2006/relationships" w:type="paragraph" w:styleId="2c64f47a">
    <w:name w:val="toc 22c64f47a2c64f47a"/>
    <w:basedOn w:val="8a0a7538"/>
    <w:next w:val="0"/>
    <w:pPr>
      <w:ind w:left="420"/>
    </w:pPr>
  </w:style>
  <w:style xmlns:r="http://schemas.openxmlformats.org/officeDocument/2006/relationships" w:type="paragraph" w:customStyle="1" w:styleId="b83e3ba8">
    <w:name w:val="列出段落1b83e3ba8b83e3ba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