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0840f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0840fa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417393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417393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7f784d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南银理财珠联璧合鑫逸稳三个月77期封闭式公募人民币理财产品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ZZ700322500053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Z7003225000083(投资者可依据该编码在中国理财网www.chinawealth.com.cn查询理财产品相关信息）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A份额：Y80077</w:t>
            </w:r>
          </w:p>
          <w:p>
            <w:pPr>
              <w:pStyle w:val="null10"/>
              <w:spacing w:lineRule="exact" w:line="200"/>
            </w:pPr>
            <w:r>
              <w:rPr>
                <w:rFonts w:ascii="方正黑体_GBK" w:hAnsi="方正黑体_GBK" w:cs="宋体" w:eastAsia="方正黑体_GBK"/>
                <w:sz w:val="18"/>
                <w:szCs w:val="18"/>
              </w:rPr>
              <w:t>B份额：Y81077</w:t>
            </w:r>
          </w:p>
          <w:p>
            <w:pPr>
              <w:pStyle w:val="null10"/>
              <w:spacing w:lineRule="exact" w:line="200"/>
            </w:pPr>
            <w:r>
              <w:rPr>
                <w:rFonts w:ascii="方正黑体_GBK" w:hAnsi="方正黑体_GBK" w:cs="宋体" w:eastAsia="方正黑体_GBK"/>
                <w:sz w:val="18"/>
                <w:szCs w:val="18"/>
              </w:rPr>
              <w:t>C份额：Y82077</w:t>
            </w:r>
          </w:p>
          <w:p>
            <w:pPr>
              <w:pStyle w:val="null10"/>
              <w:spacing w:lineRule="exact" w:line="200"/>
            </w:pPr>
            <w:r>
              <w:rPr>
                <w:rFonts w:ascii="方正黑体_GBK" w:hAnsi="方正黑体_GBK" w:cs="宋体" w:eastAsia="方正黑体_GBK"/>
                <w:sz w:val="18"/>
                <w:szCs w:val="18"/>
              </w:rPr>
              <w:t>E份额：Y84077</w:t>
            </w:r>
          </w:p>
          <w:p>
            <w:pPr>
              <w:pStyle w:val="null10"/>
              <w:spacing w:lineRule="exact" w:line="200"/>
            </w:pPr>
            <w:r>
              <w:rPr>
                <w:rFonts w:ascii="方正黑体_GBK" w:hAnsi="方正黑体_GBK" w:cs="宋体" w:eastAsia="方正黑体_GBK"/>
                <w:sz w:val="18"/>
                <w:szCs w:val="18"/>
              </w:rPr>
              <w:t>K份额：YA80077</w:t>
            </w:r>
          </w:p>
          <w:p>
            <w:pPr>
              <w:pStyle w:val="null10"/>
              <w:spacing w:lineRule="exact" w:line="200"/>
            </w:pPr>
            <w:r>
              <w:rPr>
                <w:rFonts w:ascii="方正黑体_GBK" w:hAnsi="方正黑体_GBK" w:cs="宋体" w:eastAsia="方正黑体_GBK"/>
                <w:sz w:val="18"/>
                <w:szCs w:val="18"/>
              </w:rPr>
              <w:t>L份额：YB80077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B份额：:南京银行股份有限公司(新客或新资金或代发客户)、青岛银行股份有限公司、汉口银行股份有限公司(20万元起购 )、烟台银行股份有限公司(工会卡 )、浙江民泰商业银行股份有限公司、河北银行股份有限公司(常规客户 )、日照银行股份有限公司( 大众客群)、潍坊银行股份有限公司、齐鲁银行股份有限公司(白金/私行客户)、台州银行股份有限公司( 普通客群)、天津农村商业银行股份有限公司(零售客群)、富邦华一银行有限公司、桂林银行股份有限公司( 常规客户)、兴业银行股份有限公司、江苏如皋农村商业银行股份有限公司( 代发客户)、江苏紫金农村商业银行股份有限公司( 起购金额30万)、江苏金湖农村商业银行股份有限公司(收单客户专享)。</w:t>
            </w:r>
          </w:p>
          <w:p>
            <w:pPr>
              <w:pStyle w:val="null10"/>
              <w:spacing w:lineRule="exact" w:line="200"/>
            </w:pPr>
            <w:r>
              <w:rPr>
                <w:rFonts w:ascii="方正黑体_GBK" w:hAnsi="方正黑体_GBK" w:cs="宋体" w:eastAsia="方正黑体_GBK"/>
                <w:sz w:val="18"/>
                <w:szCs w:val="18"/>
              </w:rPr>
              <w:t>C份额：青岛银行股份有限公司( 私行客户)、昆山鹿城村镇银行股份有限公司、江苏江南农村商业银行股份有限公司(专项客群)、郑州银行股份有限公司、苏州银行股份有限公司(新资金客户)、日照银行股份有限公司(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特邀客户)、江苏泰兴农村商业银行股份有限公司、江苏靖江农村商业银行股份有限公司、江苏金湖农村商业银行股份有限公司(社保卡客户专享)。</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p>
            <w:pPr>
              <w:pStyle w:val="null10"/>
              <w:spacing w:lineRule="exact" w:line="200"/>
            </w:pP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2025年07月17日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A份额：业绩比较基准为2.3%(年化)。</w:t>
            </w:r>
          </w:p>
          <w:p>
            <w:pPr>
              <w:pStyle w:val="null10"/>
              <w:spacing w:lineRule="exact" w:line="200"/>
            </w:pPr>
            <w:r>
              <w:rPr>
                <w:rFonts w:ascii="方正黑体_GBK" w:hAnsi="方正黑体_GBK" w:cs="宋体" w:eastAsia="方正黑体_GBK"/>
                <w:sz w:val="18"/>
                <w:szCs w:val="18"/>
              </w:rPr>
              <w:t>B份额：业绩比较基准为2.4%(年化)。</w:t>
            </w:r>
          </w:p>
          <w:p>
            <w:pPr>
              <w:pStyle w:val="null10"/>
              <w:spacing w:lineRule="exact" w:line="200"/>
            </w:pPr>
            <w:r>
              <w:rPr>
                <w:rFonts w:ascii="方正黑体_GBK" w:hAnsi="方正黑体_GBK" w:cs="宋体" w:eastAsia="方正黑体_GBK"/>
                <w:sz w:val="18"/>
                <w:szCs w:val="18"/>
              </w:rPr>
              <w:t>C份额：业绩比较基准为2.5%(年化)。</w:t>
            </w:r>
          </w:p>
          <w:p>
            <w:pPr>
              <w:pStyle w:val="null10"/>
              <w:spacing w:lineRule="exact" w:line="200"/>
            </w:pPr>
            <w:r>
              <w:rPr>
                <w:rFonts w:ascii="方正黑体_GBK" w:hAnsi="方正黑体_GBK" w:cs="宋体" w:eastAsia="方正黑体_GBK"/>
                <w:sz w:val="18"/>
                <w:szCs w:val="18"/>
              </w:rPr>
              <w:t>E份额：业绩比较基准为2.45%(年化)。</w:t>
            </w:r>
          </w:p>
          <w:p>
            <w:pPr>
              <w:pStyle w:val="null10"/>
              <w:spacing w:lineRule="exact" w:line="200"/>
            </w:pPr>
            <w:r>
              <w:rPr>
                <w:rFonts w:ascii="方正黑体_GBK" w:hAnsi="方正黑体_GBK" w:cs="宋体" w:eastAsia="方正黑体_GBK"/>
                <w:sz w:val="18"/>
                <w:szCs w:val="18"/>
              </w:rPr>
              <w:t>K份额：业绩比较基准为2.55%(年化)。</w:t>
            </w:r>
          </w:p>
          <w:p>
            <w:pPr>
              <w:pStyle w:val="null10"/>
              <w:spacing w:lineRule="exact" w:line="200"/>
            </w:pPr>
            <w:r>
              <w:rPr>
                <w:rFonts w:ascii="方正黑体_GBK" w:hAnsi="方正黑体_GBK" w:cs="宋体" w:eastAsia="方正黑体_GBK"/>
                <w:sz w:val="18"/>
                <w:szCs w:val="18"/>
              </w:rPr>
              <w:t>L份额：业绩比较基准为2.55%(年化)。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齐鲁银行股份有限公司、云南红塔银行股份有限公司、中原银行股份有限公司、天津农村商业银行股份有限公司、江苏紫金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无锡农村商业银行股份有限公司、石嘴山银行股份有限公司、江苏丹阳农村商业银行股份有限公司、江苏宜兴农村商业银行股份有限公司、江苏泰兴农村商业银行股份有限公司、江苏靖江农村商业银行股份有限公司、江苏建湖农村商业银行股份有限公司、江苏南通农村商业银行股份有限公司、江苏扬州农村商业银行股份有限公司、江苏江都农村商业银行股份有限公司、江苏大丰农村商业银行股份有限公司、江苏兴化农村商业银行股份有限公司、江苏如皋农村商业银行股份有限公司、徐州农村商业银行股份有限公司、江苏丰县农村商业银行股份有限公司、烟台银行股份有限公司、江苏泗洪农村商业银行股份有限公司、江苏张家港农村商业银行股份有限公司、江苏东海农村商业银行股份有限公司、河北银行股份有限公司、郑州银行股份有限公司、江苏姜堰农村商业银行股份有限公司、山西银行股份有限公司、兰州银行股份有限公司、江苏沛县农村商业银行股份有限公司、潍坊银行股份有限公司、交通银行股份有限公司、台州银行股份有限公司、浙江民泰商业银行股份有限公司、江苏仪征农村商业银行股份有限公司、昆山鹿城村镇银行股份有限公司、吉林银行股份有限公司、四川天府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417393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ddc638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ddc638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ddc63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ddc638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ddc63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ddc63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ddc63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ddc638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南银理财珠联璧合鑫逸稳三个月77期封闭式公募人民币理财产品</w:t>
      </w:r>
      <w:r>
        <w:rPr>
          <w:rFonts w:ascii="方正黑体_GBK" w:eastAsia="方正黑体_GBK" w:hint="eastAsia" w:hAnsi="方正黑体_GBK"/>
          <w:vanish w:val="0"/>
          <w:color w:val="3D3D3D"/>
          <w:kern w:val="0"/>
          <w:sz w:val="15"/>
          <w:szCs w:val="15"/>
        </w:rPr>
        <w:t>。</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ddc638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ddc63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ddc63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ddc63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36a6ef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36a6ef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36a6ef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36a6ef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36a6ef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36a6ef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ddc63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ddc63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ddc638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36a6ef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417393d"/>
        <w:keepNext w:val="0"/>
        <w:keepLines w:val="0"/>
        <w:pageBreakBefore w:val="0"/>
        <w:widowControl/>
        <w:suppressLineNumbers w:val="0"/>
        <w:suppressAutoHyphens w:val="0"/>
        <w:spacing w:line="200" w:lineRule="exact"/>
        <w:ind w:firstLineChars="200" w:firstLine="300"/>
        <w:rPr>
          <w:rStyle w:val="936a6ef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417393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417393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417393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417393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417393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417393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41739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417393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0840fa6">
    <w:name w:val="Normal60840fa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909caa0">
    <w:name w:val="heading 1a909caa0"/>
    <w:basedOn w:val="60840fa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f6f06d1">
    <w:name w:val="heading 28f6f06d1"/>
    <w:basedOn w:val="60840fa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f2f1d94">
    <w:name w:val="heading 3ff2f1d94"/>
    <w:basedOn w:val="60840fa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b289035">
    <w:name w:val="Default Paragraph Fontbb289035"/>
  </w:style>
  <w:style xmlns:r="http://schemas.openxmlformats.org/officeDocument/2006/relationships" w:type="paragraph" w:styleId="7c160c69">
    <w:name w:val="toc 17c160c69"/>
    <w:basedOn w:val="60840fa6"/>
    <w:autoRedefine/>
    <w:next w:val="0"/>
  </w:style>
  <w:style xmlns:r="http://schemas.openxmlformats.org/officeDocument/2006/relationships" w:type="paragraph" w:styleId="3278205f">
    <w:name w:val="toc 23278205f"/>
    <w:basedOn w:val="60840fa6"/>
    <w:autoRedefine/>
    <w:next w:val="0"/>
    <w:pPr>
      <w:ind w:left="420"/>
    </w:pPr>
  </w:style>
  <w:style xmlns:r="http://schemas.openxmlformats.org/officeDocument/2006/relationships" w:type="paragraph" w:styleId="b75eceb5">
    <w:name w:val="toc 3b75eceb5"/>
    <w:basedOn w:val="60840fa6"/>
    <w:autoRedefine/>
    <w:next w:val="0"/>
    <w:pPr>
      <w:ind w:left="840"/>
    </w:pPr>
  </w:style>
  <w:style xmlns:r="http://schemas.openxmlformats.org/officeDocument/2006/relationships" w:type="paragraph" w:styleId="414a5118">
    <w:name w:val="toc 4414a5118"/>
    <w:basedOn w:val="60840fa6"/>
    <w:autoRedefine/>
    <w:next w:val="0"/>
    <w:pPr>
      <w:ind w:left="1260"/>
    </w:pPr>
  </w:style>
  <w:style xmlns:r="http://schemas.openxmlformats.org/officeDocument/2006/relationships" w:type="paragraph" w:styleId="c0323026">
    <w:name w:val="toc 5c0323026"/>
    <w:basedOn w:val="60840fa6"/>
    <w:autoRedefine/>
    <w:next w:val="0"/>
    <w:pPr>
      <w:ind w:left="1680"/>
    </w:pPr>
  </w:style>
  <w:style xmlns:r="http://schemas.openxmlformats.org/officeDocument/2006/relationships" w:type="paragraph" w:styleId="636646ee">
    <w:name w:val="header636646ee"/>
    <w:basedOn w:val="60840fa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c6344e7">
    <w:name w:val="footer6c6344e7"/>
    <w:basedOn w:val="60840fa6"/>
    <w:pPr>
      <w:tabs>
        <w:tab w:val="center" w:pos="4153"/>
        <w:tab w:val="right" w:pos="8307"/>
      </w:tabs>
      <w:adjustRightInd/>
      <w:snapToGrid w:val="0"/>
      <w:contextualSpacing w:val="0"/>
      <w:jc w:val="left"/>
    </w:pPr>
    <w:rPr>
      <w:sz w:val="18"/>
    </w:rPr>
  </w:style>
  <w:style xmlns:r="http://schemas.openxmlformats.org/officeDocument/2006/relationships" w:type="character" w:styleId="5baba7cd">
    <w:name w:val="Strong5baba7c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417393d">
    <w:name w:val="Normal8417393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f2f8a01">
    <w:name w:val="heading 1ff2f8a01"/>
    <w:basedOn w:val="8417393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0232f71">
    <w:name w:val="heading 2b0232f71"/>
    <w:basedOn w:val="8417393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5619279">
    <w:name w:val="heading 375619279"/>
    <w:basedOn w:val="8417393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4c88e3b">
    <w:name w:val="Default Paragraph Fonta4c88e3b"/>
  </w:style>
  <w:style xmlns:r="http://schemas.openxmlformats.org/officeDocument/2006/relationships" w:type="paragraph" w:styleId="6516897c">
    <w:name w:val="Normal Indent6516897c"/>
    <w:basedOn w:val="8417393d"/>
    <w:pPr>
      <w:ind w:firstLineChars="200" w:firstLine="200"/>
    </w:pPr>
  </w:style>
  <w:style xmlns:r="http://schemas.openxmlformats.org/officeDocument/2006/relationships" w:type="paragraph" w:styleId="73be469d">
    <w:name w:val="toc 573be469d"/>
    <w:basedOn w:val="8417393d"/>
    <w:next w:val="0"/>
    <w:pPr>
      <w:ind w:left="1680"/>
    </w:pPr>
  </w:style>
  <w:style xmlns:r="http://schemas.openxmlformats.org/officeDocument/2006/relationships" w:type="paragraph" w:styleId="10326a8a">
    <w:name w:val="toc 310326a8a"/>
    <w:basedOn w:val="8417393d"/>
    <w:next w:val="0"/>
    <w:pPr>
      <w:ind w:left="840"/>
    </w:pPr>
  </w:style>
  <w:style xmlns:r="http://schemas.openxmlformats.org/officeDocument/2006/relationships" w:type="paragraph" w:styleId="1e866b74">
    <w:name w:val="footer1e866b74"/>
    <w:basedOn w:val="8417393d"/>
    <w:pPr>
      <w:tabs>
        <w:tab w:val="center" w:pos="4153"/>
        <w:tab w:val="right" w:pos="8307"/>
      </w:tabs>
      <w:adjustRightInd/>
      <w:snapToGrid w:val="0"/>
      <w:contextualSpacing w:val="0"/>
      <w:jc w:val="left"/>
    </w:pPr>
    <w:rPr>
      <w:sz w:val="18"/>
    </w:rPr>
  </w:style>
  <w:style xmlns:r="http://schemas.openxmlformats.org/officeDocument/2006/relationships" w:type="paragraph" w:styleId="1c1c6cfa">
    <w:name w:val="header1c1c6cfa"/>
    <w:basedOn w:val="8417393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a248b88">
    <w:name w:val="toc 10a248b88"/>
    <w:basedOn w:val="8417393d"/>
    <w:next w:val="0"/>
  </w:style>
  <w:style xmlns:r="http://schemas.openxmlformats.org/officeDocument/2006/relationships" w:type="paragraph" w:styleId="f832eb7e">
    <w:name w:val="toc 4f832eb7e"/>
    <w:basedOn w:val="8417393d"/>
    <w:next w:val="0"/>
    <w:pPr>
      <w:ind w:left="1260"/>
    </w:pPr>
  </w:style>
  <w:style xmlns:r="http://schemas.openxmlformats.org/officeDocument/2006/relationships" w:type="paragraph" w:styleId="00c07e9e">
    <w:name w:val="toc 200c07e9e"/>
    <w:basedOn w:val="8417393d"/>
    <w:next w:val="0"/>
    <w:pPr>
      <w:ind w:left="420"/>
    </w:pPr>
  </w:style>
  <w:style xmlns:r="http://schemas.openxmlformats.org/officeDocument/2006/relationships" w:type="paragraph" w:styleId="57f784d4">
    <w:name w:val="Normal (Web)57f784d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ddc638c">
    <w:name w:val="Normal5ddc638c5ddc638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68f7606">
    <w:name w:val="heading 1968f7606968f7606"/>
    <w:basedOn w:val="5ddc638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b602b1e">
    <w:name w:val="heading 20b602b1e0b602b1e"/>
    <w:basedOn w:val="5ddc638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4453900">
    <w:name w:val="heading 34445390044453900"/>
    <w:basedOn w:val="5ddc638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0ff0f58">
    <w:name w:val="Default Paragraph Font40ff0f5840ff0f58"/>
  </w:style>
  <w:style xmlns:r="http://schemas.openxmlformats.org/officeDocument/2006/relationships" w:type="paragraph" w:customStyle="1" w:styleId="012db260">
    <w:name w:val="引文目录1012db260012db260"/>
    <w:basedOn w:val="5ddc638c"/>
    <w:next w:val="0"/>
    <w:pPr>
      <w:ind w:leftChars="200" w:left="200"/>
    </w:pPr>
  </w:style>
  <w:style xmlns:r="http://schemas.openxmlformats.org/officeDocument/2006/relationships" w:type="paragraph" w:styleId="5ab01043">
    <w:name w:val="toc 55ab010435ab01043"/>
    <w:basedOn w:val="5ddc638c"/>
    <w:next w:val="0"/>
    <w:pPr>
      <w:ind w:left="1680"/>
    </w:pPr>
  </w:style>
  <w:style xmlns:r="http://schemas.openxmlformats.org/officeDocument/2006/relationships" w:type="paragraph" w:styleId="a2c52507">
    <w:name w:val="toc 3a2c52507a2c52507"/>
    <w:basedOn w:val="5ddc638c"/>
    <w:next w:val="0"/>
    <w:pPr>
      <w:ind w:left="840"/>
    </w:pPr>
  </w:style>
  <w:style xmlns:r="http://schemas.openxmlformats.org/officeDocument/2006/relationships" w:type="paragraph" w:styleId="0bd0bb6c">
    <w:name w:val="footer0bd0bb6c0bd0bb6c"/>
    <w:basedOn w:val="5ddc638c"/>
    <w:pPr>
      <w:tabs>
        <w:tab w:val="center" w:pos="4153"/>
        <w:tab w:val="right" w:pos="8307"/>
      </w:tabs>
      <w:adjustRightInd/>
      <w:snapToGrid w:val="0"/>
      <w:contextualSpacing w:val="0"/>
      <w:jc w:val="left"/>
    </w:pPr>
    <w:rPr>
      <w:sz w:val="18"/>
    </w:rPr>
  </w:style>
  <w:style xmlns:r="http://schemas.openxmlformats.org/officeDocument/2006/relationships" w:type="paragraph" w:styleId="213cc709">
    <w:name w:val="header213cc709213cc709"/>
    <w:basedOn w:val="5ddc638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f925977">
    <w:name w:val="toc 1cf925977cf925977"/>
    <w:basedOn w:val="5ddc638c"/>
    <w:next w:val="0"/>
  </w:style>
  <w:style xmlns:r="http://schemas.openxmlformats.org/officeDocument/2006/relationships" w:type="paragraph" w:styleId="ca1a7eaa">
    <w:name w:val="toc 4ca1a7eaaca1a7eaa"/>
    <w:basedOn w:val="5ddc638c"/>
    <w:next w:val="0"/>
    <w:pPr>
      <w:ind w:left="1260"/>
    </w:pPr>
  </w:style>
  <w:style xmlns:r="http://schemas.openxmlformats.org/officeDocument/2006/relationships" w:type="paragraph" w:styleId="7d200a70">
    <w:name w:val="toc 27d200a707d200a70"/>
    <w:basedOn w:val="5ddc638c"/>
    <w:next w:val="0"/>
    <w:pPr>
      <w:ind w:left="420"/>
    </w:pPr>
  </w:style>
  <w:style xmlns:r="http://schemas.openxmlformats.org/officeDocument/2006/relationships" w:type="paragraph" w:customStyle="1" w:styleId="936a6ef8">
    <w:name w:val="列出段落1936a6ef8936a6ef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