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99天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2436f3b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2436f3b2"/>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11353c3b"/>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11353c3b"/>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d0db9738"/>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南银理财珠联璧合鑫逸稳三个月60期封闭式公募人民币理财产品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ZZ700322400550</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Z7003224000273(投资者可依据该编码在中国理财网www.chinawealth.com.cn查询理财产品相关信息）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A份额：Y80060</w:t>
            </w:r>
          </w:p>
          <w:p>
            <w:pPr>
              <w:pStyle w:val="null10"/>
              <w:spacing w:lineRule="exact" w:line="200"/>
            </w:pPr>
            <w:r>
              <w:rPr>
                <w:rFonts w:ascii="方正黑体_GBK" w:hAnsi="方正黑体_GBK" w:cs="宋体" w:eastAsia="方正黑体_GBK"/>
                <w:sz w:val="18"/>
                <w:szCs w:val="18"/>
              </w:rPr>
              <w:t>B份额：Y81060</w:t>
            </w:r>
          </w:p>
          <w:p>
            <w:pPr>
              <w:pStyle w:val="null10"/>
              <w:spacing w:lineRule="exact" w:line="200"/>
            </w:pPr>
            <w:r>
              <w:rPr>
                <w:rFonts w:ascii="方正黑体_GBK" w:hAnsi="方正黑体_GBK" w:cs="宋体" w:eastAsia="方正黑体_GBK"/>
                <w:sz w:val="18"/>
                <w:szCs w:val="18"/>
              </w:rPr>
              <w:t>C份额：Y82060</w:t>
            </w:r>
          </w:p>
          <w:p>
            <w:pPr>
              <w:pStyle w:val="null10"/>
              <w:spacing w:lineRule="exact" w:line="200"/>
            </w:pPr>
            <w:r>
              <w:rPr>
                <w:rFonts w:ascii="方正黑体_GBK" w:hAnsi="方正黑体_GBK" w:cs="宋体" w:eastAsia="方正黑体_GBK"/>
                <w:sz w:val="18"/>
                <w:szCs w:val="18"/>
              </w:rPr>
              <w:t>D份额：Y83060</w:t>
            </w:r>
          </w:p>
          <w:p>
            <w:pPr>
              <w:pStyle w:val="null10"/>
              <w:spacing w:lineRule="exact" w:line="200"/>
            </w:pPr>
            <w:r>
              <w:rPr>
                <w:rFonts w:ascii="方正黑体_GBK" w:hAnsi="方正黑体_GBK" w:cs="宋体" w:eastAsia="方正黑体_GBK"/>
                <w:sz w:val="18"/>
                <w:szCs w:val="18"/>
              </w:rPr>
              <w:t>E份额：Y84060</w:t>
            </w:r>
          </w:p>
          <w:p>
            <w:pPr>
              <w:pStyle w:val="null10"/>
              <w:spacing w:lineRule="exact" w:line="200"/>
            </w:pPr>
            <w:r>
              <w:rPr>
                <w:rFonts w:ascii="方正黑体_GBK" w:hAnsi="方正黑体_GBK" w:cs="宋体" w:eastAsia="方正黑体_GBK"/>
                <w:sz w:val="18"/>
                <w:szCs w:val="18"/>
              </w:rPr>
              <w:t>F份额：Y85060</w:t>
            </w:r>
          </w:p>
          <w:p>
            <w:pPr>
              <w:pStyle w:val="null10"/>
              <w:spacing w:lineRule="exact" w:line="200"/>
            </w:pPr>
            <w:r>
              <w:rPr>
                <w:rFonts w:ascii="方正黑体_GBK" w:hAnsi="方正黑体_GBK" w:cs="宋体" w:eastAsia="方正黑体_GBK"/>
                <w:sz w:val="18"/>
                <w:szCs w:val="18"/>
              </w:rPr>
              <w:t>G份额：Y86060</w:t>
            </w:r>
          </w:p>
          <w:p>
            <w:pPr>
              <w:pStyle w:val="null10"/>
              <w:spacing w:lineRule="exact" w:line="200"/>
            </w:pPr>
            <w:r>
              <w:rPr>
                <w:rFonts w:ascii="方正黑体_GBK" w:hAnsi="方正黑体_GBK" w:cs="宋体" w:eastAsia="方正黑体_GBK"/>
                <w:sz w:val="18"/>
                <w:szCs w:val="18"/>
              </w:rPr>
              <w:t>H份额：Y87060</w:t>
            </w:r>
          </w:p>
          <w:p>
            <w:pPr>
              <w:pStyle w:val="null10"/>
              <w:spacing w:lineRule="exact" w:line="200"/>
            </w:pPr>
            <w:r>
              <w:rPr>
                <w:rFonts w:ascii="方正黑体_GBK" w:hAnsi="方正黑体_GBK" w:cs="宋体" w:eastAsia="方正黑体_GBK"/>
                <w:sz w:val="18"/>
                <w:szCs w:val="18"/>
              </w:rPr>
              <w:t>I份额：Y88060</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A份额：除B、C、D、E、F、G、H、I份额以外的所有客户（详见“销售机构”条款）。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大众客群）、温州银行股份有限公司、汉口银行股份有限公司（20万元起购）、浙江民泰商业银行股份有限公司、河北银行股份有限公司（常规客户）、江苏常熟农村商业银行股份有限公司（社保卡专项客户）、江苏苏州农村商业银行股份有限公司（社保卡专项客户）、苏州银行股份有限公司（零售客群）、日照银行股份有限公司（普通客户）、宁波东海股份有限公司（社保卡专项客户）、齐鲁银行股份有限公司（白金/私行客户。白金客户：零售金融资产100万以上客户、私行客户：零售金融资产600万以上客户）、台州银行股份有限公司（常规客户）、天津农村商业银行股份有限公司（社保卡专项客户）、云南红塔银行股份有限公司（普通客户）、甘肃银行股份有限公司、兴业银行股份有限公司（普通客户）、江苏如皋农村商业银行股份有限公司（代发客户）、江苏金湖农村商业银行股份有限公司（收单商户专享）。</w:t>
            </w:r>
          </w:p>
          <w:p>
            <w:pPr>
              <w:pStyle w:val="null10"/>
              <w:spacing w:lineRule="exact" w:line="200"/>
            </w:pPr>
            <w:r>
              <w:rPr>
                <w:rFonts w:ascii="方正黑体_GBK" w:hAnsi="方正黑体_GBK" w:cs="宋体" w:eastAsia="方正黑体_GBK"/>
                <w:sz w:val="18"/>
                <w:szCs w:val="18"/>
              </w:rPr>
              <w:t>C份额：南京银行股份有限公司（新客户、新资金（5万）客户）、青岛银行股份有限公司、江苏张家港农村商业银行股份有限公司、河北银行股份有限公司（10万以上客户）、江苏江南农村商业银行股份有限公司（专项客群）、郑州银行股份有限公司、苏州银行股份有限公司（零售专项客群）、日照银行股份有限公司（特邀客户）、天津农村商业银行股份有限公司（社保卡专项客户）、云南红塔银行股份有限公司（新客）、兰州银行股份有限公司、桂林银行股份有限公司（普通客户）、宁波通商银行股份有限公司（对公专项客户）、兴业银行股份有限公司（新客）、江苏泰兴农村商业银行股份有限公司、江苏靖江农村商业银行股份有限公司、江苏南通农村商业银行股份有限公司（企业客户专享）、江苏兴化农村商业银行股份有限公司、江苏紫金农村商业银行股份有限公司（起点金额30万）、江苏金湖农村商业银行股份有限公司（社保卡客户专享）、江苏如东农村商业银行股份有限公司。</w:t>
            </w:r>
          </w:p>
          <w:p>
            <w:pPr>
              <w:pStyle w:val="null10"/>
              <w:spacing w:lineRule="exact" w:line="200"/>
            </w:pPr>
            <w:r>
              <w:rPr>
                <w:rFonts w:ascii="方正黑体_GBK" w:hAnsi="方正黑体_GBK" w:cs="宋体" w:eastAsia="方正黑体_GBK"/>
                <w:sz w:val="18"/>
                <w:szCs w:val="18"/>
              </w:rPr>
              <w:t>D份额：南京银行股份有限公司（金卡（不含）以下级别客户）、苏州银行股份有限公司（对公客群）、桂林银行股份有限公司（冬日特邀客群）、宁波通商股份有限公司（专项客户）、江苏扬州农村商业银行股份有限公司（新客）。</w:t>
            </w:r>
          </w:p>
          <w:p>
            <w:pPr>
              <w:pStyle w:val="null10"/>
              <w:spacing w:lineRule="exact" w:line="200"/>
            </w:pPr>
            <w:r>
              <w:rPr>
                <w:rFonts w:ascii="方正黑体_GBK" w:hAnsi="方正黑体_GBK" w:cs="宋体" w:eastAsia="方正黑体_GBK"/>
                <w:sz w:val="18"/>
                <w:szCs w:val="18"/>
              </w:rPr>
              <w:t>E份额：南京银行股份有限公司特邀客户。</w:t>
            </w:r>
          </w:p>
          <w:p>
            <w:pPr>
              <w:pStyle w:val="null10"/>
              <w:spacing w:lineRule="exact" w:line="200"/>
            </w:pPr>
            <w:r>
              <w:rPr>
                <w:rFonts w:ascii="方正黑体_GBK" w:hAnsi="方正黑体_GBK" w:cs="宋体" w:eastAsia="方正黑体_GBK"/>
                <w:sz w:val="18"/>
                <w:szCs w:val="18"/>
              </w:rPr>
              <w:t>F份额：桂林银行股份有限公司（社保卡专项客户）。</w:t>
            </w:r>
          </w:p>
          <w:p>
            <w:pPr>
              <w:pStyle w:val="null10"/>
              <w:spacing w:lineRule="exact" w:line="200"/>
            </w:pPr>
            <w:r>
              <w:rPr>
                <w:rFonts w:ascii="方正黑体_GBK" w:hAnsi="方正黑体_GBK" w:cs="宋体" w:eastAsia="方正黑体_GBK"/>
                <w:sz w:val="18"/>
                <w:szCs w:val="18"/>
              </w:rPr>
              <w:t>G份额：河北银行股份有限公司（分行专供）。</w:t>
            </w:r>
          </w:p>
          <w:p>
            <w:pPr>
              <w:pStyle w:val="null10"/>
              <w:spacing w:lineRule="exact" w:line="200"/>
            </w:pPr>
            <w:r>
              <w:rPr>
                <w:rFonts w:ascii="方正黑体_GBK" w:hAnsi="方正黑体_GBK" w:cs="宋体" w:eastAsia="方正黑体_GBK"/>
                <w:sz w:val="18"/>
                <w:szCs w:val="18"/>
              </w:rPr>
              <w:t>H份额：交通银行股份有限公司。</w:t>
            </w:r>
          </w:p>
          <w:p>
            <w:pPr>
              <w:pStyle w:val="null10"/>
              <w:spacing w:lineRule="exact" w:line="200"/>
            </w:pPr>
            <w:r>
              <w:rPr>
                <w:rFonts w:ascii="方正黑体_GBK" w:hAnsi="方正黑体_GBK" w:cs="宋体" w:eastAsia="方正黑体_GBK"/>
                <w:sz w:val="18"/>
                <w:szCs w:val="18"/>
              </w:rPr>
              <w:t>I份额：台州银行股份有限公司（新客专享）。</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p>
            <w:pPr>
              <w:pStyle w:val="null10"/>
              <w:spacing w:lineRule="exact" w:line="200"/>
            </w:pPr>
            <w:r>
              <w:rPr>
                <w:rFonts w:ascii="方正黑体_GBK" w:hAnsi="方正黑体_GBK" w:cs="宋体" w:eastAsia="方正黑体_GBK"/>
                <w:sz w:val="18"/>
                <w:b/>
                <w:szCs w:val="18"/>
              </w:rPr>
              <w:t>南京银行股份有限公司特邀客户：</w:t>
            </w:r>
            <w:r>
              <w:rPr>
                <w:rFonts w:ascii="方正黑体_GBK" w:hAnsi="方正黑体_GBK" w:cs="宋体" w:eastAsia="方正黑体_GBK"/>
                <w:sz w:val="18"/>
                <w:szCs w:val="18"/>
              </w:rPr>
              <w:t>是指单笔金额100万起的特邀公司类客户。</w:t>
            </w:r>
          </w:p>
          <w:p>
            <w:pPr>
              <w:pStyle w:val="null10"/>
              <w:spacing w:lineRule="exact" w:line="200"/>
            </w:pPr>
            <w:r>
              <w:rPr>
                <w:rFonts w:ascii="方正黑体_GBK" w:hAnsi="方正黑体_GBK" w:cs="宋体" w:eastAsia="方正黑体_GBK"/>
                <w:sz w:val="18"/>
                <w:b/>
                <w:szCs w:val="18"/>
              </w:rPr>
              <w:t>南京银行股份有限公司新客</w:t>
            </w:r>
            <w:r>
              <w:rPr>
                <w:rFonts w:ascii="方正黑体_GBK" w:hAnsi="方正黑体_GBK" w:cs="宋体" w:eastAsia="方正黑体_GBK"/>
                <w:sz w:val="18"/>
                <w:szCs w:val="18"/>
              </w:rPr>
              <w:t>是指2024年理财年日均余额为0的客户。</w:t>
            </w:r>
            <w:r>
              <w:rPr>
                <w:rFonts w:ascii="方正黑体_GBK" w:hAnsi="方正黑体_GBK" w:cs="宋体" w:eastAsia="方正黑体_GBK"/>
                <w:sz w:val="18"/>
                <w:b/>
                <w:szCs w:val="18"/>
              </w:rPr>
              <w:t>新资金（5万）</w:t>
            </w:r>
            <w:r>
              <w:rPr>
                <w:rFonts w:ascii="方正黑体_GBK" w:hAnsi="方正黑体_GBK" w:cs="宋体" w:eastAsia="方正黑体_GBK"/>
                <w:sz w:val="18"/>
                <w:szCs w:val="18"/>
              </w:rPr>
              <w:t>是指金融资产余额较上月月日均增长5万元及以上的客户。</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A份额/B份额/C份额/D份额/F份额/G份额/H份额/I份额：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机构投资者投资起点金额100万元人民币，以1元的整数倍递增；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A份额/B份额/C份额/D份额/F份额/G份额/H份额/I份额：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pPr>
            <w:r>
              <w:rPr>
                <w:rFonts w:ascii="方正黑体_GBK" w:hAnsi="方正黑体_GBK" w:cs="宋体" w:eastAsia="方正黑体_GBK"/>
                <w:sz w:val="18"/>
                <w:szCs w:val="18"/>
              </w:rPr>
              <w:t>E份额：</w:t>
            </w:r>
          </w:p>
          <w:p>
            <w:pPr>
              <w:pStyle w:val="null10"/>
              <w:spacing w:lineRule="exact" w:line="200"/>
            </w:pPr>
            <w:r>
              <w:rPr>
                <w:rFonts w:ascii="方正黑体_GBK" w:hAnsi="方正黑体_GBK" w:cs="宋体" w:eastAsia="方正黑体_GBK"/>
                <w:sz w:val="18"/>
                <w:szCs w:val="18"/>
              </w:rPr>
              <w:t>机构投资者：单个投资者持有金额上限3亿；</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2024年11月27日 09:00—2024年12月03日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2024年12月04日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2024年12月04日—实际到期日（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99天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2025年03月13日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产品管理人将优先选择上述备选非标准化债权类资产中的一笔或者多笔作为本理财产品投资的非标准化债权类资产，并在本理财产品的定期报告中进行信息披露。</w:t>
            </w:r>
          </w:p>
          <w:p>
            <w:pPr>
              <w:pStyle w:val="null10"/>
              <w:spacing w:lineRule="exact" w:line="200"/>
            </w:pPr>
            <w:r>
              <w:rPr>
                <w:rFonts w:ascii="方正黑体_GBK" w:hAnsi="方正黑体_GBK" w:cs="宋体" w:eastAsia="方正黑体_GBK"/>
                <w:sz w:val="18"/>
                <w:b/>
                <w:szCs w:val="18"/>
              </w:rPr>
              <w:t>若受到市场影响出现融资人临时变更融资要素（如取消该笔资产发行或改变资产的发行时间、资产收益等要素）导致本理财产品无法投资对应资产时，为最大程度保障投资者权益，管理人有权采取如下措施：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2.若本理财产品已成立，则管理人有权提前终止本理财产品，自产品成立至提前终止日期间不计任何收益。</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A份额：业绩比较基准为2.5%(年化)。</w:t>
            </w:r>
          </w:p>
          <w:p>
            <w:pPr>
              <w:pStyle w:val="null10"/>
              <w:spacing w:lineRule="exact" w:line="200"/>
            </w:pPr>
            <w:r>
              <w:rPr>
                <w:rFonts w:ascii="方正黑体_GBK" w:hAnsi="方正黑体_GBK" w:cs="宋体" w:eastAsia="方正黑体_GBK"/>
                <w:sz w:val="18"/>
                <w:szCs w:val="18"/>
              </w:rPr>
              <w:t>B份额：业绩比较基准为2.6%(年化)。</w:t>
            </w:r>
          </w:p>
          <w:p>
            <w:pPr>
              <w:pStyle w:val="null10"/>
              <w:spacing w:lineRule="exact" w:line="200"/>
            </w:pPr>
            <w:r>
              <w:rPr>
                <w:rFonts w:ascii="方正黑体_GBK" w:hAnsi="方正黑体_GBK" w:cs="宋体" w:eastAsia="方正黑体_GBK"/>
                <w:sz w:val="18"/>
                <w:szCs w:val="18"/>
              </w:rPr>
              <w:t>C份额：业绩比较基准为2.7%(年化)。</w:t>
            </w:r>
          </w:p>
          <w:p>
            <w:pPr>
              <w:pStyle w:val="null10"/>
              <w:spacing w:lineRule="exact" w:line="200"/>
            </w:pPr>
            <w:r>
              <w:rPr>
                <w:rFonts w:ascii="方正黑体_GBK" w:hAnsi="方正黑体_GBK" w:cs="宋体" w:eastAsia="方正黑体_GBK"/>
                <w:sz w:val="18"/>
                <w:szCs w:val="18"/>
              </w:rPr>
              <w:t>D份额：业绩比较基准为2.9%(年化)。</w:t>
            </w:r>
          </w:p>
          <w:p>
            <w:pPr>
              <w:pStyle w:val="null10"/>
              <w:spacing w:lineRule="exact" w:line="200"/>
            </w:pPr>
            <w:r>
              <w:rPr>
                <w:rFonts w:ascii="方正黑体_GBK" w:hAnsi="方正黑体_GBK" w:cs="宋体" w:eastAsia="方正黑体_GBK"/>
                <w:sz w:val="18"/>
                <w:szCs w:val="18"/>
              </w:rPr>
              <w:t>E份额：业绩比较基准为2.7%(年化)。</w:t>
            </w:r>
          </w:p>
          <w:p>
            <w:pPr>
              <w:pStyle w:val="null10"/>
              <w:spacing w:lineRule="exact" w:line="200"/>
            </w:pPr>
            <w:r>
              <w:rPr>
                <w:rFonts w:ascii="方正黑体_GBK" w:hAnsi="方正黑体_GBK" w:cs="宋体" w:eastAsia="方正黑体_GBK"/>
                <w:sz w:val="18"/>
                <w:szCs w:val="18"/>
              </w:rPr>
              <w:t>F份额：业绩比较基准为2.65%(年化)。</w:t>
            </w:r>
          </w:p>
          <w:p>
            <w:pPr>
              <w:pStyle w:val="null10"/>
              <w:spacing w:lineRule="exact" w:line="200"/>
            </w:pPr>
            <w:r>
              <w:rPr>
                <w:rFonts w:ascii="方正黑体_GBK" w:hAnsi="方正黑体_GBK" w:cs="宋体" w:eastAsia="方正黑体_GBK"/>
                <w:sz w:val="18"/>
                <w:szCs w:val="18"/>
              </w:rPr>
              <w:t>G份额：业绩比较基准为2.65%(年化)。</w:t>
            </w:r>
          </w:p>
          <w:p>
            <w:pPr>
              <w:pStyle w:val="null10"/>
              <w:spacing w:lineRule="exact" w:line="200"/>
            </w:pPr>
            <w:r>
              <w:rPr>
                <w:rFonts w:ascii="方正黑体_GBK" w:hAnsi="方正黑体_GBK" w:cs="宋体" w:eastAsia="方正黑体_GBK"/>
                <w:sz w:val="18"/>
                <w:szCs w:val="18"/>
              </w:rPr>
              <w:t>H份额：业绩比较基准为2.6%(年化)。</w:t>
            </w:r>
          </w:p>
          <w:p>
            <w:pPr>
              <w:pStyle w:val="null10"/>
              <w:spacing w:lineRule="exact" w:line="200"/>
            </w:pPr>
            <w:r>
              <w:rPr>
                <w:rFonts w:ascii="方正黑体_GBK" w:hAnsi="方正黑体_GBK" w:cs="宋体" w:eastAsia="方正黑体_GBK"/>
                <w:sz w:val="18"/>
                <w:szCs w:val="18"/>
              </w:rPr>
              <w:t>I份额：业绩比较基准为2.75%(年化)。</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B份额：销售费年化0.2%</w:t>
            </w:r>
          </w:p>
          <w:p>
            <w:pPr>
              <w:pStyle w:val="null10"/>
              <w:spacing w:lineRule="exact" w:line="200"/>
            </w:pPr>
            <w:r>
              <w:rPr>
                <w:rFonts w:ascii="方正黑体_GBK" w:hAnsi="方正黑体_GBK" w:cs="宋体" w:eastAsia="方正黑体_GBK"/>
                <w:sz w:val="18"/>
                <w:b/>
                <w:szCs w:val="18"/>
              </w:rPr>
              <w:t>C份额：销售费年化0.1%</w:t>
            </w:r>
          </w:p>
          <w:p>
            <w:pPr>
              <w:pStyle w:val="null10"/>
              <w:spacing w:lineRule="exact" w:line="200"/>
            </w:pPr>
            <w:r>
              <w:rPr>
                <w:rFonts w:ascii="方正黑体_GBK" w:hAnsi="方正黑体_GBK" w:cs="宋体" w:eastAsia="方正黑体_GBK"/>
                <w:sz w:val="18"/>
                <w:b/>
                <w:szCs w:val="18"/>
              </w:rPr>
              <w:t>D份额：销售费年化0%</w:t>
            </w:r>
          </w:p>
          <w:p>
            <w:pPr>
              <w:pStyle w:val="null10"/>
              <w:spacing w:lineRule="exact" w:line="200"/>
            </w:pPr>
            <w:r>
              <w:rPr>
                <w:rFonts w:ascii="方正黑体_GBK" w:hAnsi="方正黑体_GBK" w:cs="宋体" w:eastAsia="方正黑体_GBK"/>
                <w:sz w:val="18"/>
                <w:b/>
                <w:szCs w:val="18"/>
              </w:rPr>
              <w:t>E份额：销售费年化0.1%</w:t>
            </w:r>
          </w:p>
          <w:p>
            <w:pPr>
              <w:pStyle w:val="null10"/>
              <w:spacing w:lineRule="exact" w:line="200"/>
            </w:pPr>
            <w:r>
              <w:rPr>
                <w:rFonts w:ascii="方正黑体_GBK" w:hAnsi="方正黑体_GBK" w:cs="宋体" w:eastAsia="方正黑体_GBK"/>
                <w:sz w:val="18"/>
                <w:b/>
                <w:szCs w:val="18"/>
              </w:rPr>
              <w:t>F份额：销售费年化0.15%</w:t>
            </w:r>
          </w:p>
          <w:p>
            <w:pPr>
              <w:pStyle w:val="null10"/>
              <w:spacing w:lineRule="exact" w:line="200"/>
            </w:pPr>
            <w:r>
              <w:rPr>
                <w:rFonts w:ascii="方正黑体_GBK" w:hAnsi="方正黑体_GBK" w:cs="宋体" w:eastAsia="方正黑体_GBK"/>
                <w:sz w:val="18"/>
                <w:b/>
                <w:szCs w:val="18"/>
              </w:rPr>
              <w:t>G份额：销售费年化0.15%</w:t>
            </w:r>
          </w:p>
          <w:p>
            <w:pPr>
              <w:pStyle w:val="null10"/>
              <w:spacing w:lineRule="exact" w:line="200"/>
            </w:pPr>
            <w:r>
              <w:rPr>
                <w:rFonts w:ascii="方正黑体_GBK" w:hAnsi="方正黑体_GBK" w:cs="宋体" w:eastAsia="方正黑体_GBK"/>
                <w:sz w:val="18"/>
                <w:b/>
                <w:szCs w:val="18"/>
              </w:rPr>
              <w:t>H份额：销售费年化0.3%</w:t>
            </w:r>
          </w:p>
          <w:p>
            <w:pPr>
              <w:pStyle w:val="null10"/>
              <w:spacing w:lineRule="exact" w:line="200"/>
            </w:pPr>
            <w:r>
              <w:rPr>
                <w:rFonts w:ascii="方正黑体_GBK" w:hAnsi="方正黑体_GBK" w:cs="宋体" w:eastAsia="方正黑体_GBK"/>
                <w:sz w:val="18"/>
                <w:b/>
                <w:szCs w:val="18"/>
              </w:rPr>
              <w:t>I份额：销售费年化0.1%</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A份额：固定管理费年化0.21%</w:t>
            </w:r>
          </w:p>
          <w:p>
            <w:pPr>
              <w:pStyle w:val="null10"/>
              <w:spacing w:lineRule="exact" w:line="200"/>
            </w:pPr>
            <w:r>
              <w:rPr>
                <w:rFonts w:ascii="方正黑体_GBK" w:hAnsi="方正黑体_GBK" w:cs="宋体" w:eastAsia="方正黑体_GBK"/>
                <w:sz w:val="18"/>
                <w:b/>
                <w:szCs w:val="18"/>
              </w:rPr>
              <w:t>B份额：固定管理费年化0.11%</w:t>
            </w:r>
          </w:p>
          <w:p>
            <w:pPr>
              <w:pStyle w:val="null10"/>
              <w:spacing w:lineRule="exact" w:line="200"/>
            </w:pPr>
            <w:r>
              <w:rPr>
                <w:rFonts w:ascii="方正黑体_GBK" w:hAnsi="方正黑体_GBK" w:cs="宋体" w:eastAsia="方正黑体_GBK"/>
                <w:sz w:val="18"/>
                <w:b/>
                <w:szCs w:val="18"/>
              </w:rPr>
              <w:t>C份额：固定管理费年化0.11%</w:t>
            </w:r>
          </w:p>
          <w:p>
            <w:pPr>
              <w:pStyle w:val="null10"/>
              <w:spacing w:lineRule="exact" w:line="200"/>
            </w:pPr>
            <w:r>
              <w:rPr>
                <w:rFonts w:ascii="方正黑体_GBK" w:hAnsi="方正黑体_GBK" w:cs="宋体" w:eastAsia="方正黑体_GBK"/>
                <w:sz w:val="18"/>
                <w:b/>
                <w:szCs w:val="18"/>
              </w:rPr>
              <w:t>D份额：固定管理费年化0.01%</w:t>
            </w:r>
          </w:p>
          <w:p>
            <w:pPr>
              <w:pStyle w:val="null10"/>
              <w:spacing w:lineRule="exact" w:line="200"/>
            </w:pPr>
            <w:r>
              <w:rPr>
                <w:rFonts w:ascii="方正黑体_GBK" w:hAnsi="方正黑体_GBK" w:cs="宋体" w:eastAsia="方正黑体_GBK"/>
                <w:sz w:val="18"/>
                <w:b/>
                <w:szCs w:val="18"/>
              </w:rPr>
              <w:t>E份额：固定管理费年化0.11%</w:t>
            </w:r>
          </w:p>
          <w:p>
            <w:pPr>
              <w:pStyle w:val="null10"/>
              <w:spacing w:lineRule="exact" w:line="200"/>
            </w:pPr>
            <w:r>
              <w:rPr>
                <w:rFonts w:ascii="方正黑体_GBK" w:hAnsi="方正黑体_GBK" w:cs="宋体" w:eastAsia="方正黑体_GBK"/>
                <w:sz w:val="18"/>
                <w:b/>
                <w:szCs w:val="18"/>
              </w:rPr>
              <w:t>F份额：固定管理费年化0.11%</w:t>
            </w:r>
          </w:p>
          <w:p>
            <w:pPr>
              <w:pStyle w:val="null10"/>
              <w:spacing w:lineRule="exact" w:line="200"/>
            </w:pPr>
            <w:r>
              <w:rPr>
                <w:rFonts w:ascii="方正黑体_GBK" w:hAnsi="方正黑体_GBK" w:cs="宋体" w:eastAsia="方正黑体_GBK"/>
                <w:sz w:val="18"/>
                <w:b/>
                <w:szCs w:val="18"/>
              </w:rPr>
              <w:t>G份额：固定管理费年化0.11%</w:t>
            </w:r>
          </w:p>
          <w:p>
            <w:pPr>
              <w:pStyle w:val="null10"/>
              <w:spacing w:lineRule="exact" w:line="200"/>
            </w:pPr>
            <w:r>
              <w:rPr>
                <w:rFonts w:ascii="方正黑体_GBK" w:hAnsi="方正黑体_GBK" w:cs="宋体" w:eastAsia="方正黑体_GBK"/>
                <w:sz w:val="18"/>
                <w:b/>
                <w:szCs w:val="18"/>
              </w:rPr>
              <w:t>H份额：固定管理费年化0.01%</w:t>
            </w:r>
          </w:p>
          <w:p>
            <w:pPr>
              <w:pStyle w:val="null10"/>
              <w:spacing w:lineRule="exact" w:line="200"/>
            </w:pPr>
            <w:r>
              <w:rPr>
                <w:rFonts w:ascii="方正黑体_GBK" w:hAnsi="方正黑体_GBK" w:cs="宋体" w:eastAsia="方正黑体_GBK"/>
                <w:sz w:val="18"/>
                <w:b/>
                <w:szCs w:val="18"/>
              </w:rPr>
              <w:t>I份额：固定管理费年化0.06%</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A份额：到期兑付时，当期产品投资的实际资产组合收益（扣除销售费、固定管理费、托管费等相关费用）超过2.5%（年化，即产品该份额对应的业绩报酬计提基准）时，超过部分管理人将按60%收取业绩报酬。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C份额：到期兑付时，当期产品投资的实际资产组合收益（扣除销售费、固定管理费、托管费等相关费用）超过2.7%（年化，即产品该份额对应的业绩报酬计提基准）时，超过部分管理人将按60%收取业绩报酬。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D份额：到期兑付时，当期产品投资的实际资产组合收益（扣除销售费、固定管理费、托管费等相关费用）超过2.9%（年化，即产品该份额对应的业绩报酬计提基准）时，超过部分管理人将按60%收取业绩报酬。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E份额：到期兑付时，当期产品投资的实际资产组合收益（扣除销售费、固定管理费、托管费等相关费用）超过2.7%（年化，即产品该份额对应的业绩报酬计提基准）时，超过部分管理人将按60%收取业绩报酬。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F份额：到期兑付时，当期产品投资的实际资产组合收益（扣除销售费、固定管理费、托管费等相关费用）超过2.65%（年化，即产品该份额对应的业绩报酬计提基准）时，超过部分管理人将按60%收取业绩报酬。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G份额：到期兑付时，当期产品投资的实际资产组合收益（扣除销售费、固定管理费、托管费等相关费用）超过2.65%（年化，即产品该份额对应的业绩报酬计提基准）时，超过部分管理人将按60%收取业绩报酬。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H份额：到期兑付时，当期产品投资的实际资产组合收益（扣除销售费、固定管理费、托管费等相关费用）超过2.6%（年化，即产品该份额对应的业绩报酬计提基准）时，超过部分管理人将按60%收取业绩报酬。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I份额：到期兑付时，当期产品投资的实际资产组合收益（扣除销售费、固定管理费、托管费等相关费用）超过2.75%（年化，即产品该份额对应的业绩报酬计提基准）时，超过部分管理人将按60%收取业绩报酬。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兴业银行股份有限公司、江苏太仓农村商业银行股份有限公司、青岛银行股份有限公司、汉口银行股份有限公司、江苏常熟农村商业银行股份有限公司、江苏苏州农村商业银行股份有限公司、泰安银行股份有限公司、宁波东海银行股份有限公司、齐鲁银行股份有限公司、贵阳银行股份有限公司、云南红塔银行股份有限公司、中原银行股份有限公司、九江银行股份有限公司、天津农村商业银行股份有限公司、江苏紫金农村商业银行股份有限公司、温州银行股份有限公司、江苏金湖农村商业银行股份有限公司、苏州银行股份有限公司、蒙商银行股份有限公司、江苏江南农村商业银行股份有限公司、桂林银行股份有限公司、富邦华一银行有限公司、宁波通商银行股份有限公司、日照银行股份有限公司、广州银行股份有限公司、无锡农村商业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徐州农村商业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东海农村商业银行股份有限公司、江苏高邮农村商业银行股份有限公司、河北银行股份有限公司、郑州银行股份有限公司、江苏姜堰农村商业银行股份有限公司、山西银行股份有限公司、江苏如东农村商业银行股份有限公司、北京银行股份有限公司、兰州银行股份有限公司、东营银行股份有限公司、江苏沛县农村商业银行股份有限公司、潍坊银行股份有限公司、交通银行股份有限公司、甘肃银行股份有限公司、台州银行股份有限公司、浙江民泰商业银行股份有限公司、江苏仪征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平安资产管理有限责任公司、太平洋资产管理有限责任公司、太平资产管理有限公司、中国人保资产管理有限公司、中粮信托有限责任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1.合作机构为理财产品所投资资产管理产品的发行机构，主要承担资产管理产品的管理人职责：平安资产管理有限责任公司、太平洋资产管理有限责任公司、太平资产管理有限公司、中国人保资产管理有限公司。</w:t>
            </w:r>
          </w:p>
          <w:p>
            <w:pPr>
              <w:pStyle w:val="null10"/>
              <w:spacing w:lineRule="exact" w:line="200"/>
            </w:pPr>
            <w:r>
              <w:rPr>
                <w:rFonts w:ascii="方正黑体_GBK" w:hAnsi="方正黑体_GBK" w:cs="宋体" w:eastAsia="方正黑体_GBK"/>
                <w:sz w:val="18"/>
                <w:szCs w:val="18"/>
              </w:rPr>
              <w:t>2.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粮信托有限责任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平安资产管理有限责任公司成立于2005年05月27日，注册资本金15亿元。</w:t>
            </w:r>
          </w:p>
          <w:p>
            <w:pPr>
              <w:pStyle w:val="null10"/>
              <w:spacing w:lineRule="exact" w:line="200"/>
            </w:pPr>
            <w:r>
              <w:rPr>
                <w:rFonts w:ascii="方正黑体_GBK" w:hAnsi="方正黑体_GBK" w:cs="宋体" w:eastAsia="方正黑体_GBK"/>
                <w:sz w:val="18"/>
                <w:szCs w:val="18"/>
              </w:rPr>
              <w:t>太平洋资产管理有限责任公司成立于2006年06月09日，注册资本金21亿元。</w:t>
            </w:r>
          </w:p>
          <w:p>
            <w:pPr>
              <w:pStyle w:val="null10"/>
              <w:spacing w:lineRule="exact" w:line="200"/>
            </w:pPr>
            <w:r>
              <w:rPr>
                <w:rFonts w:ascii="方正黑体_GBK" w:hAnsi="方正黑体_GBK" w:cs="宋体" w:eastAsia="方正黑体_GBK"/>
                <w:sz w:val="18"/>
                <w:szCs w:val="18"/>
              </w:rPr>
              <w:t>太平资产管理有限公司成立于2006年09月01日，注册资本金10亿元。</w:t>
            </w:r>
          </w:p>
          <w:p>
            <w:pPr>
              <w:pStyle w:val="null10"/>
              <w:spacing w:lineRule="exact" w:line="200"/>
            </w:pPr>
            <w:r>
              <w:rPr>
                <w:rFonts w:ascii="方正黑体_GBK" w:hAnsi="方正黑体_GBK" w:cs="宋体" w:eastAsia="方正黑体_GBK"/>
                <w:sz w:val="18"/>
                <w:szCs w:val="18"/>
              </w:rPr>
              <w:t>中国人保资产管理有限公司成立于2003年07月16日，注册资本金12.98亿元。</w:t>
            </w:r>
          </w:p>
          <w:p>
            <w:pPr>
              <w:pStyle w:val="null10"/>
              <w:spacing w:lineRule="exact" w:line="200"/>
            </w:pPr>
            <w:r>
              <w:rPr>
                <w:rFonts w:ascii="方正黑体_GBK" w:hAnsi="方正黑体_GBK" w:cs="宋体" w:eastAsia="方正黑体_GBK"/>
                <w:sz w:val="18"/>
                <w:szCs w:val="18"/>
              </w:rPr>
              <w:t>中粮信托有限责任公司成立于2009年07月27日，注册资本金28.3亿元。</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11353c3b"/>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ac56637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ac566379"/>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ac56637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ac566379"/>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ac56637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ac56637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ac56637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ac566379"/>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南银理财珠联璧合鑫逸稳三个月60期封闭式公募人民币理财产品</w:t>
      </w:r>
      <w:r>
        <w:rPr>
          <w:rFonts w:ascii="方正黑体_GBK" w:eastAsia="方正黑体_GBK" w:hint="eastAsia" w:hAnsi="方正黑体_GBK"/>
          <w:vanish w:val="0"/>
          <w:color w:val="3D3D3D"/>
          <w:kern w:val="0"/>
          <w:sz w:val="15"/>
          <w:szCs w:val="15"/>
        </w:rPr>
        <w:t>。</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ac566379"/>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ac566379"/>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ac566379"/>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ac56637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23ed57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23ed57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23ed57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23ed57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23ed57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23ed572f"/>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ac56637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ac566379"/>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ac566379"/>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23ed572f"/>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11353c3b"/>
        <w:keepNext w:val="0"/>
        <w:keepLines w:val="0"/>
        <w:pageBreakBefore w:val="0"/>
        <w:widowControl/>
        <w:suppressLineNumbers w:val="0"/>
        <w:suppressAutoHyphens w:val="0"/>
        <w:spacing w:line="200" w:lineRule="exact"/>
        <w:ind w:firstLineChars="200" w:firstLine="300"/>
        <w:rPr>
          <w:rStyle w:val="23ed572f"/>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300"/>
      </w:pPr>
      <w:r>
        <w:rPr>
          <w:rFonts w:ascii="方正黑体_GBK" w:hAnsi="方正黑体_GBK" w:cs="宋体" w:eastAsia="方正黑体_GBK"/>
          <w:sz w:val="15"/>
          <w:color w:val="000000"/>
          <w:szCs w:val="20"/>
        </w:rPr>
        <w:t>估值方法中列示的资产品种不代表管理人的实际投向，本理财产品拟投资范围以“投资范围”章节描述为准。</w:t>
      </w:r>
    </w:p>
    <w:p>
      <w:pPr>
        <w:pStyle w:val="null10"/>
        <w:spacing w:lineRule="exact" w:line="200"/>
        <w:ind w:firstLine="300"/>
      </w:pPr>
      <w:r>
        <w:rPr>
          <w:rFonts w:ascii="方正黑体_GBK" w:hAnsi="方正黑体_GBK" w:cs="宋体" w:eastAsia="方正黑体_GBK"/>
          <w:sz w:val="15"/>
          <w:color w:val="000000"/>
          <w:szCs w:val="20"/>
        </w:rPr>
        <w:t>1.银行存款、回购等货币市场工具</w:t>
      </w:r>
    </w:p>
    <w:p>
      <w:pPr>
        <w:pStyle w:val="null10"/>
        <w:spacing w:lineRule="exact" w:line="200"/>
        <w:ind w:firstLine="300"/>
      </w:pPr>
      <w:r>
        <w:rPr>
          <w:rFonts w:ascii="方正黑体_GBK" w:hAnsi="方正黑体_GBK" w:cs="宋体" w:eastAsia="方正黑体_GBK"/>
          <w:sz w:val="15"/>
          <w:color w:val="000000"/>
          <w:szCs w:val="20"/>
        </w:rPr>
        <w:t>以本金列示，按商定的利率在实际持有期间内逐日计提。</w:t>
      </w:r>
    </w:p>
    <w:p>
      <w:pPr>
        <w:pStyle w:val="null10"/>
        <w:spacing w:lineRule="exact" w:line="200"/>
        <w:ind w:firstLine="300"/>
      </w:pPr>
      <w:r>
        <w:rPr>
          <w:rFonts w:ascii="方正黑体_GBK" w:hAnsi="方正黑体_GBK" w:cs="宋体" w:eastAsia="方正黑体_GBK"/>
          <w:sz w:val="15"/>
          <w:color w:val="000000"/>
          <w:szCs w:val="20"/>
        </w:rPr>
        <w:t>2.债券类资产</w:t>
      </w:r>
    </w:p>
    <w:p>
      <w:pPr>
        <w:pStyle w:val="null10"/>
        <w:spacing w:lineRule="exact" w:line="200"/>
        <w:ind w:firstLine="300"/>
      </w:pPr>
      <w:r>
        <w:rPr>
          <w:rFonts w:ascii="方正黑体_GBK" w:hAnsi="方正黑体_GBK" w:cs="宋体" w:eastAsia="方正黑体_GBK"/>
          <w:sz w:val="15"/>
          <w:color w:val="000000"/>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pStyle w:val="null10"/>
        <w:spacing w:lineRule="exact" w:line="200"/>
        <w:ind w:firstLine="300"/>
      </w:pPr>
      <w:r>
        <w:rPr>
          <w:rFonts w:ascii="方正黑体_GBK" w:hAnsi="方正黑体_GBK" w:cs="宋体" w:eastAsia="方正黑体_GBK"/>
          <w:sz w:val="15"/>
          <w:color w:val="000000"/>
          <w:szCs w:val="20"/>
        </w:rPr>
        <w:t>3.非标准化债权类资产</w:t>
      </w:r>
    </w:p>
    <w:p>
      <w:pPr>
        <w:pStyle w:val="null10"/>
        <w:spacing w:lineRule="exact" w:line="200"/>
        <w:ind w:firstLine="300"/>
      </w:pPr>
      <w:r>
        <w:rPr>
          <w:rFonts w:ascii="方正黑体_GBK" w:hAnsi="方正黑体_GBK" w:cs="宋体" w:eastAsia="方正黑体_GBK"/>
          <w:sz w:val="15"/>
          <w:color w:val="000000"/>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300"/>
      </w:pPr>
      <w:r>
        <w:rPr>
          <w:rFonts w:ascii="方正黑体_GBK" w:hAnsi="方正黑体_GBK" w:cs="宋体" w:eastAsia="方正黑体_GBK"/>
          <w:sz w:val="15"/>
          <w:color w:val="000000"/>
          <w:szCs w:val="20"/>
        </w:rPr>
        <w:t>4.证券投资基金</w:t>
      </w:r>
    </w:p>
    <w:p>
      <w:pPr>
        <w:pStyle w:val="null10"/>
        <w:spacing w:lineRule="exact" w:line="200"/>
        <w:ind w:firstLine="300"/>
      </w:pPr>
      <w:r>
        <w:rPr>
          <w:rFonts w:ascii="方正黑体_GBK" w:hAnsi="方正黑体_GBK" w:cs="宋体" w:eastAsia="方正黑体_GBK"/>
          <w:sz w:val="15"/>
          <w:color w:val="000000"/>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pStyle w:val="null10"/>
        <w:spacing w:lineRule="exact" w:line="200"/>
        <w:ind w:firstLine="300"/>
      </w:pPr>
      <w:r>
        <w:rPr>
          <w:rFonts w:ascii="方正黑体_GBK" w:hAnsi="方正黑体_GBK" w:cs="宋体" w:eastAsia="方正黑体_GBK"/>
          <w:sz w:val="15"/>
          <w:color w:val="000000"/>
          <w:szCs w:val="20"/>
        </w:rPr>
        <w:t>5.股权类资产</w:t>
      </w:r>
    </w:p>
    <w:p>
      <w:pPr>
        <w:pStyle w:val="null10"/>
        <w:spacing w:lineRule="exact" w:line="200"/>
        <w:ind w:firstLine="300"/>
      </w:pPr>
      <w:r>
        <w:rPr>
          <w:rFonts w:ascii="方正黑体_GBK" w:hAnsi="方正黑体_GBK" w:cs="宋体" w:eastAsia="方正黑体_GBK"/>
          <w:sz w:val="15"/>
          <w:color w:val="000000"/>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6.资管计划、信托计划等资产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7.其他资产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存在公允价值的，按照公允价值估值，或采用估值技术确定估值，也可采用被委托机构提供的估值或计量报告。具体可参考《企业会计准则》以及相关监管政策的规定。</w:t>
      </w:r>
    </w:p>
    <w:p>
      <w:pPr>
        <w:pStyle w:val="null10"/>
        <w:spacing w:lineRule="exact" w:line="200"/>
        <w:ind w:firstLine="300"/>
      </w:pPr>
      <w:r>
        <w:rPr>
          <w:rFonts w:ascii="方正黑体_GBK" w:hAnsi="方正黑体_GBK" w:cs="宋体" w:eastAsia="方正黑体_GBK"/>
          <w:sz w:val="15"/>
          <w:color w:val="000000"/>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pStyle w:val="null10"/>
        <w:spacing w:lineRule="exact" w:line="200"/>
        <w:ind w:firstLine="300"/>
      </w:pPr>
      <w:r>
        <w:rPr>
          <w:rFonts w:ascii="方正黑体_GBK" w:hAnsi="方正黑体_GBK" w:cs="宋体" w:eastAsia="方正黑体_GBK"/>
          <w:sz w:val="15"/>
          <w:color w:val="000000"/>
          <w:szCs w:val="20"/>
        </w:rPr>
        <w:t>9.如有新增事项或变更事项，按国家最新规定或管理人最新的约定估值。</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11353c3b"/>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11353c3b"/>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11353c3b"/>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11353c3b"/>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11353c3b"/>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11353c3b"/>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11353c3b"/>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11353c3b"/>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3"/>
  </w:num>
  <w:num w:numId="2">
    <w:abstractNumId w:val="1"/>
  </w:num>
  <w:num w:numId="3">
    <w:abstractNumId w:val="2"/>
  </w:num>
  <w:num w:numId="4">
    <w:abstractNumId w:val="4"/>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2436f3b2">
    <w:name w:val="Normal2436f3b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3f468a84">
    <w:name w:val="heading 13f468a84"/>
    <w:basedOn w:val="2436f3b2"/>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f99b2a1d">
    <w:name w:val="heading 2f99b2a1d"/>
    <w:basedOn w:val="2436f3b2"/>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771a90d2">
    <w:name w:val="heading 3771a90d2"/>
    <w:basedOn w:val="2436f3b2"/>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76702f87">
    <w:name w:val="Default Paragraph Font76702f87"/>
  </w:style>
  <w:style xmlns:r="http://schemas.openxmlformats.org/officeDocument/2006/relationships" w:type="paragraph" w:styleId="48956b4c">
    <w:name w:val="toc 148956b4c"/>
    <w:basedOn w:val="2436f3b2"/>
    <w:autoRedefine/>
    <w:next w:val="0"/>
  </w:style>
  <w:style xmlns:r="http://schemas.openxmlformats.org/officeDocument/2006/relationships" w:type="paragraph" w:styleId="26b92c1c">
    <w:name w:val="toc 226b92c1c"/>
    <w:basedOn w:val="2436f3b2"/>
    <w:autoRedefine/>
    <w:next w:val="0"/>
    <w:pPr>
      <w:ind w:left="420"/>
    </w:pPr>
  </w:style>
  <w:style xmlns:r="http://schemas.openxmlformats.org/officeDocument/2006/relationships" w:type="paragraph" w:styleId="4d564fdb">
    <w:name w:val="toc 34d564fdb"/>
    <w:basedOn w:val="2436f3b2"/>
    <w:autoRedefine/>
    <w:next w:val="0"/>
    <w:pPr>
      <w:ind w:left="840"/>
    </w:pPr>
  </w:style>
  <w:style xmlns:r="http://schemas.openxmlformats.org/officeDocument/2006/relationships" w:type="paragraph" w:styleId="d0045a56">
    <w:name w:val="toc 4d0045a56"/>
    <w:basedOn w:val="2436f3b2"/>
    <w:autoRedefine/>
    <w:next w:val="0"/>
    <w:pPr>
      <w:ind w:left="1260"/>
    </w:pPr>
  </w:style>
  <w:style xmlns:r="http://schemas.openxmlformats.org/officeDocument/2006/relationships" w:type="paragraph" w:styleId="53fc58e9">
    <w:name w:val="toc 553fc58e9"/>
    <w:basedOn w:val="2436f3b2"/>
    <w:autoRedefine/>
    <w:next w:val="0"/>
    <w:pPr>
      <w:ind w:left="1680"/>
    </w:pPr>
  </w:style>
  <w:style xmlns:r="http://schemas.openxmlformats.org/officeDocument/2006/relationships" w:type="paragraph" w:styleId="8b3b57a6">
    <w:name w:val="header8b3b57a6"/>
    <w:basedOn w:val="2436f3b2"/>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8007ac14">
    <w:name w:val="footer8007ac14"/>
    <w:basedOn w:val="2436f3b2"/>
    <w:pPr>
      <w:tabs>
        <w:tab w:val="center" w:pos="4153"/>
        <w:tab w:val="right" w:pos="8307"/>
      </w:tabs>
      <w:adjustRightInd/>
      <w:snapToGrid w:val="0"/>
      <w:contextualSpacing w:val="0"/>
      <w:jc w:val="left"/>
    </w:pPr>
    <w:rPr>
      <w:sz w:val="18"/>
    </w:rPr>
  </w:style>
  <w:style xmlns:r="http://schemas.openxmlformats.org/officeDocument/2006/relationships" w:type="character" w:styleId="90f7337b">
    <w:name w:val="Strong90f7337b"/>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1353c3b">
    <w:name w:val="Normal11353c3b"/>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9913cd4a">
    <w:name w:val="heading 19913cd4a"/>
    <w:basedOn w:val="11353c3b"/>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b7f66d0">
    <w:name w:val="heading 22b7f66d0"/>
    <w:basedOn w:val="11353c3b"/>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19874107">
    <w:name w:val="heading 319874107"/>
    <w:basedOn w:val="11353c3b"/>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952dd9d0">
    <w:name w:val="Default Paragraph Font952dd9d0"/>
  </w:style>
  <w:style xmlns:r="http://schemas.openxmlformats.org/officeDocument/2006/relationships" w:type="paragraph" w:styleId="da9171f8">
    <w:name w:val="Normal Indentda9171f8"/>
    <w:basedOn w:val="11353c3b"/>
    <w:pPr>
      <w:ind w:firstLineChars="200" w:firstLine="200"/>
    </w:pPr>
  </w:style>
  <w:style xmlns:r="http://schemas.openxmlformats.org/officeDocument/2006/relationships" w:type="paragraph" w:styleId="3505142e">
    <w:name w:val="toc 53505142e"/>
    <w:basedOn w:val="11353c3b"/>
    <w:next w:val="0"/>
    <w:pPr>
      <w:ind w:left="1680"/>
    </w:pPr>
  </w:style>
  <w:style xmlns:r="http://schemas.openxmlformats.org/officeDocument/2006/relationships" w:type="paragraph" w:styleId="edd8c839">
    <w:name w:val="toc 3edd8c839"/>
    <w:basedOn w:val="11353c3b"/>
    <w:next w:val="0"/>
    <w:pPr>
      <w:ind w:left="840"/>
    </w:pPr>
  </w:style>
  <w:style xmlns:r="http://schemas.openxmlformats.org/officeDocument/2006/relationships" w:type="paragraph" w:styleId="5370b145">
    <w:name w:val="footer5370b145"/>
    <w:basedOn w:val="11353c3b"/>
    <w:pPr>
      <w:tabs>
        <w:tab w:val="center" w:pos="4153"/>
        <w:tab w:val="right" w:pos="8307"/>
      </w:tabs>
      <w:adjustRightInd/>
      <w:snapToGrid w:val="0"/>
      <w:contextualSpacing w:val="0"/>
      <w:jc w:val="left"/>
    </w:pPr>
    <w:rPr>
      <w:sz w:val="18"/>
    </w:rPr>
  </w:style>
  <w:style xmlns:r="http://schemas.openxmlformats.org/officeDocument/2006/relationships" w:type="paragraph" w:styleId="7d792aba">
    <w:name w:val="header7d792aba"/>
    <w:basedOn w:val="11353c3b"/>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92c0938e">
    <w:name w:val="toc 192c0938e"/>
    <w:basedOn w:val="11353c3b"/>
    <w:next w:val="0"/>
  </w:style>
  <w:style xmlns:r="http://schemas.openxmlformats.org/officeDocument/2006/relationships" w:type="paragraph" w:styleId="22394cff">
    <w:name w:val="toc 422394cff"/>
    <w:basedOn w:val="11353c3b"/>
    <w:next w:val="0"/>
    <w:pPr>
      <w:ind w:left="1260"/>
    </w:pPr>
  </w:style>
  <w:style xmlns:r="http://schemas.openxmlformats.org/officeDocument/2006/relationships" w:type="paragraph" w:styleId="ccaf8177">
    <w:name w:val="toc 2ccaf8177"/>
    <w:basedOn w:val="11353c3b"/>
    <w:next w:val="0"/>
    <w:pPr>
      <w:ind w:left="420"/>
    </w:pPr>
  </w:style>
  <w:style xmlns:r="http://schemas.openxmlformats.org/officeDocument/2006/relationships" w:type="paragraph" w:styleId="d0db9738">
    <w:name w:val="Normal (Web)d0db9738"/>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ac566379">
    <w:name w:val="Normalac566379ac566379"/>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1192e337">
    <w:name w:val="heading 11192e3371192e337"/>
    <w:basedOn w:val="ac566379"/>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869b98bd">
    <w:name w:val="heading 2869b98bd869b98bd"/>
    <w:basedOn w:val="ac566379"/>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61af58ef">
    <w:name w:val="heading 361af58ef61af58ef"/>
    <w:basedOn w:val="ac566379"/>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d2d6c388">
    <w:name w:val="Default Paragraph Fontd2d6c388d2d6c388"/>
  </w:style>
  <w:style xmlns:r="http://schemas.openxmlformats.org/officeDocument/2006/relationships" w:type="paragraph" w:customStyle="1" w:styleId="b09e1a29">
    <w:name w:val="引文目录1b09e1a29b09e1a29"/>
    <w:basedOn w:val="ac566379"/>
    <w:next w:val="0"/>
    <w:pPr>
      <w:ind w:leftChars="200" w:left="200"/>
    </w:pPr>
  </w:style>
  <w:style xmlns:r="http://schemas.openxmlformats.org/officeDocument/2006/relationships" w:type="paragraph" w:styleId="b67416fb">
    <w:name w:val="toc 5b67416fbb67416fb"/>
    <w:basedOn w:val="ac566379"/>
    <w:next w:val="0"/>
    <w:pPr>
      <w:ind w:left="1680"/>
    </w:pPr>
  </w:style>
  <w:style xmlns:r="http://schemas.openxmlformats.org/officeDocument/2006/relationships" w:type="paragraph" w:styleId="0b048f2f">
    <w:name w:val="toc 30b048f2f0b048f2f"/>
    <w:basedOn w:val="ac566379"/>
    <w:next w:val="0"/>
    <w:pPr>
      <w:ind w:left="840"/>
    </w:pPr>
  </w:style>
  <w:style xmlns:r="http://schemas.openxmlformats.org/officeDocument/2006/relationships" w:type="paragraph" w:styleId="9c5cbe7b">
    <w:name w:val="footer9c5cbe7b9c5cbe7b"/>
    <w:basedOn w:val="ac566379"/>
    <w:pPr>
      <w:tabs>
        <w:tab w:val="center" w:pos="4153"/>
        <w:tab w:val="right" w:pos="8307"/>
      </w:tabs>
      <w:adjustRightInd/>
      <w:snapToGrid w:val="0"/>
      <w:contextualSpacing w:val="0"/>
      <w:jc w:val="left"/>
    </w:pPr>
    <w:rPr>
      <w:sz w:val="18"/>
    </w:rPr>
  </w:style>
  <w:style xmlns:r="http://schemas.openxmlformats.org/officeDocument/2006/relationships" w:type="paragraph" w:styleId="b839b11d">
    <w:name w:val="headerb839b11db839b11d"/>
    <w:basedOn w:val="ac566379"/>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9403a0b5">
    <w:name w:val="toc 19403a0b59403a0b5"/>
    <w:basedOn w:val="ac566379"/>
    <w:next w:val="0"/>
  </w:style>
  <w:style xmlns:r="http://schemas.openxmlformats.org/officeDocument/2006/relationships" w:type="paragraph" w:styleId="c6eb76e8">
    <w:name w:val="toc 4c6eb76e8c6eb76e8"/>
    <w:basedOn w:val="ac566379"/>
    <w:next w:val="0"/>
    <w:pPr>
      <w:ind w:left="1260"/>
    </w:pPr>
  </w:style>
  <w:style xmlns:r="http://schemas.openxmlformats.org/officeDocument/2006/relationships" w:type="paragraph" w:styleId="a709a6b5">
    <w:name w:val="toc 2a709a6b5a709a6b5"/>
    <w:basedOn w:val="ac566379"/>
    <w:next w:val="0"/>
    <w:pPr>
      <w:ind w:left="420"/>
    </w:pPr>
  </w:style>
  <w:style xmlns:r="http://schemas.openxmlformats.org/officeDocument/2006/relationships" w:type="paragraph" w:customStyle="1" w:styleId="23ed572f">
    <w:name w:val="列出段落123ed572f23ed572f"/>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