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B79BD">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51D1714">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A675915">
      <w:pPr>
        <w:pStyle w:val="43"/>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8102"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134"/>
        <w:gridCol w:w="5968"/>
      </w:tblGrid>
      <w:tr w14:paraId="551951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2" w:space="0"/>
              <w:right w:val="single" w:color="auto" w:sz="4" w:space="0"/>
              <w:tl2br w:val="nil"/>
              <w:tr2bl w:val="nil"/>
            </w:tcBorders>
            <w:vAlign w:val="center"/>
          </w:tcPr>
          <w:p w14:paraId="684EF5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968" w:type="dxa"/>
            <w:tcBorders>
              <w:top w:val="single" w:color="auto" w:sz="4" w:space="0"/>
              <w:left w:val="nil"/>
              <w:bottom w:val="single" w:color="auto" w:sz="2" w:space="0"/>
              <w:right w:val="single" w:color="auto" w:sz="4" w:space="0"/>
              <w:tl2br w:val="nil"/>
              <w:tr2bl w:val="nil"/>
            </w:tcBorders>
            <w:vAlign w:val="center"/>
          </w:tcPr>
          <w:p w14:paraId="6889FB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南银理财珠联璧合安稳1902一年定开公募人民币理财产品</w:t>
            </w:r>
          </w:p>
        </w:tc>
      </w:tr>
      <w:tr w14:paraId="687A71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2" w:space="0"/>
              <w:left w:val="single" w:color="auto" w:sz="2" w:space="0"/>
              <w:bottom w:val="single" w:color="auto" w:sz="2" w:space="0"/>
              <w:right w:val="single" w:color="auto" w:sz="2" w:space="0"/>
            </w:tcBorders>
            <w:vAlign w:val="center"/>
          </w:tcPr>
          <w:p w14:paraId="6B5B9C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968" w:type="dxa"/>
            <w:tcBorders>
              <w:top w:val="single" w:color="auto" w:sz="2" w:space="0"/>
              <w:left w:val="single" w:color="auto" w:sz="2" w:space="0"/>
              <w:bottom w:val="single" w:color="auto" w:sz="2" w:space="0"/>
              <w:right w:val="single" w:color="auto" w:sz="2" w:space="0"/>
            </w:tcBorders>
            <w:vAlign w:val="center"/>
          </w:tcPr>
          <w:p w14:paraId="7038A8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79396E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2" w:space="0"/>
              <w:left w:val="single" w:color="auto" w:sz="2" w:space="0"/>
              <w:bottom w:val="single" w:color="auto" w:sz="2" w:space="0"/>
              <w:right w:val="single" w:color="auto" w:sz="2" w:space="0"/>
            </w:tcBorders>
            <w:vAlign w:val="center"/>
          </w:tcPr>
          <w:p w14:paraId="36AC1F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968" w:type="dxa"/>
            <w:tcBorders>
              <w:top w:val="single" w:color="auto" w:sz="2" w:space="0"/>
              <w:left w:val="single" w:color="auto" w:sz="2" w:space="0"/>
              <w:bottom w:val="single" w:color="auto" w:sz="2" w:space="0"/>
              <w:right w:val="single" w:color="auto" w:sz="2" w:space="0"/>
            </w:tcBorders>
            <w:vAlign w:val="center"/>
          </w:tcPr>
          <w:p w14:paraId="02CFD9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954A1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2" w:space="0"/>
              <w:left w:val="single" w:color="auto" w:sz="4" w:space="0"/>
              <w:bottom w:val="single" w:color="auto" w:sz="4" w:space="0"/>
              <w:right w:val="single" w:color="auto" w:sz="4" w:space="0"/>
              <w:tl2br w:val="nil"/>
              <w:tr2bl w:val="nil"/>
            </w:tcBorders>
            <w:vAlign w:val="center"/>
          </w:tcPr>
          <w:p w14:paraId="682A61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968" w:type="dxa"/>
            <w:tcBorders>
              <w:top w:val="single" w:color="auto" w:sz="2" w:space="0"/>
              <w:left w:val="nil"/>
              <w:bottom w:val="single" w:color="auto" w:sz="4" w:space="0"/>
              <w:right w:val="single" w:color="auto" w:sz="4" w:space="0"/>
              <w:tl2br w:val="nil"/>
              <w:tr2bl w:val="nil"/>
            </w:tcBorders>
            <w:vAlign w:val="center"/>
          </w:tcPr>
          <w:p w14:paraId="69C721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ZC108691944588</w:t>
            </w:r>
          </w:p>
        </w:tc>
      </w:tr>
      <w:tr w14:paraId="6B3CBB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44F81B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968" w:type="dxa"/>
            <w:tcBorders>
              <w:top w:val="single" w:color="auto" w:sz="4" w:space="0"/>
              <w:left w:val="nil"/>
              <w:bottom w:val="single" w:color="auto" w:sz="4" w:space="0"/>
              <w:right w:val="single" w:color="auto" w:sz="4" w:space="0"/>
              <w:tl2br w:val="nil"/>
              <w:tr2bl w:val="nil"/>
            </w:tcBorders>
            <w:vAlign w:val="center"/>
          </w:tcPr>
          <w:p w14:paraId="2183D5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Z7003221000027(投资者可依据该编码在中国理财网www.chinawealth.com.cn查询理财产品相关信息）</w:t>
            </w:r>
          </w:p>
        </w:tc>
      </w:tr>
      <w:tr w14:paraId="07100F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7BE046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968" w:type="dxa"/>
            <w:tcBorders>
              <w:top w:val="single" w:color="auto" w:sz="4" w:space="0"/>
              <w:left w:val="nil"/>
              <w:bottom w:val="single" w:color="auto" w:sz="4" w:space="0"/>
              <w:right w:val="single" w:color="auto" w:sz="4" w:space="0"/>
              <w:tl2br w:val="nil"/>
              <w:tr2bl w:val="nil"/>
            </w:tcBorders>
            <w:vAlign w:val="center"/>
          </w:tcPr>
          <w:p w14:paraId="4E07F6C1">
            <w:pPr>
              <w:spacing w:line="200" w:lineRule="exact"/>
            </w:pPr>
            <w:r>
              <w:rPr>
                <w:rFonts w:ascii="方正黑体_GBK" w:hAnsi="方正黑体_GBK" w:eastAsia="方正黑体_GBK" w:cs="宋体"/>
                <w:sz w:val="18"/>
                <w:szCs w:val="18"/>
              </w:rPr>
              <w:t>A份额：Z10022</w:t>
            </w:r>
          </w:p>
          <w:p w14:paraId="3CA1FF2E">
            <w:pPr>
              <w:spacing w:line="200" w:lineRule="exact"/>
            </w:pPr>
            <w:r>
              <w:rPr>
                <w:rFonts w:ascii="方正黑体_GBK" w:hAnsi="方正黑体_GBK" w:eastAsia="方正黑体_GBK" w:cs="宋体"/>
                <w:sz w:val="18"/>
                <w:szCs w:val="18"/>
              </w:rPr>
              <w:t>B份额：ZB10022</w:t>
            </w:r>
          </w:p>
          <w:p w14:paraId="0CC9EE7C">
            <w:pPr>
              <w:spacing w:line="200" w:lineRule="exact"/>
            </w:pPr>
            <w:r>
              <w:rPr>
                <w:rFonts w:ascii="方正黑体_GBK" w:hAnsi="方正黑体_GBK" w:eastAsia="方正黑体_GBK" w:cs="宋体"/>
                <w:sz w:val="18"/>
                <w:szCs w:val="18"/>
              </w:rPr>
              <w:t>C份额：ZC10022</w:t>
            </w:r>
          </w:p>
          <w:p w14:paraId="3217727F">
            <w:pPr>
              <w:spacing w:line="200" w:lineRule="exact"/>
            </w:pPr>
            <w:r>
              <w:rPr>
                <w:rFonts w:ascii="方正黑体_GBK" w:hAnsi="方正黑体_GBK" w:eastAsia="方正黑体_GBK" w:cs="宋体"/>
                <w:sz w:val="18"/>
                <w:szCs w:val="18"/>
              </w:rPr>
              <w:t>D份额：ZD10022</w:t>
            </w:r>
          </w:p>
          <w:p w14:paraId="60F81F48">
            <w:pPr>
              <w:spacing w:line="200" w:lineRule="exact"/>
            </w:pPr>
            <w:r>
              <w:rPr>
                <w:rFonts w:ascii="方正黑体_GBK" w:hAnsi="方正黑体_GBK" w:eastAsia="方正黑体_GBK" w:cs="宋体"/>
                <w:sz w:val="18"/>
                <w:szCs w:val="18"/>
              </w:rPr>
              <w:t>E份额：ZE10022</w:t>
            </w:r>
          </w:p>
          <w:p w14:paraId="44BA9016">
            <w:pPr>
              <w:spacing w:line="200" w:lineRule="exact"/>
            </w:pPr>
            <w:r>
              <w:rPr>
                <w:rFonts w:ascii="方正黑体_GBK" w:hAnsi="方正黑体_GBK" w:eastAsia="方正黑体_GBK" w:cs="宋体"/>
                <w:sz w:val="18"/>
                <w:szCs w:val="18"/>
              </w:rPr>
              <w:t>A2份额：Z11022</w:t>
            </w:r>
          </w:p>
          <w:p w14:paraId="29A6AAB8">
            <w:pPr>
              <w:spacing w:line="200" w:lineRule="exact"/>
            </w:pPr>
            <w:r>
              <w:rPr>
                <w:rFonts w:ascii="方正黑体_GBK" w:hAnsi="方正黑体_GBK" w:eastAsia="方正黑体_GBK" w:cs="宋体"/>
                <w:sz w:val="18"/>
                <w:szCs w:val="18"/>
              </w:rPr>
              <w:t>B2份额：ZB11022</w:t>
            </w:r>
          </w:p>
          <w:p w14:paraId="752D3510">
            <w:pPr>
              <w:spacing w:line="200" w:lineRule="exact"/>
            </w:pPr>
            <w:r>
              <w:rPr>
                <w:rFonts w:ascii="方正黑体_GBK" w:hAnsi="方正黑体_GBK" w:eastAsia="方正黑体_GBK" w:cs="宋体"/>
                <w:sz w:val="18"/>
                <w:szCs w:val="18"/>
              </w:rPr>
              <w:t>C2份额：ZC11022</w:t>
            </w:r>
          </w:p>
          <w:p w14:paraId="5BB59A73">
            <w:pPr>
              <w:spacing w:line="200" w:lineRule="exact"/>
            </w:pPr>
            <w:r>
              <w:rPr>
                <w:rFonts w:ascii="方正黑体_GBK" w:hAnsi="方正黑体_GBK" w:eastAsia="方正黑体_GBK" w:cs="宋体"/>
                <w:sz w:val="18"/>
                <w:szCs w:val="18"/>
              </w:rPr>
              <w:t>D2份额：ZD11022</w:t>
            </w:r>
          </w:p>
          <w:p w14:paraId="65107526">
            <w:pPr>
              <w:spacing w:line="200" w:lineRule="exact"/>
            </w:pPr>
            <w:r>
              <w:rPr>
                <w:rFonts w:ascii="方正黑体_GBK" w:hAnsi="方正黑体_GBK" w:eastAsia="方正黑体_GBK" w:cs="宋体"/>
                <w:sz w:val="18"/>
                <w:szCs w:val="18"/>
              </w:rPr>
              <w:t>E2份额：ZE11022</w:t>
            </w:r>
          </w:p>
          <w:p w14:paraId="4AF387EF">
            <w:pPr>
              <w:spacing w:line="200" w:lineRule="exact"/>
            </w:pPr>
            <w:r>
              <w:rPr>
                <w:rFonts w:ascii="方正黑体_GBK" w:hAnsi="方正黑体_GBK" w:eastAsia="方正黑体_GBK" w:cs="宋体"/>
                <w:sz w:val="18"/>
                <w:szCs w:val="18"/>
              </w:rPr>
              <w:t>A3份额：Z12022</w:t>
            </w:r>
          </w:p>
          <w:p w14:paraId="5B00AE7A">
            <w:pPr>
              <w:spacing w:line="200" w:lineRule="exact"/>
            </w:pPr>
            <w:r>
              <w:rPr>
                <w:rFonts w:ascii="方正黑体_GBK" w:hAnsi="方正黑体_GBK" w:eastAsia="方正黑体_GBK" w:cs="宋体"/>
                <w:sz w:val="18"/>
                <w:szCs w:val="18"/>
              </w:rPr>
              <w:t>B3份额：ZB12022</w:t>
            </w:r>
          </w:p>
          <w:p w14:paraId="4D67B5C2">
            <w:pPr>
              <w:spacing w:line="200" w:lineRule="exact"/>
            </w:pPr>
            <w:r>
              <w:rPr>
                <w:rFonts w:ascii="方正黑体_GBK" w:hAnsi="方正黑体_GBK" w:eastAsia="方正黑体_GBK" w:cs="宋体"/>
                <w:sz w:val="18"/>
                <w:szCs w:val="18"/>
              </w:rPr>
              <w:t>C3份额：ZC12022</w:t>
            </w:r>
          </w:p>
          <w:p w14:paraId="08465039">
            <w:pPr>
              <w:spacing w:line="200" w:lineRule="exact"/>
            </w:pPr>
            <w:r>
              <w:rPr>
                <w:rFonts w:ascii="方正黑体_GBK" w:hAnsi="方正黑体_GBK" w:eastAsia="方正黑体_GBK" w:cs="宋体"/>
                <w:sz w:val="18"/>
                <w:szCs w:val="18"/>
              </w:rPr>
              <w:t>D3份额：ZD12022</w:t>
            </w:r>
          </w:p>
          <w:p w14:paraId="2A4B805C">
            <w:pPr>
              <w:spacing w:line="200" w:lineRule="exact"/>
            </w:pPr>
            <w:r>
              <w:rPr>
                <w:rFonts w:ascii="方正黑体_GBK" w:hAnsi="方正黑体_GBK" w:eastAsia="方正黑体_GBK" w:cs="宋体"/>
                <w:sz w:val="18"/>
                <w:szCs w:val="18"/>
              </w:rPr>
              <w:t>E3份额：ZE12022</w:t>
            </w:r>
          </w:p>
          <w:p w14:paraId="69155F5A">
            <w:pPr>
              <w:spacing w:line="200" w:lineRule="exact"/>
            </w:pPr>
            <w:r>
              <w:rPr>
                <w:rFonts w:ascii="方正黑体_GBK" w:hAnsi="方正黑体_GBK" w:eastAsia="方正黑体_GBK" w:cs="宋体"/>
                <w:sz w:val="18"/>
                <w:szCs w:val="18"/>
              </w:rPr>
              <w:t>A4份额：Z13022</w:t>
            </w:r>
          </w:p>
          <w:p w14:paraId="445C1FE1">
            <w:pPr>
              <w:spacing w:line="200" w:lineRule="exact"/>
            </w:pPr>
            <w:r>
              <w:rPr>
                <w:rFonts w:ascii="方正黑体_GBK" w:hAnsi="方正黑体_GBK" w:eastAsia="方正黑体_GBK" w:cs="宋体"/>
                <w:sz w:val="18"/>
                <w:szCs w:val="18"/>
              </w:rPr>
              <w:t>B4份额：ZB13022</w:t>
            </w:r>
          </w:p>
          <w:p w14:paraId="41335DCD">
            <w:pPr>
              <w:spacing w:line="200" w:lineRule="exact"/>
            </w:pPr>
            <w:r>
              <w:rPr>
                <w:rFonts w:ascii="方正黑体_GBK" w:hAnsi="方正黑体_GBK" w:eastAsia="方正黑体_GBK" w:cs="宋体"/>
                <w:sz w:val="18"/>
                <w:szCs w:val="18"/>
              </w:rPr>
              <w:t>C4份额：ZC13022</w:t>
            </w:r>
          </w:p>
          <w:p w14:paraId="72A5F292">
            <w:pPr>
              <w:spacing w:line="200" w:lineRule="exact"/>
            </w:pPr>
            <w:r>
              <w:rPr>
                <w:rFonts w:ascii="方正黑体_GBK" w:hAnsi="方正黑体_GBK" w:eastAsia="方正黑体_GBK" w:cs="宋体"/>
                <w:sz w:val="18"/>
                <w:szCs w:val="18"/>
              </w:rPr>
              <w:t>D4份额：ZD13022</w:t>
            </w:r>
          </w:p>
          <w:p w14:paraId="6238E911">
            <w:pPr>
              <w:spacing w:line="200" w:lineRule="exact"/>
            </w:pPr>
            <w:r>
              <w:rPr>
                <w:rFonts w:ascii="方正黑体_GBK" w:hAnsi="方正黑体_GBK" w:eastAsia="方正黑体_GBK" w:cs="宋体"/>
                <w:sz w:val="18"/>
                <w:szCs w:val="18"/>
              </w:rPr>
              <w:t>E4份额：ZE13022</w:t>
            </w:r>
          </w:p>
          <w:p w14:paraId="39DE178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FC6B5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108F36E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968" w:type="dxa"/>
            <w:tcBorders>
              <w:top w:val="single" w:color="auto" w:sz="4" w:space="0"/>
              <w:left w:val="nil"/>
              <w:bottom w:val="single" w:color="auto" w:sz="4" w:space="0"/>
              <w:right w:val="single" w:color="auto" w:sz="4" w:space="0"/>
              <w:tl2br w:val="nil"/>
              <w:tr2bl w:val="nil"/>
            </w:tcBorders>
            <w:vAlign w:val="center"/>
          </w:tcPr>
          <w:p w14:paraId="01E4CB3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3E1928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483D56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968" w:type="dxa"/>
            <w:tcBorders>
              <w:top w:val="single" w:color="auto" w:sz="4" w:space="0"/>
              <w:left w:val="nil"/>
              <w:bottom w:val="single" w:color="auto" w:sz="4" w:space="0"/>
              <w:right w:val="single" w:color="auto" w:sz="4" w:space="0"/>
              <w:tl2br w:val="nil"/>
              <w:tr2bl w:val="nil"/>
            </w:tcBorders>
            <w:vAlign w:val="center"/>
          </w:tcPr>
          <w:p w14:paraId="757879BA">
            <w:pPr>
              <w:spacing w:line="200" w:lineRule="exact"/>
            </w:pPr>
            <w:r>
              <w:rPr>
                <w:rFonts w:ascii="方正黑体_GBK" w:hAnsi="方正黑体_GBK" w:eastAsia="方正黑体_GBK" w:cs="宋体"/>
                <w:sz w:val="18"/>
                <w:szCs w:val="18"/>
              </w:rPr>
              <w:t>全国</w:t>
            </w:r>
          </w:p>
        </w:tc>
      </w:tr>
      <w:tr w14:paraId="566D91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2C68F1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968" w:type="dxa"/>
            <w:tcBorders>
              <w:top w:val="single" w:color="auto" w:sz="4" w:space="0"/>
              <w:left w:val="nil"/>
              <w:bottom w:val="single" w:color="auto" w:sz="4" w:space="0"/>
              <w:right w:val="single" w:color="auto" w:sz="4" w:space="0"/>
              <w:tl2br w:val="nil"/>
              <w:tr2bl w:val="nil"/>
            </w:tcBorders>
            <w:vAlign w:val="center"/>
          </w:tcPr>
          <w:p w14:paraId="1F72AB7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E42E5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0EE994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968" w:type="dxa"/>
            <w:tcBorders>
              <w:top w:val="single" w:color="auto" w:sz="4" w:space="0"/>
              <w:left w:val="nil"/>
              <w:bottom w:val="single" w:color="auto" w:sz="4" w:space="0"/>
              <w:right w:val="single" w:color="auto" w:sz="4" w:space="0"/>
              <w:tl2br w:val="nil"/>
              <w:tr2bl w:val="nil"/>
            </w:tcBorders>
            <w:vAlign w:val="center"/>
          </w:tcPr>
          <w:p w14:paraId="22B882E6">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09EC43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7CC716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968" w:type="dxa"/>
            <w:tcBorders>
              <w:top w:val="single" w:color="auto" w:sz="4" w:space="0"/>
              <w:left w:val="nil"/>
              <w:bottom w:val="single" w:color="auto" w:sz="4" w:space="0"/>
              <w:right w:val="single" w:color="auto" w:sz="4" w:space="0"/>
              <w:tl2br w:val="nil"/>
              <w:tr2bl w:val="nil"/>
            </w:tcBorders>
            <w:vAlign w:val="center"/>
          </w:tcPr>
          <w:p w14:paraId="468173DE">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06BC11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DBB20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43C152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968" w:type="dxa"/>
            <w:tcBorders>
              <w:top w:val="single" w:color="auto" w:sz="4" w:space="0"/>
              <w:left w:val="nil"/>
              <w:bottom w:val="single" w:color="auto" w:sz="4" w:space="0"/>
              <w:right w:val="single" w:color="auto" w:sz="4" w:space="0"/>
              <w:tl2br w:val="nil"/>
              <w:tr2bl w:val="nil"/>
            </w:tcBorders>
            <w:vAlign w:val="center"/>
          </w:tcPr>
          <w:p w14:paraId="6BF3E020">
            <w:pPr>
              <w:spacing w:line="200" w:lineRule="exact"/>
              <w:jc w:val="left"/>
              <w:rPr>
                <w:rFonts w:ascii="方正黑体_GBK" w:hAnsi="方正黑体_GBK" w:eastAsia="方正黑体_GBK" w:cs="宋体"/>
                <w:sz w:val="18"/>
                <w:szCs w:val="18"/>
              </w:rPr>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68E04F4A">
            <w:pPr>
              <w:spacing w:line="200" w:lineRule="exact"/>
            </w:pPr>
            <w:r>
              <w:rPr>
                <w:rFonts w:ascii="方正黑体_GBK" w:hAnsi="方正黑体_GBK" w:eastAsia="方正黑体_GBK" w:cs="宋体"/>
                <w:sz w:val="18"/>
                <w:szCs w:val="18"/>
              </w:rPr>
              <w:t>A份额</w:t>
            </w:r>
            <w:r>
              <w:rPr>
                <w:rFonts w:hint="eastAsia" w:cs="宋体"/>
                <w:sz w:val="18"/>
                <w:szCs w:val="18"/>
                <w:lang w:val="en-US" w:eastAsia="zh-CN"/>
              </w:rPr>
              <w:t>/</w:t>
            </w:r>
            <w:r>
              <w:rPr>
                <w:rFonts w:ascii="方正黑体_GBK" w:hAnsi="方正黑体_GBK" w:eastAsia="方正黑体_GBK" w:cs="宋体"/>
                <w:sz w:val="18"/>
                <w:szCs w:val="18"/>
              </w:rPr>
              <w:t>A2份额</w:t>
            </w:r>
            <w:r>
              <w:rPr>
                <w:rFonts w:hint="eastAsia" w:cs="宋体"/>
                <w:sz w:val="18"/>
                <w:szCs w:val="18"/>
                <w:lang w:val="en-US" w:eastAsia="zh-CN"/>
              </w:rPr>
              <w:t>/</w:t>
            </w:r>
            <w:r>
              <w:rPr>
                <w:rFonts w:ascii="方正黑体_GBK" w:hAnsi="方正黑体_GBK" w:eastAsia="方正黑体_GBK" w:cs="宋体"/>
                <w:sz w:val="18"/>
                <w:szCs w:val="18"/>
              </w:rPr>
              <w:t>A</w:t>
            </w:r>
            <w:r>
              <w:rPr>
                <w:rFonts w:hint="eastAsia" w:cs="宋体"/>
                <w:sz w:val="18"/>
                <w:szCs w:val="18"/>
                <w:lang w:val="en-US" w:eastAsia="zh-CN"/>
              </w:rPr>
              <w:t>3</w:t>
            </w:r>
            <w:r>
              <w:rPr>
                <w:rFonts w:ascii="方正黑体_GBK" w:hAnsi="方正黑体_GBK" w:eastAsia="方正黑体_GBK" w:cs="宋体"/>
                <w:sz w:val="18"/>
                <w:szCs w:val="18"/>
              </w:rPr>
              <w:t>份额</w:t>
            </w:r>
            <w:r>
              <w:rPr>
                <w:rFonts w:hint="eastAsia" w:cs="宋体"/>
                <w:sz w:val="18"/>
                <w:szCs w:val="18"/>
                <w:lang w:val="en-US" w:eastAsia="zh-CN"/>
              </w:rPr>
              <w:t>/</w:t>
            </w:r>
            <w:r>
              <w:rPr>
                <w:rFonts w:ascii="方正黑体_GBK" w:hAnsi="方正黑体_GBK" w:eastAsia="方正黑体_GBK" w:cs="宋体"/>
                <w:sz w:val="18"/>
                <w:szCs w:val="18"/>
              </w:rPr>
              <w:t>A</w:t>
            </w:r>
            <w:r>
              <w:rPr>
                <w:rFonts w:hint="eastAsia" w:cs="宋体"/>
                <w:sz w:val="18"/>
                <w:szCs w:val="18"/>
                <w:lang w:val="en-US" w:eastAsia="zh-CN"/>
              </w:rPr>
              <w:t>4</w:t>
            </w:r>
            <w:r>
              <w:rPr>
                <w:rFonts w:ascii="方正黑体_GBK" w:hAnsi="方正黑体_GBK" w:eastAsia="方正黑体_GBK" w:cs="宋体"/>
                <w:sz w:val="18"/>
                <w:szCs w:val="18"/>
              </w:rPr>
              <w:t>份额：</w:t>
            </w:r>
            <w:r>
              <w:rPr>
                <w:rFonts w:hint="eastAsia" w:ascii="方正黑体_GBK" w:hAnsi="方正黑体_GBK" w:eastAsia="方正黑体_GBK" w:cs="宋体"/>
                <w:sz w:val="18"/>
                <w:szCs w:val="18"/>
              </w:rPr>
              <w:t>南京银行股份有限公司、南银理财有限责任公司、深圳前海微众银行股份有限公司、江苏常熟农村商业银行股份有限公司、日照银行股份有限公司、秦皇岛银行股份有限公司、泰安银行股份有限公司、齐鲁银行股份有限公司、云南红塔银行股份有限公司、九江银行股份有限公司、互金平台、无锡锡商银行股份有限公司、江苏扬州农村商业银行股份有限公司、江苏如皋农村商业银行股份有限公司、北京中关村银行股份有限公司客户。</w:t>
            </w:r>
          </w:p>
          <w:p w14:paraId="4F70D8F3">
            <w:pPr>
              <w:spacing w:line="200" w:lineRule="exact"/>
            </w:pPr>
            <w:r>
              <w:rPr>
                <w:rFonts w:hint="eastAsia" w:cs="宋体"/>
                <w:sz w:val="18"/>
                <w:szCs w:val="18"/>
                <w:lang w:val="en-US" w:eastAsia="zh-CN"/>
              </w:rPr>
              <w:t>B</w:t>
            </w:r>
            <w:r>
              <w:rPr>
                <w:rFonts w:ascii="方正黑体_GBK" w:hAnsi="方正黑体_GBK" w:eastAsia="方正黑体_GBK" w:cs="宋体"/>
                <w:sz w:val="18"/>
                <w:szCs w:val="18"/>
              </w:rPr>
              <w:t>份额</w:t>
            </w:r>
            <w:r>
              <w:rPr>
                <w:rFonts w:hint="eastAsia" w:cs="宋体"/>
                <w:sz w:val="18"/>
                <w:szCs w:val="18"/>
                <w:lang w:val="en-US" w:eastAsia="zh-CN"/>
              </w:rPr>
              <w:t>/B</w:t>
            </w:r>
            <w:r>
              <w:rPr>
                <w:rFonts w:ascii="方正黑体_GBK" w:hAnsi="方正黑体_GBK" w:eastAsia="方正黑体_GBK" w:cs="宋体"/>
                <w:sz w:val="18"/>
                <w:szCs w:val="18"/>
              </w:rPr>
              <w:t>2份额</w:t>
            </w:r>
            <w:r>
              <w:rPr>
                <w:rFonts w:hint="eastAsia" w:cs="宋体"/>
                <w:sz w:val="18"/>
                <w:szCs w:val="18"/>
                <w:lang w:val="en-US" w:eastAsia="zh-CN"/>
              </w:rPr>
              <w:t>/B3</w:t>
            </w:r>
            <w:r>
              <w:rPr>
                <w:rFonts w:ascii="方正黑体_GBK" w:hAnsi="方正黑体_GBK" w:eastAsia="方正黑体_GBK" w:cs="宋体"/>
                <w:sz w:val="18"/>
                <w:szCs w:val="18"/>
              </w:rPr>
              <w:t>份额</w:t>
            </w:r>
            <w:r>
              <w:rPr>
                <w:rFonts w:hint="eastAsia" w:cs="宋体"/>
                <w:sz w:val="18"/>
                <w:szCs w:val="18"/>
                <w:lang w:val="en-US" w:eastAsia="zh-CN"/>
              </w:rPr>
              <w:t>/B4</w:t>
            </w:r>
            <w:r>
              <w:rPr>
                <w:rFonts w:ascii="方正黑体_GBK" w:hAnsi="方正黑体_GBK" w:eastAsia="方正黑体_GBK" w:cs="宋体"/>
                <w:sz w:val="18"/>
                <w:szCs w:val="18"/>
              </w:rPr>
              <w:t>份额：</w:t>
            </w:r>
            <w:r>
              <w:rPr>
                <w:rFonts w:hint="eastAsia" w:ascii="方正黑体_GBK" w:hAnsi="方正黑体_GBK" w:eastAsia="方正黑体_GBK" w:cs="宋体"/>
                <w:sz w:val="18"/>
                <w:szCs w:val="18"/>
              </w:rPr>
              <w:t>天津农村商业银行股份有限公司（大众客群）、中原银行股份有限公司客户。</w:t>
            </w:r>
          </w:p>
          <w:p w14:paraId="2F959058">
            <w:pPr>
              <w:spacing w:line="200" w:lineRule="exact"/>
              <w:rPr>
                <w:rFonts w:hint="default" w:eastAsia="方正黑体_GBK"/>
                <w:lang w:val="en-US" w:eastAsia="zh-CN"/>
              </w:rPr>
            </w:pPr>
            <w:r>
              <w:rPr>
                <w:rFonts w:hint="eastAsia" w:cs="宋体"/>
                <w:sz w:val="18"/>
                <w:szCs w:val="18"/>
                <w:lang w:val="en-US" w:eastAsia="zh-CN"/>
              </w:rPr>
              <w:t>C</w:t>
            </w:r>
            <w:r>
              <w:rPr>
                <w:rFonts w:ascii="方正黑体_GBK" w:hAnsi="方正黑体_GBK" w:eastAsia="方正黑体_GBK" w:cs="宋体"/>
                <w:sz w:val="18"/>
                <w:szCs w:val="18"/>
              </w:rPr>
              <w:t>份额</w:t>
            </w:r>
            <w:r>
              <w:rPr>
                <w:rFonts w:hint="eastAsia" w:cs="宋体"/>
                <w:sz w:val="18"/>
                <w:szCs w:val="18"/>
                <w:lang w:val="en-US" w:eastAsia="zh-CN"/>
              </w:rPr>
              <w:t>/C</w:t>
            </w:r>
            <w:r>
              <w:rPr>
                <w:rFonts w:ascii="方正黑体_GBK" w:hAnsi="方正黑体_GBK" w:eastAsia="方正黑体_GBK" w:cs="宋体"/>
                <w:sz w:val="18"/>
                <w:szCs w:val="18"/>
              </w:rPr>
              <w:t>2份额</w:t>
            </w:r>
            <w:r>
              <w:rPr>
                <w:rFonts w:hint="eastAsia" w:cs="宋体"/>
                <w:sz w:val="18"/>
                <w:szCs w:val="18"/>
                <w:lang w:val="en-US" w:eastAsia="zh-CN"/>
              </w:rPr>
              <w:t>/C3</w:t>
            </w:r>
            <w:r>
              <w:rPr>
                <w:rFonts w:ascii="方正黑体_GBK" w:hAnsi="方正黑体_GBK" w:eastAsia="方正黑体_GBK" w:cs="宋体"/>
                <w:sz w:val="18"/>
                <w:szCs w:val="18"/>
              </w:rPr>
              <w:t>份额</w:t>
            </w:r>
            <w:r>
              <w:rPr>
                <w:rFonts w:hint="eastAsia" w:cs="宋体"/>
                <w:sz w:val="18"/>
                <w:szCs w:val="18"/>
                <w:lang w:val="en-US" w:eastAsia="zh-CN"/>
              </w:rPr>
              <w:t>/C4</w:t>
            </w:r>
            <w:r>
              <w:rPr>
                <w:rFonts w:ascii="方正黑体_GBK" w:hAnsi="方正黑体_GBK" w:eastAsia="方正黑体_GBK" w:cs="宋体"/>
                <w:sz w:val="18"/>
                <w:szCs w:val="18"/>
              </w:rPr>
              <w:t>份额：</w:t>
            </w:r>
            <w:r>
              <w:rPr>
                <w:rFonts w:hint="eastAsia" w:ascii="方正黑体_GBK" w:hAnsi="方正黑体_GBK" w:eastAsia="方正黑体_GBK" w:cs="宋体"/>
                <w:sz w:val="18"/>
                <w:szCs w:val="18"/>
              </w:rPr>
              <w:t>河北银行股份有限公司客户。</w:t>
            </w:r>
          </w:p>
          <w:p w14:paraId="65A865FB">
            <w:pPr>
              <w:spacing w:line="200" w:lineRule="exact"/>
            </w:pPr>
            <w:r>
              <w:rPr>
                <w:rFonts w:hint="eastAsia" w:cs="宋体"/>
                <w:sz w:val="18"/>
                <w:szCs w:val="18"/>
                <w:lang w:val="en-US" w:eastAsia="zh-CN"/>
              </w:rPr>
              <w:t>D</w:t>
            </w:r>
            <w:r>
              <w:rPr>
                <w:rFonts w:ascii="方正黑体_GBK" w:hAnsi="方正黑体_GBK" w:eastAsia="方正黑体_GBK" w:cs="宋体"/>
                <w:sz w:val="18"/>
                <w:szCs w:val="18"/>
              </w:rPr>
              <w:t>份额</w:t>
            </w:r>
            <w:r>
              <w:rPr>
                <w:rFonts w:hint="eastAsia" w:cs="宋体"/>
                <w:sz w:val="18"/>
                <w:szCs w:val="18"/>
                <w:lang w:val="en-US" w:eastAsia="zh-CN"/>
              </w:rPr>
              <w:t>/D</w:t>
            </w:r>
            <w:r>
              <w:rPr>
                <w:rFonts w:ascii="方正黑体_GBK" w:hAnsi="方正黑体_GBK" w:eastAsia="方正黑体_GBK" w:cs="宋体"/>
                <w:sz w:val="18"/>
                <w:szCs w:val="18"/>
              </w:rPr>
              <w:t>2份额</w:t>
            </w:r>
            <w:r>
              <w:rPr>
                <w:rFonts w:hint="eastAsia" w:cs="宋体"/>
                <w:sz w:val="18"/>
                <w:szCs w:val="18"/>
                <w:lang w:val="en-US" w:eastAsia="zh-CN"/>
              </w:rPr>
              <w:t>/D3</w:t>
            </w:r>
            <w:r>
              <w:rPr>
                <w:rFonts w:ascii="方正黑体_GBK" w:hAnsi="方正黑体_GBK" w:eastAsia="方正黑体_GBK" w:cs="宋体"/>
                <w:sz w:val="18"/>
                <w:szCs w:val="18"/>
              </w:rPr>
              <w:t>份额</w:t>
            </w:r>
            <w:r>
              <w:rPr>
                <w:rFonts w:hint="eastAsia" w:cs="宋体"/>
                <w:sz w:val="18"/>
                <w:szCs w:val="18"/>
                <w:lang w:val="en-US" w:eastAsia="zh-CN"/>
              </w:rPr>
              <w:t>/D4</w:t>
            </w:r>
            <w:r>
              <w:rPr>
                <w:rFonts w:ascii="方正黑体_GBK" w:hAnsi="方正黑体_GBK" w:eastAsia="方正黑体_GBK" w:cs="宋体"/>
                <w:sz w:val="18"/>
                <w:szCs w:val="18"/>
              </w:rPr>
              <w:t>份额：</w:t>
            </w:r>
            <w:r>
              <w:rPr>
                <w:rFonts w:hint="eastAsia" w:ascii="方正黑体_GBK" w:hAnsi="方正黑体_GBK" w:eastAsia="方正黑体_GBK" w:cs="宋体"/>
                <w:sz w:val="18"/>
                <w:szCs w:val="18"/>
              </w:rPr>
              <w:t>天津农村商业银行股份有限公司（专属客户）、甘肃银行股份有限公司客户。</w:t>
            </w:r>
          </w:p>
          <w:p w14:paraId="48487A8F">
            <w:pPr>
              <w:spacing w:line="200" w:lineRule="exact"/>
              <w:rPr>
                <w:rFonts w:ascii="方正黑体_GBK" w:hAnsi="方正黑体_GBK" w:eastAsia="方正黑体_GBK" w:cs="宋体"/>
                <w:sz w:val="18"/>
                <w:szCs w:val="18"/>
              </w:rPr>
            </w:pPr>
            <w:r>
              <w:rPr>
                <w:rFonts w:hint="eastAsia" w:cs="宋体"/>
                <w:sz w:val="18"/>
                <w:szCs w:val="18"/>
                <w:lang w:val="en-US" w:eastAsia="zh-CN"/>
              </w:rPr>
              <w:t>E</w:t>
            </w:r>
            <w:r>
              <w:rPr>
                <w:rFonts w:ascii="方正黑体_GBK" w:hAnsi="方正黑体_GBK" w:eastAsia="方正黑体_GBK" w:cs="宋体"/>
                <w:sz w:val="18"/>
                <w:szCs w:val="18"/>
              </w:rPr>
              <w:t>份额</w:t>
            </w:r>
            <w:r>
              <w:rPr>
                <w:rFonts w:hint="eastAsia" w:cs="宋体"/>
                <w:sz w:val="18"/>
                <w:szCs w:val="18"/>
                <w:lang w:val="en-US" w:eastAsia="zh-CN"/>
              </w:rPr>
              <w:t>/E</w:t>
            </w:r>
            <w:r>
              <w:rPr>
                <w:rFonts w:ascii="方正黑体_GBK" w:hAnsi="方正黑体_GBK" w:eastAsia="方正黑体_GBK" w:cs="宋体"/>
                <w:sz w:val="18"/>
                <w:szCs w:val="18"/>
              </w:rPr>
              <w:t>2份额</w:t>
            </w:r>
            <w:r>
              <w:rPr>
                <w:rFonts w:hint="eastAsia" w:cs="宋体"/>
                <w:sz w:val="18"/>
                <w:szCs w:val="18"/>
                <w:lang w:val="en-US" w:eastAsia="zh-CN"/>
              </w:rPr>
              <w:t>/E3</w:t>
            </w:r>
            <w:r>
              <w:rPr>
                <w:rFonts w:ascii="方正黑体_GBK" w:hAnsi="方正黑体_GBK" w:eastAsia="方正黑体_GBK" w:cs="宋体"/>
                <w:sz w:val="18"/>
                <w:szCs w:val="18"/>
              </w:rPr>
              <w:t>份额</w:t>
            </w:r>
            <w:r>
              <w:rPr>
                <w:rFonts w:hint="eastAsia" w:cs="宋体"/>
                <w:sz w:val="18"/>
                <w:szCs w:val="18"/>
                <w:lang w:val="en-US" w:eastAsia="zh-CN"/>
              </w:rPr>
              <w:t>/E4</w:t>
            </w:r>
            <w:r>
              <w:rPr>
                <w:rFonts w:ascii="方正黑体_GBK" w:hAnsi="方正黑体_GBK" w:eastAsia="方正黑体_GBK" w:cs="宋体"/>
                <w:sz w:val="18"/>
                <w:szCs w:val="18"/>
              </w:rPr>
              <w:t>份额：</w:t>
            </w:r>
            <w:r>
              <w:rPr>
                <w:rFonts w:hint="eastAsia" w:ascii="方正黑体_GBK" w:hAnsi="方正黑体_GBK" w:eastAsia="方正黑体_GBK" w:cs="宋体"/>
                <w:sz w:val="18"/>
                <w:szCs w:val="18"/>
              </w:rPr>
              <w:t>天津农村商业银行股份有限公司（特邀客户）。</w:t>
            </w:r>
          </w:p>
          <w:p w14:paraId="46F759C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7A289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3BBB69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968" w:type="dxa"/>
            <w:tcBorders>
              <w:top w:val="single" w:color="auto" w:sz="4" w:space="0"/>
              <w:left w:val="nil"/>
              <w:bottom w:val="single" w:color="auto" w:sz="4" w:space="0"/>
              <w:right w:val="single" w:color="auto" w:sz="4" w:space="0"/>
              <w:tl2br w:val="nil"/>
              <w:tr2bl w:val="nil"/>
            </w:tcBorders>
            <w:vAlign w:val="center"/>
          </w:tcPr>
          <w:p w14:paraId="3E76B77E">
            <w:pPr>
              <w:spacing w:line="200" w:lineRule="exact"/>
            </w:pPr>
            <w:r>
              <w:rPr>
                <w:rFonts w:ascii="方正黑体_GBK" w:hAnsi="方正黑体_GBK" w:eastAsia="方正黑体_GBK" w:cs="宋体"/>
                <w:sz w:val="18"/>
                <w:szCs w:val="18"/>
              </w:rPr>
              <w:t>个人投资者投资起点金额1元人民币，以1元的整数倍递增；</w:t>
            </w:r>
          </w:p>
          <w:p w14:paraId="715DD651">
            <w:pPr>
              <w:spacing w:line="200" w:lineRule="exact"/>
            </w:pPr>
            <w:r>
              <w:rPr>
                <w:rFonts w:ascii="方正黑体_GBK" w:hAnsi="方正黑体_GBK" w:eastAsia="方正黑体_GBK" w:cs="宋体"/>
                <w:sz w:val="18"/>
                <w:szCs w:val="18"/>
              </w:rPr>
              <w:t>机构投资者投资起点金额1元人民币，以1元的整数倍递增；</w:t>
            </w:r>
          </w:p>
          <w:p w14:paraId="0B9A3FD9">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1E4AD36">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04797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0AB46E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968" w:type="dxa"/>
            <w:tcBorders>
              <w:top w:val="single" w:color="auto" w:sz="4" w:space="0"/>
              <w:left w:val="nil"/>
              <w:bottom w:val="single" w:color="auto" w:sz="4" w:space="0"/>
              <w:right w:val="single" w:color="auto" w:sz="4" w:space="0"/>
              <w:tl2br w:val="nil"/>
              <w:tr2bl w:val="nil"/>
            </w:tcBorders>
            <w:vAlign w:val="center"/>
          </w:tcPr>
          <w:p w14:paraId="41B5FAE0">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5A28FE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AFF72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1D8CC3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968" w:type="dxa"/>
            <w:tcBorders>
              <w:top w:val="single" w:color="auto" w:sz="4" w:space="0"/>
              <w:left w:val="nil"/>
              <w:bottom w:val="single" w:color="auto" w:sz="4" w:space="0"/>
              <w:right w:val="single" w:color="auto" w:sz="4" w:space="0"/>
              <w:tl2br w:val="nil"/>
              <w:tr2bl w:val="nil"/>
            </w:tcBorders>
            <w:vAlign w:val="center"/>
          </w:tcPr>
          <w:p w14:paraId="6133AA9C">
            <w:pPr>
              <w:spacing w:line="200" w:lineRule="exact"/>
            </w:pPr>
            <w:r>
              <w:rPr>
                <w:rFonts w:ascii="方正黑体_GBK" w:hAnsi="方正黑体_GBK" w:eastAsia="方正黑体_GBK" w:cs="宋体"/>
                <w:color w:val="000000"/>
                <w:sz w:val="18"/>
                <w:szCs w:val="18"/>
              </w:rPr>
              <w:t>2019年02月13日 09:00—2019年02月19日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86933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6F063D7A">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968" w:type="dxa"/>
            <w:tcBorders>
              <w:top w:val="single" w:color="auto" w:sz="4" w:space="0"/>
              <w:left w:val="nil"/>
              <w:bottom w:val="single" w:color="auto" w:sz="4" w:space="0"/>
              <w:right w:val="single" w:color="auto" w:sz="4" w:space="0"/>
              <w:tl2br w:val="nil"/>
              <w:tr2bl w:val="nil"/>
            </w:tcBorders>
            <w:vAlign w:val="center"/>
          </w:tcPr>
          <w:p w14:paraId="4FAD287C">
            <w:pPr>
              <w:spacing w:line="200" w:lineRule="exact"/>
            </w:pPr>
            <w:r>
              <w:rPr>
                <w:rFonts w:ascii="方正黑体_GBK" w:hAnsi="方正黑体_GBK" w:eastAsia="方正黑体_GBK" w:cs="宋体"/>
                <w:sz w:val="18"/>
                <w:szCs w:val="18"/>
              </w:rPr>
              <w:t>认购份额=确认认购金额/1。（认购份额以去尾法保留两位小数）</w:t>
            </w:r>
          </w:p>
        </w:tc>
      </w:tr>
      <w:tr w14:paraId="7FF7A0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45F0BA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968" w:type="dxa"/>
            <w:tcBorders>
              <w:top w:val="single" w:color="auto" w:sz="4" w:space="0"/>
              <w:left w:val="nil"/>
              <w:bottom w:val="single" w:color="auto" w:sz="4" w:space="0"/>
              <w:right w:val="single" w:color="auto" w:sz="4" w:space="0"/>
              <w:tl2br w:val="nil"/>
              <w:tr2bl w:val="nil"/>
            </w:tcBorders>
            <w:vAlign w:val="center"/>
          </w:tcPr>
          <w:p w14:paraId="51F80181">
            <w:pPr>
              <w:spacing w:line="200" w:lineRule="exact"/>
            </w:pPr>
            <w:r>
              <w:rPr>
                <w:rFonts w:ascii="方正黑体_GBK" w:hAnsi="方正黑体_GBK" w:eastAsia="方正黑体_GBK" w:cs="宋体"/>
                <w:sz w:val="18"/>
                <w:szCs w:val="18"/>
              </w:rPr>
              <w:t>本理财产品每期封闭期为一年，当期封闭期起止时间以公告为准。</w:t>
            </w:r>
          </w:p>
        </w:tc>
      </w:tr>
      <w:tr w14:paraId="0FF6CF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72B6B00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968" w:type="dxa"/>
            <w:tcBorders>
              <w:top w:val="single" w:color="auto" w:sz="4" w:space="0"/>
              <w:left w:val="nil"/>
              <w:bottom w:val="single" w:color="auto" w:sz="4" w:space="0"/>
              <w:right w:val="single" w:color="auto" w:sz="4" w:space="0"/>
              <w:tl2br w:val="nil"/>
              <w:tr2bl w:val="nil"/>
            </w:tcBorders>
            <w:vAlign w:val="center"/>
          </w:tcPr>
          <w:p w14:paraId="7795ED2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B10AE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33E8AD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968" w:type="dxa"/>
            <w:tcBorders>
              <w:top w:val="single" w:color="auto" w:sz="4" w:space="0"/>
              <w:left w:val="nil"/>
              <w:bottom w:val="single" w:color="auto" w:sz="4" w:space="0"/>
              <w:right w:val="single" w:color="auto" w:sz="4" w:space="0"/>
              <w:tl2br w:val="nil"/>
              <w:tr2bl w:val="nil"/>
            </w:tcBorders>
            <w:vAlign w:val="center"/>
          </w:tcPr>
          <w:p w14:paraId="64CB24B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2019年02月20日</w:t>
            </w:r>
          </w:p>
        </w:tc>
      </w:tr>
      <w:tr w14:paraId="71EEC6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2F291E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968" w:type="dxa"/>
            <w:tcBorders>
              <w:top w:val="single" w:color="auto" w:sz="4" w:space="0"/>
              <w:left w:val="nil"/>
              <w:bottom w:val="single" w:color="auto" w:sz="4" w:space="0"/>
              <w:right w:val="single" w:color="auto" w:sz="4" w:space="0"/>
              <w:tl2br w:val="nil"/>
              <w:tr2bl w:val="nil"/>
            </w:tcBorders>
            <w:vAlign w:val="center"/>
          </w:tcPr>
          <w:p w14:paraId="5FF0CE9C">
            <w:pPr>
              <w:spacing w:line="200" w:lineRule="exact"/>
            </w:pPr>
            <w:r>
              <w:rPr>
                <w:rFonts w:ascii="方正黑体_GBK" w:hAnsi="方正黑体_GBK" w:eastAsia="方正黑体_GBK" w:cs="宋体"/>
                <w:sz w:val="18"/>
                <w:szCs w:val="18"/>
              </w:rPr>
              <w:t>2019年02月20日—实际到期日（若本理财产品未被提前终止或延期终止，则实际到期日即为名义到期日，存续期限10年；若本理财产品被提前终止或延期终止，则实际到期日为提前终止日或延期终止日。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0DD680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3DF6A6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968" w:type="dxa"/>
            <w:tcBorders>
              <w:top w:val="single" w:color="auto" w:sz="4" w:space="0"/>
              <w:left w:val="nil"/>
              <w:bottom w:val="single" w:color="auto" w:sz="4" w:space="0"/>
              <w:right w:val="single" w:color="auto" w:sz="4" w:space="0"/>
              <w:tl2br w:val="nil"/>
              <w:tr2bl w:val="nil"/>
            </w:tcBorders>
            <w:vAlign w:val="center"/>
          </w:tcPr>
          <w:p w14:paraId="4F3D3F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0AD3C8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0028BDD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968" w:type="dxa"/>
            <w:tcBorders>
              <w:top w:val="single" w:color="auto" w:sz="4" w:space="0"/>
              <w:left w:val="nil"/>
              <w:bottom w:val="single" w:color="auto" w:sz="4" w:space="0"/>
              <w:right w:val="single" w:color="auto" w:sz="4" w:space="0"/>
              <w:tl2br w:val="nil"/>
              <w:tr2bl w:val="nil"/>
            </w:tcBorders>
            <w:vAlign w:val="center"/>
          </w:tcPr>
          <w:p w14:paraId="748960EA">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15DC38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7F7EFEA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968" w:type="dxa"/>
            <w:tcBorders>
              <w:top w:val="single" w:color="auto" w:sz="4" w:space="0"/>
              <w:left w:val="nil"/>
              <w:bottom w:val="single" w:color="auto" w:sz="4" w:space="0"/>
              <w:right w:val="single" w:color="auto" w:sz="4" w:space="0"/>
              <w:tl2br w:val="nil"/>
              <w:tr2bl w:val="nil"/>
            </w:tcBorders>
            <w:vAlign w:val="center"/>
          </w:tcPr>
          <w:p w14:paraId="16BED7DF">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55A1C6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0A6D069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968" w:type="dxa"/>
            <w:tcBorders>
              <w:top w:val="single" w:color="auto" w:sz="4" w:space="0"/>
              <w:left w:val="nil"/>
              <w:bottom w:val="single" w:color="auto" w:sz="4" w:space="0"/>
              <w:right w:val="single" w:color="auto" w:sz="4" w:space="0"/>
              <w:tl2br w:val="nil"/>
              <w:tr2bl w:val="nil"/>
            </w:tcBorders>
            <w:vAlign w:val="center"/>
          </w:tcPr>
          <w:p w14:paraId="23462820">
            <w:pPr>
              <w:spacing w:line="200" w:lineRule="exact"/>
              <w:jc w:val="left"/>
            </w:pPr>
            <w:r>
              <w:rPr>
                <w:rFonts w:ascii="方正黑体_GBK" w:hAnsi="方正黑体_GBK" w:eastAsia="方正黑体_GBK" w:cs="宋体"/>
                <w:sz w:val="18"/>
                <w:szCs w:val="18"/>
              </w:rPr>
              <w:t>A份额：本次开放期为2025年3月13日9：00至2025年3月19日17：00,下一个开放期为2026年4月23日9：00至2026年4月29日17：00，投资者可以提交或撤销申购和赎回申请。</w:t>
            </w:r>
          </w:p>
          <w:p w14:paraId="3FD987C9">
            <w:pPr>
              <w:spacing w:line="200" w:lineRule="exact"/>
              <w:jc w:val="left"/>
            </w:pPr>
            <w:r>
              <w:rPr>
                <w:rFonts w:ascii="方正黑体_GBK" w:hAnsi="方正黑体_GBK" w:eastAsia="方正黑体_GBK" w:cs="宋体"/>
                <w:sz w:val="18"/>
                <w:szCs w:val="18"/>
              </w:rPr>
              <w:t>B份额/C份额/D份额/E份额：本次开放期为2025年3月13日9：00至2025年3月19日17：00，投资者可以提交或撤销申购申请；确认申购成功的份额均将于下一个开放期（2026年4月23日9：00至2026年4月29日17：00）由系统自动发起赎回申请。</w:t>
            </w:r>
          </w:p>
          <w:p w14:paraId="6A390492">
            <w:pPr>
              <w:spacing w:line="200" w:lineRule="exact"/>
              <w:jc w:val="left"/>
            </w:pPr>
            <w:r>
              <w:rPr>
                <w:rFonts w:ascii="方正黑体_GBK" w:hAnsi="方正黑体_GBK" w:eastAsia="方正黑体_GBK" w:cs="宋体"/>
                <w:sz w:val="18"/>
                <w:szCs w:val="18"/>
              </w:rPr>
              <w:t>A2份额：本次开放期为2025年3月20日9：00至2025年3月26日17：00，投资者可以提交或撤销申购申请。下一个赎回开放期为2026年4月23日9：00至2026年4月29日17：00，投资者可以提交或撤销赎回申请，下一个申购开放期为202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年4月30日9：00至202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年5月6日17：00，投资者可以提交或撤销申购申请；</w:t>
            </w:r>
          </w:p>
          <w:p w14:paraId="75A449A4">
            <w:pPr>
              <w:spacing w:line="200" w:lineRule="exact"/>
              <w:jc w:val="left"/>
            </w:pPr>
            <w:r>
              <w:rPr>
                <w:rFonts w:ascii="方正黑体_GBK" w:hAnsi="方正黑体_GBK" w:eastAsia="方正黑体_GBK" w:cs="宋体"/>
                <w:sz w:val="18"/>
                <w:szCs w:val="18"/>
              </w:rPr>
              <w:t>B2份额/C2份额/D2份额/E2份额：本次开放期为2025年3月20日9：00至2025年3月26日17：00，投资者可以提交或撤销申购申请；确认申购成功的份额均将于下一个开放期（2026年4月23日9：00至2026年4月29日17：00）由系统自动发起赎回申请。</w:t>
            </w:r>
          </w:p>
          <w:p w14:paraId="58D8B5E4">
            <w:pPr>
              <w:spacing w:line="200" w:lineRule="exact"/>
              <w:jc w:val="left"/>
            </w:pPr>
            <w:r>
              <w:rPr>
                <w:rFonts w:ascii="方正黑体_GBK" w:hAnsi="方正黑体_GBK" w:eastAsia="方正黑体_GBK" w:cs="宋体"/>
                <w:sz w:val="18"/>
                <w:szCs w:val="18"/>
              </w:rPr>
              <w:t>A3份额：本次开放期为2025年3月27日9：00至2025年4月2日17：00，投资者可以提交或撤销申购申请。下一个赎回开放期为2026年4月23日9：00至2026年4月29日17：00，投资者可以提交或撤销赎回申请，下一个申购开放期为202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年5月7日9：00至202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年5月13日17：00，投资者可以提交或撤销申购申请；</w:t>
            </w:r>
          </w:p>
          <w:p w14:paraId="71530584">
            <w:pPr>
              <w:spacing w:line="200" w:lineRule="exact"/>
              <w:jc w:val="left"/>
            </w:pPr>
            <w:r>
              <w:rPr>
                <w:rFonts w:ascii="方正黑体_GBK" w:hAnsi="方正黑体_GBK" w:eastAsia="方正黑体_GBK" w:cs="宋体"/>
                <w:sz w:val="18"/>
                <w:szCs w:val="18"/>
              </w:rPr>
              <w:t>B3份额/C3份额/D3份额/E3份额：本次开放期为2025年3月27日9：00至2025年4月2日17：00，投资者可以提交或撤销申购申请；确认申购成功的份额均将于下一个开放期（2026年4月23日9：00至2026年4月29日17：00）由系统自动发起赎回申请。</w:t>
            </w:r>
          </w:p>
          <w:p w14:paraId="07255303">
            <w:pPr>
              <w:spacing w:line="200" w:lineRule="exact"/>
              <w:jc w:val="left"/>
            </w:pPr>
            <w:r>
              <w:rPr>
                <w:rFonts w:ascii="方正黑体_GBK" w:hAnsi="方正黑体_GBK" w:eastAsia="方正黑体_GBK" w:cs="宋体"/>
                <w:sz w:val="18"/>
                <w:szCs w:val="18"/>
              </w:rPr>
              <w:t>A4份额：本次开放期为2025年4月3日9：00至2025年4月9日17：00，投资者可以提交或撤销申购申请。下一个赎回开放期为2026年4月23日9：00至2026年4月29日17：00，投资者可以提交或撤销赎回申请，下一个申购开放期为202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年5月14日9：00至202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年5月20日17：00，投资者可以提交或撤销申购申请；</w:t>
            </w:r>
          </w:p>
          <w:p w14:paraId="74892216">
            <w:pPr>
              <w:spacing w:line="200" w:lineRule="exact"/>
              <w:jc w:val="left"/>
            </w:pPr>
            <w:r>
              <w:rPr>
                <w:rFonts w:ascii="方正黑体_GBK" w:hAnsi="方正黑体_GBK" w:eastAsia="方正黑体_GBK" w:cs="宋体"/>
                <w:sz w:val="18"/>
                <w:szCs w:val="18"/>
              </w:rPr>
              <w:t>B4份额/C4份额/D4份额/E4份额：本次开放期为2025年4月3日9：00至2025年4月9日17：00，投资者可以提交或撤销申购申请；确认申购成功的份额均将于下一个开放期（2026年4月23日9：00至2026年4月29日17：00）由系统自动发起赎回申请。</w:t>
            </w:r>
          </w:p>
          <w:p w14:paraId="184E6775">
            <w:pPr>
              <w:spacing w:line="200" w:lineRule="exact"/>
              <w:jc w:val="left"/>
            </w:pPr>
            <w:r>
              <w:rPr>
                <w:rFonts w:ascii="方正黑体_GBK" w:hAnsi="方正黑体_GBK" w:eastAsia="方正黑体_GBK" w:cs="宋体"/>
                <w:sz w:val="18"/>
                <w:szCs w:val="18"/>
              </w:rPr>
              <w:t>产品开放期如有调整以管理人公告为准。</w:t>
            </w:r>
          </w:p>
          <w:p w14:paraId="3038C01A">
            <w:pPr>
              <w:spacing w:line="200" w:lineRule="exact"/>
            </w:pPr>
            <w:r>
              <w:rPr>
                <w:rFonts w:ascii="方正黑体_GBK" w:hAnsi="方正黑体_GBK" w:eastAsia="方正黑体_GBK" w:cs="宋体"/>
                <w:sz w:val="18"/>
                <w:szCs w:val="18"/>
              </w:rPr>
              <w:t>在销售机构支持的前提下，申购/赎回开放期末日17:00前可以撤销申购/赎回申请。</w:t>
            </w:r>
          </w:p>
          <w:p w14:paraId="60DB669F">
            <w:pPr>
              <w:spacing w:line="200" w:lineRule="exac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0B5372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54F6FCF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968" w:type="dxa"/>
            <w:tcBorders>
              <w:top w:val="single" w:color="auto" w:sz="4" w:space="0"/>
              <w:left w:val="nil"/>
              <w:bottom w:val="single" w:color="auto" w:sz="4" w:space="0"/>
              <w:right w:val="single" w:color="auto" w:sz="4" w:space="0"/>
              <w:tl2br w:val="nil"/>
              <w:tr2bl w:val="nil"/>
            </w:tcBorders>
            <w:vAlign w:val="center"/>
          </w:tcPr>
          <w:p w14:paraId="060300BF">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36E298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3BC010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968" w:type="dxa"/>
            <w:tcBorders>
              <w:top w:val="single" w:color="auto" w:sz="4" w:space="0"/>
              <w:left w:val="nil"/>
              <w:bottom w:val="single" w:color="auto" w:sz="4" w:space="0"/>
              <w:right w:val="single" w:color="auto" w:sz="4" w:space="0"/>
              <w:tl2br w:val="nil"/>
              <w:tr2bl w:val="nil"/>
            </w:tcBorders>
            <w:vAlign w:val="center"/>
          </w:tcPr>
          <w:p w14:paraId="10A25A06">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717C97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5325C53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968" w:type="dxa"/>
            <w:tcBorders>
              <w:top w:val="single" w:color="auto" w:sz="4" w:space="0"/>
              <w:left w:val="nil"/>
              <w:bottom w:val="single" w:color="auto" w:sz="4" w:space="0"/>
              <w:right w:val="single" w:color="auto" w:sz="4" w:space="0"/>
              <w:tl2br w:val="nil"/>
              <w:tr2bl w:val="nil"/>
            </w:tcBorders>
            <w:vAlign w:val="center"/>
          </w:tcPr>
          <w:p w14:paraId="25EF39BB">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5139E5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051AB9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968" w:type="dxa"/>
            <w:tcBorders>
              <w:top w:val="single" w:color="auto" w:sz="4" w:space="0"/>
              <w:left w:val="nil"/>
              <w:bottom w:val="single" w:color="auto" w:sz="4" w:space="0"/>
              <w:right w:val="single" w:color="auto" w:sz="4" w:space="0"/>
              <w:tl2br w:val="nil"/>
              <w:tr2bl w:val="nil"/>
            </w:tcBorders>
            <w:vAlign w:val="center"/>
          </w:tcPr>
          <w:p w14:paraId="0C1F77EE">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04F75A11">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13A05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23B430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968" w:type="dxa"/>
            <w:tcBorders>
              <w:top w:val="single" w:color="auto" w:sz="4" w:space="0"/>
              <w:left w:val="nil"/>
              <w:bottom w:val="single" w:color="auto" w:sz="4" w:space="0"/>
              <w:right w:val="single" w:color="auto" w:sz="4" w:space="0"/>
              <w:tl2br w:val="nil"/>
              <w:tr2bl w:val="nil"/>
            </w:tcBorders>
            <w:vAlign w:val="center"/>
          </w:tcPr>
          <w:p w14:paraId="2050D018">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426ADDFE">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7AF8C6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7673EB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968" w:type="dxa"/>
            <w:tcBorders>
              <w:top w:val="single" w:color="auto" w:sz="4" w:space="0"/>
              <w:left w:val="nil"/>
              <w:bottom w:val="single" w:color="auto" w:sz="4" w:space="0"/>
              <w:right w:val="single" w:color="auto" w:sz="4" w:space="0"/>
              <w:tl2br w:val="nil"/>
              <w:tr2bl w:val="nil"/>
            </w:tcBorders>
            <w:vAlign w:val="center"/>
          </w:tcPr>
          <w:p w14:paraId="59076E3E">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4FE7DE2">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753F8A4">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6F8F95E">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357BD0A">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3352BE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ADDAEA9">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820D6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1C38F9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968" w:type="dxa"/>
            <w:tcBorders>
              <w:top w:val="single" w:color="auto" w:sz="4" w:space="0"/>
              <w:left w:val="nil"/>
              <w:bottom w:val="single" w:color="auto" w:sz="4" w:space="0"/>
              <w:right w:val="single" w:color="auto" w:sz="4" w:space="0"/>
              <w:tl2br w:val="nil"/>
              <w:tr2bl w:val="nil"/>
            </w:tcBorders>
            <w:vAlign w:val="center"/>
          </w:tcPr>
          <w:p w14:paraId="0841A16B">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3F78B5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9B0A6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260685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968" w:type="dxa"/>
            <w:tcBorders>
              <w:top w:val="single" w:color="auto" w:sz="4" w:space="0"/>
              <w:left w:val="nil"/>
              <w:bottom w:val="single" w:color="auto" w:sz="4" w:space="0"/>
              <w:right w:val="single" w:color="auto" w:sz="4" w:space="0"/>
              <w:tl2br w:val="nil"/>
              <w:tr2bl w:val="nil"/>
            </w:tcBorders>
            <w:vAlign w:val="center"/>
          </w:tcPr>
          <w:p w14:paraId="496556C5">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4303E2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149C81F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968" w:type="dxa"/>
            <w:tcBorders>
              <w:top w:val="single" w:color="auto" w:sz="4" w:space="0"/>
              <w:left w:val="nil"/>
              <w:bottom w:val="single" w:color="auto" w:sz="4" w:space="0"/>
              <w:right w:val="single" w:color="auto" w:sz="4" w:space="0"/>
              <w:tl2br w:val="nil"/>
              <w:tr2bl w:val="nil"/>
            </w:tcBorders>
            <w:vAlign w:val="center"/>
          </w:tcPr>
          <w:p w14:paraId="4B409597">
            <w:pPr>
              <w:spacing w:line="200" w:lineRule="exact"/>
            </w:pPr>
            <w:r>
              <w:rPr>
                <w:rFonts w:ascii="方正黑体_GBK" w:hAnsi="方正黑体_GBK" w:eastAsia="方正黑体_GBK" w:cs="宋体"/>
                <w:b/>
                <w:sz w:val="18"/>
                <w:szCs w:val="18"/>
              </w:rPr>
              <w:t>本理财产品拟投资以下备选非标准化债权类资产：</w:t>
            </w:r>
          </w:p>
          <w:p w14:paraId="258A117F">
            <w:pPr>
              <w:spacing w:line="200" w:lineRule="exact"/>
            </w:pPr>
            <w:r>
              <w:rPr>
                <w:rFonts w:ascii="方正黑体_GBK" w:hAnsi="方正黑体_GBK" w:eastAsia="方正黑体_GBK" w:cs="宋体"/>
                <w:sz w:val="18"/>
                <w:szCs w:val="18"/>
              </w:rPr>
              <w:t>（1）信托贷款：资产类型为信托公司设立的资金信托计划，底层资产为微信及信托公司双重审核、信托公司自主风控后发放的“分付”个人消费贷款债权，资产到期日不超过理财产品最近一次开放日。</w:t>
            </w:r>
          </w:p>
          <w:p w14:paraId="2693D9A3">
            <w:pPr>
              <w:spacing w:line="200" w:lineRule="exact"/>
            </w:pPr>
            <w:r>
              <w:rPr>
                <w:rFonts w:ascii="方正黑体_GBK" w:hAnsi="方正黑体_GBK" w:eastAsia="方正黑体_GBK" w:cs="宋体"/>
                <w:sz w:val="18"/>
                <w:szCs w:val="18"/>
              </w:rPr>
              <w:t>（2）信托贷款：资产类型为信托公司设立的资金信托计划，底层资产为京东及信托公司双重审核、信托公司自主风控后发放的“白条取现”个人消费贷款债权，资产到期日不超过理财产品最近一次开放日。</w:t>
            </w:r>
          </w:p>
          <w:p w14:paraId="5A4B3525">
            <w:pPr>
              <w:spacing w:line="200" w:lineRule="exact"/>
            </w:pPr>
            <w:r>
              <w:rPr>
                <w:rFonts w:ascii="方正黑体_GBK" w:hAnsi="方正黑体_GBK" w:eastAsia="方正黑体_GBK" w:cs="宋体"/>
                <w:sz w:val="18"/>
                <w:szCs w:val="18"/>
              </w:rPr>
              <w:t>（3）信托贷款：资产类型为信托公司设立的资金信托计划，底层资产为蚂蚁及信托公司双重审核、信托公司自主风控后发放的“花呗”个人消费贷款债权，资产到期日不超过理财产品最近一次开放日。</w:t>
            </w:r>
          </w:p>
          <w:p w14:paraId="0599006B">
            <w:pPr>
              <w:spacing w:line="200" w:lineRule="exact"/>
            </w:pPr>
            <w:r>
              <w:rPr>
                <w:rFonts w:ascii="方正黑体_GBK" w:hAnsi="方正黑体_GBK" w:eastAsia="方正黑体_GBK" w:cs="宋体"/>
                <w:sz w:val="18"/>
                <w:szCs w:val="18"/>
              </w:rPr>
              <w:t>（4）资产支持计划：资产类型为保险资产管理公司设立的资产支持计划，底层资产为蚂蚁及信托公司双重审核、信托公司自主风控后发放的“借呗”个人消费贷款债权，资产到期日不超过理财产品最近一次开放日。</w:t>
            </w:r>
          </w:p>
          <w:p w14:paraId="086742F4">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个人消费贷款债权，资产到期日不超过理财产品最近一次开放日。</w:t>
            </w:r>
          </w:p>
          <w:p w14:paraId="5E92C22F">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5A79E9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75AAAB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968" w:type="dxa"/>
            <w:tcBorders>
              <w:top w:val="single" w:color="auto" w:sz="4" w:space="0"/>
              <w:left w:val="nil"/>
              <w:bottom w:val="single" w:color="auto" w:sz="4" w:space="0"/>
              <w:right w:val="single" w:color="auto" w:sz="4" w:space="0"/>
              <w:tl2br w:val="nil"/>
              <w:tr2bl w:val="nil"/>
            </w:tcBorders>
            <w:vAlign w:val="center"/>
          </w:tcPr>
          <w:p w14:paraId="1AA27240">
            <w:pPr>
              <w:spacing w:line="200" w:lineRule="exact"/>
            </w:pPr>
            <w:r>
              <w:rPr>
                <w:rFonts w:ascii="方正黑体_GBK" w:hAnsi="方正黑体_GBK" w:eastAsia="方正黑体_GBK" w:cs="宋体"/>
                <w:sz w:val="18"/>
                <w:szCs w:val="18"/>
              </w:rPr>
              <w:t>A份额</w:t>
            </w:r>
            <w:r>
              <w:rPr>
                <w:rFonts w:hint="eastAsia" w:cs="宋体"/>
                <w:sz w:val="18"/>
                <w:szCs w:val="18"/>
                <w:lang w:val="en-US" w:eastAsia="zh-CN"/>
              </w:rPr>
              <w:t>/</w:t>
            </w:r>
            <w:r>
              <w:rPr>
                <w:rFonts w:ascii="方正黑体_GBK" w:hAnsi="方正黑体_GBK" w:eastAsia="方正黑体_GBK" w:cs="宋体"/>
                <w:sz w:val="18"/>
                <w:szCs w:val="18"/>
              </w:rPr>
              <w:t>A2份额</w:t>
            </w:r>
            <w:r>
              <w:rPr>
                <w:rFonts w:hint="eastAsia" w:cs="宋体"/>
                <w:sz w:val="18"/>
                <w:szCs w:val="18"/>
                <w:lang w:val="en-US" w:eastAsia="zh-CN"/>
              </w:rPr>
              <w:t>/</w:t>
            </w:r>
            <w:r>
              <w:rPr>
                <w:rFonts w:ascii="方正黑体_GBK" w:hAnsi="方正黑体_GBK" w:eastAsia="方正黑体_GBK" w:cs="宋体"/>
                <w:sz w:val="18"/>
                <w:szCs w:val="18"/>
              </w:rPr>
              <w:t>A</w:t>
            </w:r>
            <w:r>
              <w:rPr>
                <w:rFonts w:hint="eastAsia" w:cs="宋体"/>
                <w:sz w:val="18"/>
                <w:szCs w:val="18"/>
                <w:lang w:val="en-US" w:eastAsia="zh-CN"/>
              </w:rPr>
              <w:t>3</w:t>
            </w:r>
            <w:r>
              <w:rPr>
                <w:rFonts w:ascii="方正黑体_GBK" w:hAnsi="方正黑体_GBK" w:eastAsia="方正黑体_GBK" w:cs="宋体"/>
                <w:sz w:val="18"/>
                <w:szCs w:val="18"/>
              </w:rPr>
              <w:t>份额</w:t>
            </w:r>
            <w:r>
              <w:rPr>
                <w:rFonts w:hint="eastAsia" w:cs="宋体"/>
                <w:sz w:val="18"/>
                <w:szCs w:val="18"/>
                <w:lang w:val="en-US" w:eastAsia="zh-CN"/>
              </w:rPr>
              <w:t>/</w:t>
            </w:r>
            <w:r>
              <w:rPr>
                <w:rFonts w:ascii="方正黑体_GBK" w:hAnsi="方正黑体_GBK" w:eastAsia="方正黑体_GBK" w:cs="宋体"/>
                <w:sz w:val="18"/>
                <w:szCs w:val="18"/>
              </w:rPr>
              <w:t>A</w:t>
            </w:r>
            <w:r>
              <w:rPr>
                <w:rFonts w:hint="eastAsia" w:cs="宋体"/>
                <w:sz w:val="18"/>
                <w:szCs w:val="18"/>
                <w:lang w:val="en-US" w:eastAsia="zh-CN"/>
              </w:rPr>
              <w:t>4</w:t>
            </w:r>
            <w:r>
              <w:rPr>
                <w:rFonts w:ascii="方正黑体_GBK" w:hAnsi="方正黑体_GBK" w:eastAsia="方正黑体_GBK" w:cs="宋体"/>
                <w:sz w:val="18"/>
                <w:szCs w:val="18"/>
              </w:rPr>
              <w:t>份额：业绩比较基准为年化2.7%-3.3% 。</w:t>
            </w:r>
          </w:p>
          <w:p w14:paraId="38DD8154">
            <w:pPr>
              <w:spacing w:line="200" w:lineRule="exact"/>
            </w:pPr>
            <w:r>
              <w:rPr>
                <w:rFonts w:hint="eastAsia" w:cs="宋体"/>
                <w:sz w:val="18"/>
                <w:szCs w:val="18"/>
                <w:lang w:val="en-US" w:eastAsia="zh-CN"/>
              </w:rPr>
              <w:t>B</w:t>
            </w:r>
            <w:r>
              <w:rPr>
                <w:rFonts w:ascii="方正黑体_GBK" w:hAnsi="方正黑体_GBK" w:eastAsia="方正黑体_GBK" w:cs="宋体"/>
                <w:sz w:val="18"/>
                <w:szCs w:val="18"/>
              </w:rPr>
              <w:t>份额</w:t>
            </w:r>
            <w:r>
              <w:rPr>
                <w:rFonts w:hint="eastAsia" w:cs="宋体"/>
                <w:sz w:val="18"/>
                <w:szCs w:val="18"/>
                <w:lang w:val="en-US" w:eastAsia="zh-CN"/>
              </w:rPr>
              <w:t>/B</w:t>
            </w:r>
            <w:r>
              <w:rPr>
                <w:rFonts w:ascii="方正黑体_GBK" w:hAnsi="方正黑体_GBK" w:eastAsia="方正黑体_GBK" w:cs="宋体"/>
                <w:sz w:val="18"/>
                <w:szCs w:val="18"/>
              </w:rPr>
              <w:t>2份额</w:t>
            </w:r>
            <w:r>
              <w:rPr>
                <w:rFonts w:hint="eastAsia" w:cs="宋体"/>
                <w:sz w:val="18"/>
                <w:szCs w:val="18"/>
                <w:lang w:val="en-US" w:eastAsia="zh-CN"/>
              </w:rPr>
              <w:t>/B3</w:t>
            </w:r>
            <w:r>
              <w:rPr>
                <w:rFonts w:ascii="方正黑体_GBK" w:hAnsi="方正黑体_GBK" w:eastAsia="方正黑体_GBK" w:cs="宋体"/>
                <w:sz w:val="18"/>
                <w:szCs w:val="18"/>
              </w:rPr>
              <w:t>份额</w:t>
            </w:r>
            <w:r>
              <w:rPr>
                <w:rFonts w:hint="eastAsia" w:cs="宋体"/>
                <w:sz w:val="18"/>
                <w:szCs w:val="18"/>
                <w:lang w:val="en-US" w:eastAsia="zh-CN"/>
              </w:rPr>
              <w:t>/B4</w:t>
            </w:r>
            <w:r>
              <w:rPr>
                <w:rFonts w:ascii="方正黑体_GBK" w:hAnsi="方正黑体_GBK" w:eastAsia="方正黑体_GBK" w:cs="宋体"/>
                <w:sz w:val="18"/>
                <w:szCs w:val="18"/>
              </w:rPr>
              <w:t>份额：业绩比较基准为年化2.7%-3.3% 。</w:t>
            </w:r>
          </w:p>
          <w:p w14:paraId="161DB6F8">
            <w:pPr>
              <w:spacing w:line="200" w:lineRule="exact"/>
              <w:rPr>
                <w:rFonts w:hint="default" w:eastAsia="方正黑体_GBK"/>
                <w:lang w:val="en-US" w:eastAsia="zh-CN"/>
              </w:rPr>
            </w:pPr>
            <w:r>
              <w:rPr>
                <w:rFonts w:hint="eastAsia" w:cs="宋体"/>
                <w:sz w:val="18"/>
                <w:szCs w:val="18"/>
                <w:lang w:val="en-US" w:eastAsia="zh-CN"/>
              </w:rPr>
              <w:t>C</w:t>
            </w:r>
            <w:r>
              <w:rPr>
                <w:rFonts w:ascii="方正黑体_GBK" w:hAnsi="方正黑体_GBK" w:eastAsia="方正黑体_GBK" w:cs="宋体"/>
                <w:sz w:val="18"/>
                <w:szCs w:val="18"/>
              </w:rPr>
              <w:t>份额</w:t>
            </w:r>
            <w:r>
              <w:rPr>
                <w:rFonts w:hint="eastAsia" w:cs="宋体"/>
                <w:sz w:val="18"/>
                <w:szCs w:val="18"/>
                <w:lang w:val="en-US" w:eastAsia="zh-CN"/>
              </w:rPr>
              <w:t>/C</w:t>
            </w:r>
            <w:r>
              <w:rPr>
                <w:rFonts w:ascii="方正黑体_GBK" w:hAnsi="方正黑体_GBK" w:eastAsia="方正黑体_GBK" w:cs="宋体"/>
                <w:sz w:val="18"/>
                <w:szCs w:val="18"/>
              </w:rPr>
              <w:t>2份额</w:t>
            </w:r>
            <w:r>
              <w:rPr>
                <w:rFonts w:hint="eastAsia" w:cs="宋体"/>
                <w:sz w:val="18"/>
                <w:szCs w:val="18"/>
                <w:lang w:val="en-US" w:eastAsia="zh-CN"/>
              </w:rPr>
              <w:t>/C3</w:t>
            </w:r>
            <w:r>
              <w:rPr>
                <w:rFonts w:ascii="方正黑体_GBK" w:hAnsi="方正黑体_GBK" w:eastAsia="方正黑体_GBK" w:cs="宋体"/>
                <w:sz w:val="18"/>
                <w:szCs w:val="18"/>
              </w:rPr>
              <w:t>份额</w:t>
            </w:r>
            <w:r>
              <w:rPr>
                <w:rFonts w:hint="eastAsia" w:cs="宋体"/>
                <w:sz w:val="18"/>
                <w:szCs w:val="18"/>
                <w:lang w:val="en-US" w:eastAsia="zh-CN"/>
              </w:rPr>
              <w:t>/C4</w:t>
            </w:r>
            <w:r>
              <w:rPr>
                <w:rFonts w:ascii="方正黑体_GBK" w:hAnsi="方正黑体_GBK" w:eastAsia="方正黑体_GBK" w:cs="宋体"/>
                <w:sz w:val="18"/>
                <w:szCs w:val="18"/>
              </w:rPr>
              <w:t>份额：业绩比较基准为年化2.8%-3.4% 。</w:t>
            </w:r>
          </w:p>
          <w:p w14:paraId="167FFF94">
            <w:pPr>
              <w:spacing w:line="200" w:lineRule="exact"/>
            </w:pPr>
            <w:r>
              <w:rPr>
                <w:rFonts w:hint="eastAsia" w:cs="宋体"/>
                <w:sz w:val="18"/>
                <w:szCs w:val="18"/>
                <w:lang w:val="en-US" w:eastAsia="zh-CN"/>
              </w:rPr>
              <w:t>D</w:t>
            </w:r>
            <w:r>
              <w:rPr>
                <w:rFonts w:ascii="方正黑体_GBK" w:hAnsi="方正黑体_GBK" w:eastAsia="方正黑体_GBK" w:cs="宋体"/>
                <w:sz w:val="18"/>
                <w:szCs w:val="18"/>
              </w:rPr>
              <w:t>份额</w:t>
            </w:r>
            <w:r>
              <w:rPr>
                <w:rFonts w:hint="eastAsia" w:cs="宋体"/>
                <w:sz w:val="18"/>
                <w:szCs w:val="18"/>
                <w:lang w:val="en-US" w:eastAsia="zh-CN"/>
              </w:rPr>
              <w:t>/D</w:t>
            </w:r>
            <w:r>
              <w:rPr>
                <w:rFonts w:ascii="方正黑体_GBK" w:hAnsi="方正黑体_GBK" w:eastAsia="方正黑体_GBK" w:cs="宋体"/>
                <w:sz w:val="18"/>
                <w:szCs w:val="18"/>
              </w:rPr>
              <w:t>2份额</w:t>
            </w:r>
            <w:r>
              <w:rPr>
                <w:rFonts w:hint="eastAsia" w:cs="宋体"/>
                <w:sz w:val="18"/>
                <w:szCs w:val="18"/>
                <w:lang w:val="en-US" w:eastAsia="zh-CN"/>
              </w:rPr>
              <w:t>/D3</w:t>
            </w:r>
            <w:r>
              <w:rPr>
                <w:rFonts w:ascii="方正黑体_GBK" w:hAnsi="方正黑体_GBK" w:eastAsia="方正黑体_GBK" w:cs="宋体"/>
                <w:sz w:val="18"/>
                <w:szCs w:val="18"/>
              </w:rPr>
              <w:t>份额</w:t>
            </w:r>
            <w:r>
              <w:rPr>
                <w:rFonts w:hint="eastAsia" w:cs="宋体"/>
                <w:sz w:val="18"/>
                <w:szCs w:val="18"/>
                <w:lang w:val="en-US" w:eastAsia="zh-CN"/>
              </w:rPr>
              <w:t>/D4</w:t>
            </w:r>
            <w:r>
              <w:rPr>
                <w:rFonts w:ascii="方正黑体_GBK" w:hAnsi="方正黑体_GBK" w:eastAsia="方正黑体_GBK" w:cs="宋体"/>
                <w:sz w:val="18"/>
                <w:szCs w:val="18"/>
              </w:rPr>
              <w:t>份额：业绩比较基准为年化2.85%-3.45% 。</w:t>
            </w:r>
          </w:p>
          <w:p w14:paraId="7F9B40C2">
            <w:pPr>
              <w:spacing w:line="200" w:lineRule="exact"/>
            </w:pPr>
            <w:r>
              <w:rPr>
                <w:rFonts w:hint="eastAsia" w:cs="宋体"/>
                <w:sz w:val="18"/>
                <w:szCs w:val="18"/>
                <w:lang w:val="en-US" w:eastAsia="zh-CN"/>
              </w:rPr>
              <w:t>E</w:t>
            </w:r>
            <w:r>
              <w:rPr>
                <w:rFonts w:ascii="方正黑体_GBK" w:hAnsi="方正黑体_GBK" w:eastAsia="方正黑体_GBK" w:cs="宋体"/>
                <w:sz w:val="18"/>
                <w:szCs w:val="18"/>
              </w:rPr>
              <w:t>份额</w:t>
            </w:r>
            <w:r>
              <w:rPr>
                <w:rFonts w:hint="eastAsia" w:cs="宋体"/>
                <w:sz w:val="18"/>
                <w:szCs w:val="18"/>
                <w:lang w:val="en-US" w:eastAsia="zh-CN"/>
              </w:rPr>
              <w:t>/E</w:t>
            </w:r>
            <w:r>
              <w:rPr>
                <w:rFonts w:ascii="方正黑体_GBK" w:hAnsi="方正黑体_GBK" w:eastAsia="方正黑体_GBK" w:cs="宋体"/>
                <w:sz w:val="18"/>
                <w:szCs w:val="18"/>
              </w:rPr>
              <w:t>2份额</w:t>
            </w:r>
            <w:r>
              <w:rPr>
                <w:rFonts w:hint="eastAsia" w:cs="宋体"/>
                <w:sz w:val="18"/>
                <w:szCs w:val="18"/>
                <w:lang w:val="en-US" w:eastAsia="zh-CN"/>
              </w:rPr>
              <w:t>/E3</w:t>
            </w:r>
            <w:r>
              <w:rPr>
                <w:rFonts w:ascii="方正黑体_GBK" w:hAnsi="方正黑体_GBK" w:eastAsia="方正黑体_GBK" w:cs="宋体"/>
                <w:sz w:val="18"/>
                <w:szCs w:val="18"/>
              </w:rPr>
              <w:t>份额</w:t>
            </w:r>
            <w:r>
              <w:rPr>
                <w:rFonts w:hint="eastAsia" w:cs="宋体"/>
                <w:sz w:val="18"/>
                <w:szCs w:val="18"/>
                <w:lang w:val="en-US" w:eastAsia="zh-CN"/>
              </w:rPr>
              <w:t>/E4</w:t>
            </w:r>
            <w:r>
              <w:rPr>
                <w:rFonts w:ascii="方正黑体_GBK" w:hAnsi="方正黑体_GBK" w:eastAsia="方正黑体_GBK" w:cs="宋体"/>
                <w:sz w:val="18"/>
                <w:szCs w:val="18"/>
              </w:rPr>
              <w:t>份额：业绩比较基准为年化2.95%-3.55% 。</w:t>
            </w:r>
          </w:p>
          <w:p w14:paraId="2D196562">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4E5C0868">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37B6E691">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D3D65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5A444AF6">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968" w:type="dxa"/>
            <w:tcBorders>
              <w:top w:val="single" w:color="auto" w:sz="4" w:space="0"/>
              <w:left w:val="nil"/>
              <w:bottom w:val="single" w:color="auto" w:sz="4" w:space="0"/>
              <w:right w:val="single" w:color="auto" w:sz="4" w:space="0"/>
              <w:tl2br w:val="nil"/>
              <w:tr2bl w:val="nil"/>
            </w:tcBorders>
            <w:vAlign w:val="center"/>
          </w:tcPr>
          <w:p w14:paraId="4F312C83">
            <w:pPr>
              <w:spacing w:line="200" w:lineRule="exact"/>
              <w:rPr>
                <w:b/>
                <w:bCs w:val="0"/>
              </w:rPr>
            </w:pPr>
            <w:r>
              <w:rPr>
                <w:rFonts w:ascii="方正黑体_GBK" w:hAnsi="方正黑体_GBK" w:eastAsia="方正黑体_GBK" w:cs="宋体"/>
                <w:b/>
                <w:bCs w:val="0"/>
                <w:sz w:val="18"/>
                <w:szCs w:val="18"/>
              </w:rPr>
              <w:t>认/申购费：本理财产品暂不收取认/申购费。</w:t>
            </w:r>
          </w:p>
          <w:p w14:paraId="481FF930">
            <w:pPr>
              <w:spacing w:line="200" w:lineRule="exact"/>
              <w:rPr>
                <w:b/>
                <w:bCs w:val="0"/>
              </w:rPr>
            </w:pPr>
            <w:r>
              <w:rPr>
                <w:rFonts w:ascii="方正黑体_GBK" w:hAnsi="方正黑体_GBK" w:eastAsia="方正黑体_GBK" w:cs="宋体"/>
                <w:b/>
                <w:bCs w:val="0"/>
                <w:sz w:val="18"/>
                <w:szCs w:val="18"/>
              </w:rPr>
              <w:t>赎回费：本理财产品暂不收取赎回费。</w:t>
            </w:r>
          </w:p>
          <w:p w14:paraId="3CCF0D25">
            <w:pPr>
              <w:spacing w:line="200" w:lineRule="exact"/>
              <w:rPr>
                <w:b/>
                <w:bCs w:val="0"/>
              </w:rPr>
            </w:pPr>
            <w:r>
              <w:rPr>
                <w:rFonts w:ascii="方正黑体_GBK" w:hAnsi="方正黑体_GBK" w:eastAsia="方正黑体_GBK" w:cs="宋体"/>
                <w:b/>
                <w:bCs w:val="0"/>
                <w:sz w:val="18"/>
                <w:szCs w:val="18"/>
              </w:rPr>
              <w:t>销售费：本理财产品按前一日理财产品资产净值收取销售费，按日计提。</w:t>
            </w:r>
          </w:p>
          <w:p w14:paraId="5BB67636">
            <w:pPr>
              <w:spacing w:line="200" w:lineRule="exact"/>
              <w:rPr>
                <w:b/>
                <w:bCs w:val="0"/>
              </w:rPr>
            </w:pPr>
            <w:r>
              <w:rPr>
                <w:rFonts w:ascii="方正黑体_GBK" w:hAnsi="方正黑体_GBK" w:eastAsia="方正黑体_GBK" w:cs="宋体"/>
                <w:b/>
                <w:bCs w:val="0"/>
                <w:sz w:val="18"/>
                <w:szCs w:val="18"/>
              </w:rPr>
              <w:t>A份额</w:t>
            </w:r>
            <w:r>
              <w:rPr>
                <w:rFonts w:hint="eastAsia" w:cs="宋体"/>
                <w:b/>
                <w:bCs w:val="0"/>
                <w:sz w:val="18"/>
                <w:szCs w:val="18"/>
                <w:lang w:val="en-US" w:eastAsia="zh-CN"/>
              </w:rPr>
              <w:t>/</w:t>
            </w:r>
            <w:r>
              <w:rPr>
                <w:rFonts w:ascii="方正黑体_GBK" w:hAnsi="方正黑体_GBK" w:eastAsia="方正黑体_GBK" w:cs="宋体"/>
                <w:b/>
                <w:bCs w:val="0"/>
                <w:sz w:val="18"/>
                <w:szCs w:val="18"/>
              </w:rPr>
              <w:t>A2份额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3</w:t>
            </w:r>
            <w:r>
              <w:rPr>
                <w:rFonts w:ascii="方正黑体_GBK" w:hAnsi="方正黑体_GBK" w:eastAsia="方正黑体_GBK" w:cs="宋体"/>
                <w:b/>
                <w:bCs w:val="0"/>
                <w:sz w:val="18"/>
                <w:szCs w:val="18"/>
              </w:rPr>
              <w:t>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4</w:t>
            </w:r>
            <w:r>
              <w:rPr>
                <w:rFonts w:ascii="方正黑体_GBK" w:hAnsi="方正黑体_GBK" w:eastAsia="方正黑体_GBK" w:cs="宋体"/>
                <w:b/>
                <w:bCs w:val="0"/>
                <w:sz w:val="18"/>
                <w:szCs w:val="18"/>
              </w:rPr>
              <w:t>份额：销售费年化0.2%</w:t>
            </w:r>
          </w:p>
          <w:p w14:paraId="374C9E93">
            <w:pPr>
              <w:spacing w:line="200" w:lineRule="exact"/>
              <w:rPr>
                <w:b/>
                <w:bCs w:val="0"/>
              </w:rPr>
            </w:pPr>
            <w:r>
              <w:rPr>
                <w:rFonts w:hint="eastAsia" w:cs="宋体"/>
                <w:b/>
                <w:bCs w:val="0"/>
                <w:sz w:val="18"/>
                <w:szCs w:val="18"/>
                <w:lang w:val="en-US" w:eastAsia="zh-CN"/>
              </w:rPr>
              <w:t>B</w:t>
            </w:r>
            <w:r>
              <w:rPr>
                <w:rFonts w:ascii="方正黑体_GBK" w:hAnsi="方正黑体_GBK" w:eastAsia="方正黑体_GBK" w:cs="宋体"/>
                <w:b/>
                <w:bCs w:val="0"/>
                <w:sz w:val="18"/>
                <w:szCs w:val="18"/>
              </w:rPr>
              <w:t>份额</w:t>
            </w:r>
            <w:r>
              <w:rPr>
                <w:rFonts w:hint="eastAsia" w:cs="宋体"/>
                <w:b/>
                <w:bCs w:val="0"/>
                <w:sz w:val="18"/>
                <w:szCs w:val="18"/>
                <w:lang w:val="en-US" w:eastAsia="zh-CN"/>
              </w:rPr>
              <w:t>/B</w:t>
            </w:r>
            <w:r>
              <w:rPr>
                <w:rFonts w:ascii="方正黑体_GBK" w:hAnsi="方正黑体_GBK" w:eastAsia="方正黑体_GBK" w:cs="宋体"/>
                <w:b/>
                <w:bCs w:val="0"/>
                <w:sz w:val="18"/>
                <w:szCs w:val="18"/>
              </w:rPr>
              <w:t>2份额</w:t>
            </w:r>
            <w:r>
              <w:rPr>
                <w:rFonts w:hint="eastAsia" w:cs="宋体"/>
                <w:b/>
                <w:bCs w:val="0"/>
                <w:sz w:val="18"/>
                <w:szCs w:val="18"/>
                <w:lang w:val="en-US" w:eastAsia="zh-CN"/>
              </w:rPr>
              <w:t>/B3</w:t>
            </w:r>
            <w:r>
              <w:rPr>
                <w:rFonts w:ascii="方正黑体_GBK" w:hAnsi="方正黑体_GBK" w:eastAsia="方正黑体_GBK" w:cs="宋体"/>
                <w:b/>
                <w:bCs w:val="0"/>
                <w:sz w:val="18"/>
                <w:szCs w:val="18"/>
              </w:rPr>
              <w:t>份额</w:t>
            </w:r>
            <w:r>
              <w:rPr>
                <w:rFonts w:hint="eastAsia" w:cs="宋体"/>
                <w:b/>
                <w:bCs w:val="0"/>
                <w:sz w:val="18"/>
                <w:szCs w:val="18"/>
                <w:lang w:val="en-US" w:eastAsia="zh-CN"/>
              </w:rPr>
              <w:t>/B4</w:t>
            </w:r>
            <w:r>
              <w:rPr>
                <w:rFonts w:ascii="方正黑体_GBK" w:hAnsi="方正黑体_GBK" w:eastAsia="方正黑体_GBK" w:cs="宋体"/>
                <w:b/>
                <w:bCs w:val="0"/>
                <w:sz w:val="18"/>
                <w:szCs w:val="18"/>
              </w:rPr>
              <w:t>份额：销售费年化0.2%</w:t>
            </w:r>
          </w:p>
          <w:p w14:paraId="48011DA2">
            <w:pPr>
              <w:spacing w:line="200" w:lineRule="exact"/>
              <w:rPr>
                <w:b/>
                <w:bCs w:val="0"/>
              </w:rPr>
            </w:pPr>
            <w:r>
              <w:rPr>
                <w:rFonts w:hint="eastAsia" w:cs="宋体"/>
                <w:b/>
                <w:bCs w:val="0"/>
                <w:sz w:val="18"/>
                <w:szCs w:val="18"/>
                <w:lang w:val="en-US" w:eastAsia="zh-CN"/>
              </w:rPr>
              <w:t>C</w:t>
            </w:r>
            <w:r>
              <w:rPr>
                <w:rFonts w:ascii="方正黑体_GBK" w:hAnsi="方正黑体_GBK" w:eastAsia="方正黑体_GBK" w:cs="宋体"/>
                <w:b/>
                <w:bCs w:val="0"/>
                <w:sz w:val="18"/>
                <w:szCs w:val="18"/>
              </w:rPr>
              <w:t>份额</w:t>
            </w:r>
            <w:r>
              <w:rPr>
                <w:rFonts w:hint="eastAsia" w:cs="宋体"/>
                <w:b/>
                <w:bCs w:val="0"/>
                <w:sz w:val="18"/>
                <w:szCs w:val="18"/>
                <w:lang w:val="en-US" w:eastAsia="zh-CN"/>
              </w:rPr>
              <w:t>/C</w:t>
            </w:r>
            <w:r>
              <w:rPr>
                <w:rFonts w:ascii="方正黑体_GBK" w:hAnsi="方正黑体_GBK" w:eastAsia="方正黑体_GBK" w:cs="宋体"/>
                <w:b/>
                <w:bCs w:val="0"/>
                <w:sz w:val="18"/>
                <w:szCs w:val="18"/>
              </w:rPr>
              <w:t>2份额</w:t>
            </w:r>
            <w:r>
              <w:rPr>
                <w:rFonts w:hint="eastAsia" w:cs="宋体"/>
                <w:b/>
                <w:bCs w:val="0"/>
                <w:sz w:val="18"/>
                <w:szCs w:val="18"/>
                <w:lang w:val="en-US" w:eastAsia="zh-CN"/>
              </w:rPr>
              <w:t>/C3</w:t>
            </w:r>
            <w:r>
              <w:rPr>
                <w:rFonts w:ascii="方正黑体_GBK" w:hAnsi="方正黑体_GBK" w:eastAsia="方正黑体_GBK" w:cs="宋体"/>
                <w:b/>
                <w:bCs w:val="0"/>
                <w:sz w:val="18"/>
                <w:szCs w:val="18"/>
              </w:rPr>
              <w:t>份额</w:t>
            </w:r>
            <w:r>
              <w:rPr>
                <w:rFonts w:hint="eastAsia" w:cs="宋体"/>
                <w:b/>
                <w:bCs w:val="0"/>
                <w:sz w:val="18"/>
                <w:szCs w:val="18"/>
                <w:lang w:val="en-US" w:eastAsia="zh-CN"/>
              </w:rPr>
              <w:t>/C4</w:t>
            </w:r>
            <w:r>
              <w:rPr>
                <w:rFonts w:ascii="方正黑体_GBK" w:hAnsi="方正黑体_GBK" w:eastAsia="方正黑体_GBK" w:cs="宋体"/>
                <w:b/>
                <w:bCs w:val="0"/>
                <w:sz w:val="18"/>
                <w:szCs w:val="18"/>
              </w:rPr>
              <w:t>份额：销售费年化0.15%</w:t>
            </w:r>
          </w:p>
          <w:p w14:paraId="4CFC5265">
            <w:pPr>
              <w:spacing w:line="200" w:lineRule="exact"/>
              <w:rPr>
                <w:b/>
                <w:bCs w:val="0"/>
              </w:rPr>
            </w:pPr>
            <w:r>
              <w:rPr>
                <w:rFonts w:hint="eastAsia" w:cs="宋体"/>
                <w:b/>
                <w:bCs w:val="0"/>
                <w:sz w:val="18"/>
                <w:szCs w:val="18"/>
                <w:lang w:val="en-US" w:eastAsia="zh-CN"/>
              </w:rPr>
              <w:t>D</w:t>
            </w:r>
            <w:r>
              <w:rPr>
                <w:rFonts w:ascii="方正黑体_GBK" w:hAnsi="方正黑体_GBK" w:eastAsia="方正黑体_GBK" w:cs="宋体"/>
                <w:b/>
                <w:bCs w:val="0"/>
                <w:sz w:val="18"/>
                <w:szCs w:val="18"/>
              </w:rPr>
              <w:t>份额</w:t>
            </w:r>
            <w:r>
              <w:rPr>
                <w:rFonts w:hint="eastAsia" w:cs="宋体"/>
                <w:b/>
                <w:bCs w:val="0"/>
                <w:sz w:val="18"/>
                <w:szCs w:val="18"/>
                <w:lang w:val="en-US" w:eastAsia="zh-CN"/>
              </w:rPr>
              <w:t>/D</w:t>
            </w:r>
            <w:r>
              <w:rPr>
                <w:rFonts w:ascii="方正黑体_GBK" w:hAnsi="方正黑体_GBK" w:eastAsia="方正黑体_GBK" w:cs="宋体"/>
                <w:b/>
                <w:bCs w:val="0"/>
                <w:sz w:val="18"/>
                <w:szCs w:val="18"/>
              </w:rPr>
              <w:t>2份额</w:t>
            </w:r>
            <w:r>
              <w:rPr>
                <w:rFonts w:hint="eastAsia" w:cs="宋体"/>
                <w:b/>
                <w:bCs w:val="0"/>
                <w:sz w:val="18"/>
                <w:szCs w:val="18"/>
                <w:lang w:val="en-US" w:eastAsia="zh-CN"/>
              </w:rPr>
              <w:t>/D3</w:t>
            </w:r>
            <w:r>
              <w:rPr>
                <w:rFonts w:ascii="方正黑体_GBK" w:hAnsi="方正黑体_GBK" w:eastAsia="方正黑体_GBK" w:cs="宋体"/>
                <w:b/>
                <w:bCs w:val="0"/>
                <w:sz w:val="18"/>
                <w:szCs w:val="18"/>
              </w:rPr>
              <w:t>份额</w:t>
            </w:r>
            <w:r>
              <w:rPr>
                <w:rFonts w:hint="eastAsia" w:cs="宋体"/>
                <w:b/>
                <w:bCs w:val="0"/>
                <w:sz w:val="18"/>
                <w:szCs w:val="18"/>
                <w:lang w:val="en-US" w:eastAsia="zh-CN"/>
              </w:rPr>
              <w:t>/D4</w:t>
            </w:r>
            <w:r>
              <w:rPr>
                <w:rFonts w:ascii="方正黑体_GBK" w:hAnsi="方正黑体_GBK" w:eastAsia="方正黑体_GBK" w:cs="宋体"/>
                <w:b/>
                <w:bCs w:val="0"/>
                <w:sz w:val="18"/>
                <w:szCs w:val="18"/>
              </w:rPr>
              <w:t>份额：销售费年化0.15%</w:t>
            </w:r>
          </w:p>
          <w:p w14:paraId="068DCFF8">
            <w:pPr>
              <w:spacing w:line="200" w:lineRule="exact"/>
              <w:rPr>
                <w:b/>
                <w:bCs w:val="0"/>
              </w:rPr>
            </w:pPr>
            <w:r>
              <w:rPr>
                <w:rFonts w:hint="eastAsia" w:cs="宋体"/>
                <w:b/>
                <w:bCs w:val="0"/>
                <w:sz w:val="18"/>
                <w:szCs w:val="18"/>
                <w:lang w:val="en-US" w:eastAsia="zh-CN"/>
              </w:rPr>
              <w:t>E</w:t>
            </w:r>
            <w:r>
              <w:rPr>
                <w:rFonts w:ascii="方正黑体_GBK" w:hAnsi="方正黑体_GBK" w:eastAsia="方正黑体_GBK" w:cs="宋体"/>
                <w:b/>
                <w:bCs w:val="0"/>
                <w:sz w:val="18"/>
                <w:szCs w:val="18"/>
              </w:rPr>
              <w:t>份额</w:t>
            </w:r>
            <w:r>
              <w:rPr>
                <w:rFonts w:hint="eastAsia" w:cs="宋体"/>
                <w:b/>
                <w:bCs w:val="0"/>
                <w:sz w:val="18"/>
                <w:szCs w:val="18"/>
                <w:lang w:val="en-US" w:eastAsia="zh-CN"/>
              </w:rPr>
              <w:t>/E</w:t>
            </w:r>
            <w:r>
              <w:rPr>
                <w:rFonts w:ascii="方正黑体_GBK" w:hAnsi="方正黑体_GBK" w:eastAsia="方正黑体_GBK" w:cs="宋体"/>
                <w:b/>
                <w:bCs w:val="0"/>
                <w:sz w:val="18"/>
                <w:szCs w:val="18"/>
              </w:rPr>
              <w:t>2份额</w:t>
            </w:r>
            <w:r>
              <w:rPr>
                <w:rFonts w:hint="eastAsia" w:cs="宋体"/>
                <w:b/>
                <w:bCs w:val="0"/>
                <w:sz w:val="18"/>
                <w:szCs w:val="18"/>
                <w:lang w:val="en-US" w:eastAsia="zh-CN"/>
              </w:rPr>
              <w:t>/E3</w:t>
            </w:r>
            <w:r>
              <w:rPr>
                <w:rFonts w:ascii="方正黑体_GBK" w:hAnsi="方正黑体_GBK" w:eastAsia="方正黑体_GBK" w:cs="宋体"/>
                <w:b/>
                <w:bCs w:val="0"/>
                <w:sz w:val="18"/>
                <w:szCs w:val="18"/>
              </w:rPr>
              <w:t>份额</w:t>
            </w:r>
            <w:r>
              <w:rPr>
                <w:rFonts w:hint="eastAsia" w:cs="宋体"/>
                <w:b/>
                <w:bCs w:val="0"/>
                <w:sz w:val="18"/>
                <w:szCs w:val="18"/>
                <w:lang w:val="en-US" w:eastAsia="zh-CN"/>
              </w:rPr>
              <w:t>/E4</w:t>
            </w:r>
            <w:r>
              <w:rPr>
                <w:rFonts w:ascii="方正黑体_GBK" w:hAnsi="方正黑体_GBK" w:eastAsia="方正黑体_GBK" w:cs="宋体"/>
                <w:b/>
                <w:bCs w:val="0"/>
                <w:sz w:val="18"/>
                <w:szCs w:val="18"/>
              </w:rPr>
              <w:t>份额：销售费年化0.05%</w:t>
            </w:r>
          </w:p>
          <w:p w14:paraId="51D74576">
            <w:pPr>
              <w:spacing w:line="200" w:lineRule="exact"/>
              <w:rPr>
                <w:b/>
                <w:bCs w:val="0"/>
              </w:rPr>
            </w:pPr>
            <w:r>
              <w:rPr>
                <w:rFonts w:ascii="方正黑体_GBK" w:hAnsi="方正黑体_GBK" w:eastAsia="方正黑体_GBK" w:cs="宋体"/>
                <w:b/>
                <w:bCs w:val="0"/>
                <w:sz w:val="18"/>
                <w:szCs w:val="18"/>
              </w:rPr>
              <w:t>每日计提的销售费=前一日理财产品资产净值×年化销售费率÷365</w:t>
            </w:r>
          </w:p>
          <w:p w14:paraId="7CC59EAB">
            <w:pPr>
              <w:spacing w:line="200" w:lineRule="exact"/>
              <w:rPr>
                <w:b/>
                <w:bCs w:val="0"/>
              </w:rPr>
            </w:pPr>
            <w:r>
              <w:rPr>
                <w:rFonts w:ascii="方正黑体_GBK" w:hAnsi="方正黑体_GBK" w:eastAsia="方正黑体_GBK" w:cs="宋体"/>
                <w:b/>
                <w:bCs w:val="0"/>
                <w:sz w:val="18"/>
                <w:szCs w:val="18"/>
              </w:rPr>
              <w:t>固定管理费：本理财产品按前一日理财产品资产净值收取固定管理费，按日计提。</w:t>
            </w:r>
          </w:p>
          <w:p w14:paraId="4FAD9947">
            <w:pPr>
              <w:spacing w:line="200" w:lineRule="exact"/>
              <w:rPr>
                <w:b/>
                <w:bCs w:val="0"/>
              </w:rPr>
            </w:pPr>
            <w:r>
              <w:rPr>
                <w:rFonts w:ascii="方正黑体_GBK" w:hAnsi="方正黑体_GBK" w:eastAsia="方正黑体_GBK" w:cs="宋体"/>
                <w:b/>
                <w:bCs w:val="0"/>
                <w:sz w:val="18"/>
                <w:szCs w:val="18"/>
              </w:rPr>
              <w:t>A份额</w:t>
            </w:r>
            <w:r>
              <w:rPr>
                <w:rFonts w:hint="eastAsia" w:cs="宋体"/>
                <w:b/>
                <w:bCs w:val="0"/>
                <w:sz w:val="18"/>
                <w:szCs w:val="18"/>
                <w:lang w:val="en-US" w:eastAsia="zh-CN"/>
              </w:rPr>
              <w:t>/</w:t>
            </w:r>
            <w:r>
              <w:rPr>
                <w:rFonts w:ascii="方正黑体_GBK" w:hAnsi="方正黑体_GBK" w:eastAsia="方正黑体_GBK" w:cs="宋体"/>
                <w:b/>
                <w:bCs w:val="0"/>
                <w:sz w:val="18"/>
                <w:szCs w:val="18"/>
              </w:rPr>
              <w:t>A2份额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3</w:t>
            </w:r>
            <w:r>
              <w:rPr>
                <w:rFonts w:ascii="方正黑体_GBK" w:hAnsi="方正黑体_GBK" w:eastAsia="方正黑体_GBK" w:cs="宋体"/>
                <w:b/>
                <w:bCs w:val="0"/>
                <w:sz w:val="18"/>
                <w:szCs w:val="18"/>
              </w:rPr>
              <w:t>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4</w:t>
            </w:r>
            <w:r>
              <w:rPr>
                <w:rFonts w:ascii="方正黑体_GBK" w:hAnsi="方正黑体_GBK" w:eastAsia="方正黑体_GBK" w:cs="宋体"/>
                <w:b/>
                <w:bCs w:val="0"/>
                <w:sz w:val="18"/>
                <w:szCs w:val="18"/>
              </w:rPr>
              <w:t>份额：固定管理费年化0.4%</w:t>
            </w:r>
          </w:p>
          <w:p w14:paraId="1AAD1142">
            <w:pPr>
              <w:spacing w:line="200" w:lineRule="exact"/>
              <w:rPr>
                <w:b/>
                <w:bCs w:val="0"/>
              </w:rPr>
            </w:pPr>
            <w:r>
              <w:rPr>
                <w:rFonts w:hint="eastAsia" w:cs="宋体"/>
                <w:b/>
                <w:bCs w:val="0"/>
                <w:sz w:val="18"/>
                <w:szCs w:val="18"/>
                <w:lang w:val="en-US" w:eastAsia="zh-CN"/>
              </w:rPr>
              <w:t>B</w:t>
            </w:r>
            <w:r>
              <w:rPr>
                <w:rFonts w:ascii="方正黑体_GBK" w:hAnsi="方正黑体_GBK" w:eastAsia="方正黑体_GBK" w:cs="宋体"/>
                <w:b/>
                <w:bCs w:val="0"/>
                <w:sz w:val="18"/>
                <w:szCs w:val="18"/>
              </w:rPr>
              <w:t>份额</w:t>
            </w:r>
            <w:r>
              <w:rPr>
                <w:rFonts w:hint="eastAsia" w:cs="宋体"/>
                <w:b/>
                <w:bCs w:val="0"/>
                <w:sz w:val="18"/>
                <w:szCs w:val="18"/>
                <w:lang w:val="en-US" w:eastAsia="zh-CN"/>
              </w:rPr>
              <w:t>/B</w:t>
            </w:r>
            <w:r>
              <w:rPr>
                <w:rFonts w:ascii="方正黑体_GBK" w:hAnsi="方正黑体_GBK" w:eastAsia="方正黑体_GBK" w:cs="宋体"/>
                <w:b/>
                <w:bCs w:val="0"/>
                <w:sz w:val="18"/>
                <w:szCs w:val="18"/>
              </w:rPr>
              <w:t>2份额</w:t>
            </w:r>
            <w:r>
              <w:rPr>
                <w:rFonts w:hint="eastAsia" w:cs="宋体"/>
                <w:b/>
                <w:bCs w:val="0"/>
                <w:sz w:val="18"/>
                <w:szCs w:val="18"/>
                <w:lang w:val="en-US" w:eastAsia="zh-CN"/>
              </w:rPr>
              <w:t>/B3</w:t>
            </w:r>
            <w:r>
              <w:rPr>
                <w:rFonts w:ascii="方正黑体_GBK" w:hAnsi="方正黑体_GBK" w:eastAsia="方正黑体_GBK" w:cs="宋体"/>
                <w:b/>
                <w:bCs w:val="0"/>
                <w:sz w:val="18"/>
                <w:szCs w:val="18"/>
              </w:rPr>
              <w:t>份额</w:t>
            </w:r>
            <w:r>
              <w:rPr>
                <w:rFonts w:hint="eastAsia" w:cs="宋体"/>
                <w:b/>
                <w:bCs w:val="0"/>
                <w:sz w:val="18"/>
                <w:szCs w:val="18"/>
                <w:lang w:val="en-US" w:eastAsia="zh-CN"/>
              </w:rPr>
              <w:t>/B4</w:t>
            </w:r>
            <w:r>
              <w:rPr>
                <w:rFonts w:ascii="方正黑体_GBK" w:hAnsi="方正黑体_GBK" w:eastAsia="方正黑体_GBK" w:cs="宋体"/>
                <w:b/>
                <w:bCs w:val="0"/>
                <w:sz w:val="18"/>
                <w:szCs w:val="18"/>
              </w:rPr>
              <w:t>份额：固定管理费年化0.4%</w:t>
            </w:r>
          </w:p>
          <w:p w14:paraId="5E098582">
            <w:pPr>
              <w:spacing w:line="200" w:lineRule="exact"/>
              <w:rPr>
                <w:b/>
                <w:bCs w:val="0"/>
              </w:rPr>
            </w:pPr>
            <w:r>
              <w:rPr>
                <w:rFonts w:hint="eastAsia" w:cs="宋体"/>
                <w:b/>
                <w:bCs w:val="0"/>
                <w:sz w:val="18"/>
                <w:szCs w:val="18"/>
                <w:lang w:val="en-US" w:eastAsia="zh-CN"/>
              </w:rPr>
              <w:t>C</w:t>
            </w:r>
            <w:r>
              <w:rPr>
                <w:rFonts w:ascii="方正黑体_GBK" w:hAnsi="方正黑体_GBK" w:eastAsia="方正黑体_GBK" w:cs="宋体"/>
                <w:b/>
                <w:bCs w:val="0"/>
                <w:sz w:val="18"/>
                <w:szCs w:val="18"/>
              </w:rPr>
              <w:t>份额</w:t>
            </w:r>
            <w:r>
              <w:rPr>
                <w:rFonts w:hint="eastAsia" w:cs="宋体"/>
                <w:b/>
                <w:bCs w:val="0"/>
                <w:sz w:val="18"/>
                <w:szCs w:val="18"/>
                <w:lang w:val="en-US" w:eastAsia="zh-CN"/>
              </w:rPr>
              <w:t>/C</w:t>
            </w:r>
            <w:r>
              <w:rPr>
                <w:rFonts w:ascii="方正黑体_GBK" w:hAnsi="方正黑体_GBK" w:eastAsia="方正黑体_GBK" w:cs="宋体"/>
                <w:b/>
                <w:bCs w:val="0"/>
                <w:sz w:val="18"/>
                <w:szCs w:val="18"/>
              </w:rPr>
              <w:t>2份额</w:t>
            </w:r>
            <w:r>
              <w:rPr>
                <w:rFonts w:hint="eastAsia" w:cs="宋体"/>
                <w:b/>
                <w:bCs w:val="0"/>
                <w:sz w:val="18"/>
                <w:szCs w:val="18"/>
                <w:lang w:val="en-US" w:eastAsia="zh-CN"/>
              </w:rPr>
              <w:t>/C3</w:t>
            </w:r>
            <w:r>
              <w:rPr>
                <w:rFonts w:ascii="方正黑体_GBK" w:hAnsi="方正黑体_GBK" w:eastAsia="方正黑体_GBK" w:cs="宋体"/>
                <w:b/>
                <w:bCs w:val="0"/>
                <w:sz w:val="18"/>
                <w:szCs w:val="18"/>
              </w:rPr>
              <w:t>份额</w:t>
            </w:r>
            <w:r>
              <w:rPr>
                <w:rFonts w:hint="eastAsia" w:cs="宋体"/>
                <w:b/>
                <w:bCs w:val="0"/>
                <w:sz w:val="18"/>
                <w:szCs w:val="18"/>
                <w:lang w:val="en-US" w:eastAsia="zh-CN"/>
              </w:rPr>
              <w:t>/C4</w:t>
            </w:r>
            <w:r>
              <w:rPr>
                <w:rFonts w:ascii="方正黑体_GBK" w:hAnsi="方正黑体_GBK" w:eastAsia="方正黑体_GBK" w:cs="宋体"/>
                <w:b/>
                <w:bCs w:val="0"/>
                <w:sz w:val="18"/>
                <w:szCs w:val="18"/>
              </w:rPr>
              <w:t>份额：固定管理费年化0.35%</w:t>
            </w:r>
          </w:p>
          <w:p w14:paraId="064F9D0F">
            <w:pPr>
              <w:spacing w:line="200" w:lineRule="exact"/>
              <w:rPr>
                <w:b/>
                <w:bCs w:val="0"/>
              </w:rPr>
            </w:pPr>
            <w:r>
              <w:rPr>
                <w:rFonts w:hint="eastAsia" w:cs="宋体"/>
                <w:b/>
                <w:bCs w:val="0"/>
                <w:sz w:val="18"/>
                <w:szCs w:val="18"/>
                <w:lang w:val="en-US" w:eastAsia="zh-CN"/>
              </w:rPr>
              <w:t>D</w:t>
            </w:r>
            <w:r>
              <w:rPr>
                <w:rFonts w:ascii="方正黑体_GBK" w:hAnsi="方正黑体_GBK" w:eastAsia="方正黑体_GBK" w:cs="宋体"/>
                <w:b/>
                <w:bCs w:val="0"/>
                <w:sz w:val="18"/>
                <w:szCs w:val="18"/>
              </w:rPr>
              <w:t>份额</w:t>
            </w:r>
            <w:r>
              <w:rPr>
                <w:rFonts w:hint="eastAsia" w:cs="宋体"/>
                <w:b/>
                <w:bCs w:val="0"/>
                <w:sz w:val="18"/>
                <w:szCs w:val="18"/>
                <w:lang w:val="en-US" w:eastAsia="zh-CN"/>
              </w:rPr>
              <w:t>/D</w:t>
            </w:r>
            <w:r>
              <w:rPr>
                <w:rFonts w:ascii="方正黑体_GBK" w:hAnsi="方正黑体_GBK" w:eastAsia="方正黑体_GBK" w:cs="宋体"/>
                <w:b/>
                <w:bCs w:val="0"/>
                <w:sz w:val="18"/>
                <w:szCs w:val="18"/>
              </w:rPr>
              <w:t>2份额</w:t>
            </w:r>
            <w:r>
              <w:rPr>
                <w:rFonts w:hint="eastAsia" w:cs="宋体"/>
                <w:b/>
                <w:bCs w:val="0"/>
                <w:sz w:val="18"/>
                <w:szCs w:val="18"/>
                <w:lang w:val="en-US" w:eastAsia="zh-CN"/>
              </w:rPr>
              <w:t>/D3</w:t>
            </w:r>
            <w:r>
              <w:rPr>
                <w:rFonts w:ascii="方正黑体_GBK" w:hAnsi="方正黑体_GBK" w:eastAsia="方正黑体_GBK" w:cs="宋体"/>
                <w:b/>
                <w:bCs w:val="0"/>
                <w:sz w:val="18"/>
                <w:szCs w:val="18"/>
              </w:rPr>
              <w:t>份额</w:t>
            </w:r>
            <w:r>
              <w:rPr>
                <w:rFonts w:hint="eastAsia" w:cs="宋体"/>
                <w:b/>
                <w:bCs w:val="0"/>
                <w:sz w:val="18"/>
                <w:szCs w:val="18"/>
                <w:lang w:val="en-US" w:eastAsia="zh-CN"/>
              </w:rPr>
              <w:t>/D4</w:t>
            </w:r>
            <w:r>
              <w:rPr>
                <w:rFonts w:ascii="方正黑体_GBK" w:hAnsi="方正黑体_GBK" w:eastAsia="方正黑体_GBK" w:cs="宋体"/>
                <w:b/>
                <w:bCs w:val="0"/>
                <w:sz w:val="18"/>
                <w:szCs w:val="18"/>
              </w:rPr>
              <w:t>份额：固定管理费年化0.3%</w:t>
            </w:r>
          </w:p>
          <w:p w14:paraId="208DB151">
            <w:pPr>
              <w:spacing w:line="200" w:lineRule="exact"/>
              <w:rPr>
                <w:b/>
                <w:bCs w:val="0"/>
              </w:rPr>
            </w:pPr>
            <w:r>
              <w:rPr>
                <w:rFonts w:hint="eastAsia" w:cs="宋体"/>
                <w:b/>
                <w:bCs w:val="0"/>
                <w:sz w:val="18"/>
                <w:szCs w:val="18"/>
                <w:lang w:val="en-US" w:eastAsia="zh-CN"/>
              </w:rPr>
              <w:t>E</w:t>
            </w:r>
            <w:r>
              <w:rPr>
                <w:rFonts w:ascii="方正黑体_GBK" w:hAnsi="方正黑体_GBK" w:eastAsia="方正黑体_GBK" w:cs="宋体"/>
                <w:b/>
                <w:bCs w:val="0"/>
                <w:sz w:val="18"/>
                <w:szCs w:val="18"/>
              </w:rPr>
              <w:t>份额</w:t>
            </w:r>
            <w:r>
              <w:rPr>
                <w:rFonts w:hint="eastAsia" w:cs="宋体"/>
                <w:b/>
                <w:bCs w:val="0"/>
                <w:sz w:val="18"/>
                <w:szCs w:val="18"/>
                <w:lang w:val="en-US" w:eastAsia="zh-CN"/>
              </w:rPr>
              <w:t>/E</w:t>
            </w:r>
            <w:r>
              <w:rPr>
                <w:rFonts w:ascii="方正黑体_GBK" w:hAnsi="方正黑体_GBK" w:eastAsia="方正黑体_GBK" w:cs="宋体"/>
                <w:b/>
                <w:bCs w:val="0"/>
                <w:sz w:val="18"/>
                <w:szCs w:val="18"/>
              </w:rPr>
              <w:t>2份额</w:t>
            </w:r>
            <w:r>
              <w:rPr>
                <w:rFonts w:hint="eastAsia" w:cs="宋体"/>
                <w:b/>
                <w:bCs w:val="0"/>
                <w:sz w:val="18"/>
                <w:szCs w:val="18"/>
                <w:lang w:val="en-US" w:eastAsia="zh-CN"/>
              </w:rPr>
              <w:t>/E3</w:t>
            </w:r>
            <w:r>
              <w:rPr>
                <w:rFonts w:ascii="方正黑体_GBK" w:hAnsi="方正黑体_GBK" w:eastAsia="方正黑体_GBK" w:cs="宋体"/>
                <w:b/>
                <w:bCs w:val="0"/>
                <w:sz w:val="18"/>
                <w:szCs w:val="18"/>
              </w:rPr>
              <w:t>份额</w:t>
            </w:r>
            <w:r>
              <w:rPr>
                <w:rFonts w:hint="eastAsia" w:cs="宋体"/>
                <w:b/>
                <w:bCs w:val="0"/>
                <w:sz w:val="18"/>
                <w:szCs w:val="18"/>
                <w:lang w:val="en-US" w:eastAsia="zh-CN"/>
              </w:rPr>
              <w:t>/E4</w:t>
            </w:r>
            <w:r>
              <w:rPr>
                <w:rFonts w:ascii="方正黑体_GBK" w:hAnsi="方正黑体_GBK" w:eastAsia="方正黑体_GBK" w:cs="宋体"/>
                <w:b/>
                <w:bCs w:val="0"/>
                <w:sz w:val="18"/>
                <w:szCs w:val="18"/>
              </w:rPr>
              <w:t>份额：固定管理费年化0.3%</w:t>
            </w:r>
          </w:p>
          <w:p w14:paraId="153C1182">
            <w:pPr>
              <w:spacing w:line="200" w:lineRule="exact"/>
              <w:rPr>
                <w:b/>
                <w:bCs w:val="0"/>
              </w:rPr>
            </w:pPr>
            <w:r>
              <w:rPr>
                <w:rFonts w:ascii="方正黑体_GBK" w:hAnsi="方正黑体_GBK" w:eastAsia="方正黑体_GBK" w:cs="宋体"/>
                <w:b/>
                <w:bCs w:val="0"/>
                <w:sz w:val="18"/>
                <w:szCs w:val="18"/>
              </w:rPr>
              <w:t>每日计提的固定管理费=前一日理财产品资产净值×年化固定管理费率÷365</w:t>
            </w:r>
          </w:p>
          <w:p w14:paraId="5A219001">
            <w:pPr>
              <w:spacing w:line="200" w:lineRule="exact"/>
              <w:rPr>
                <w:b/>
                <w:bCs w:val="0"/>
              </w:rPr>
            </w:pPr>
            <w:r>
              <w:rPr>
                <w:rFonts w:ascii="方正黑体_GBK" w:hAnsi="方正黑体_GBK" w:eastAsia="方正黑体_GBK" w:cs="宋体"/>
                <w:b/>
                <w:bCs w:val="0"/>
                <w:sz w:val="18"/>
                <w:szCs w:val="18"/>
              </w:rPr>
              <w:t>托管费：</w:t>
            </w:r>
          </w:p>
          <w:p w14:paraId="0249BC31">
            <w:pPr>
              <w:spacing w:line="200" w:lineRule="exact"/>
              <w:rPr>
                <w:b/>
                <w:bCs w:val="0"/>
              </w:rPr>
            </w:pPr>
            <w:r>
              <w:rPr>
                <w:rFonts w:ascii="方正黑体_GBK" w:hAnsi="方正黑体_GBK" w:eastAsia="方正黑体_GBK" w:cs="宋体"/>
                <w:b/>
                <w:bCs w:val="0"/>
                <w:sz w:val="18"/>
                <w:szCs w:val="18"/>
              </w:rPr>
              <w:t>本理财产品按前一日理财产品资产净值收取年化0.02%的托管费，按日计提。</w:t>
            </w:r>
          </w:p>
          <w:p w14:paraId="1843BC28">
            <w:pPr>
              <w:spacing w:line="200" w:lineRule="exact"/>
              <w:rPr>
                <w:b/>
                <w:bCs w:val="0"/>
              </w:rPr>
            </w:pPr>
            <w:r>
              <w:rPr>
                <w:rFonts w:ascii="方正黑体_GBK" w:hAnsi="方正黑体_GBK" w:eastAsia="方正黑体_GBK" w:cs="宋体"/>
                <w:b/>
                <w:bCs w:val="0"/>
                <w:sz w:val="18"/>
                <w:szCs w:val="18"/>
              </w:rPr>
              <w:t>每日计提的托管费=前一日理财产品资产净值×年化托管费率÷365</w:t>
            </w:r>
          </w:p>
          <w:p w14:paraId="55327D5A">
            <w:pPr>
              <w:spacing w:line="200" w:lineRule="exact"/>
              <w:rPr>
                <w:b/>
                <w:bCs w:val="0"/>
              </w:rPr>
            </w:pPr>
            <w:r>
              <w:rPr>
                <w:rFonts w:ascii="方正黑体_GBK" w:hAnsi="方正黑体_GBK" w:eastAsia="方正黑体_GBK" w:cs="宋体"/>
                <w:b/>
                <w:bCs w:val="0"/>
                <w:sz w:val="18"/>
                <w:szCs w:val="18"/>
              </w:rPr>
              <w:t>业绩报酬：</w:t>
            </w:r>
          </w:p>
          <w:p w14:paraId="6E6356CD">
            <w:pPr>
              <w:spacing w:line="200" w:lineRule="exact"/>
              <w:rPr>
                <w:b/>
                <w:bCs w:val="0"/>
              </w:rPr>
            </w:pPr>
            <w:r>
              <w:rPr>
                <w:rFonts w:ascii="方正黑体_GBK" w:hAnsi="方正黑体_GBK" w:eastAsia="方正黑体_GBK" w:cs="宋体"/>
                <w:b/>
                <w:bCs w:val="0"/>
                <w:sz w:val="18"/>
                <w:szCs w:val="18"/>
              </w:rPr>
              <w:t>A份额</w:t>
            </w:r>
            <w:r>
              <w:rPr>
                <w:rFonts w:hint="eastAsia" w:cs="宋体"/>
                <w:b/>
                <w:bCs w:val="0"/>
                <w:sz w:val="18"/>
                <w:szCs w:val="18"/>
                <w:lang w:val="en-US" w:eastAsia="zh-CN"/>
              </w:rPr>
              <w:t>/</w:t>
            </w:r>
            <w:r>
              <w:rPr>
                <w:rFonts w:ascii="方正黑体_GBK" w:hAnsi="方正黑体_GBK" w:eastAsia="方正黑体_GBK" w:cs="宋体"/>
                <w:b/>
                <w:bCs w:val="0"/>
                <w:sz w:val="18"/>
                <w:szCs w:val="18"/>
              </w:rPr>
              <w:t>A2份额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3</w:t>
            </w:r>
            <w:r>
              <w:rPr>
                <w:rFonts w:ascii="方正黑体_GBK" w:hAnsi="方正黑体_GBK" w:eastAsia="方正黑体_GBK" w:cs="宋体"/>
                <w:b/>
                <w:bCs w:val="0"/>
                <w:sz w:val="18"/>
                <w:szCs w:val="18"/>
              </w:rPr>
              <w:t>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3.3%（年化，即产品该份额对应的业绩报酬计提基准）时，超过部分管理人将按60%收取业绩报酬。</w:t>
            </w:r>
          </w:p>
          <w:p w14:paraId="02DFA2E3">
            <w:pPr>
              <w:spacing w:line="200" w:lineRule="exact"/>
              <w:rPr>
                <w:b/>
                <w:bCs w:val="0"/>
              </w:rPr>
            </w:pPr>
            <w:r>
              <w:rPr>
                <w:rFonts w:hint="eastAsia" w:cs="宋体"/>
                <w:b/>
                <w:bCs w:val="0"/>
                <w:sz w:val="18"/>
                <w:szCs w:val="18"/>
                <w:lang w:val="en-US" w:eastAsia="zh-CN"/>
              </w:rPr>
              <w:t>B</w:t>
            </w:r>
            <w:r>
              <w:rPr>
                <w:rFonts w:ascii="方正黑体_GBK" w:hAnsi="方正黑体_GBK" w:eastAsia="方正黑体_GBK" w:cs="宋体"/>
                <w:b/>
                <w:bCs w:val="0"/>
                <w:sz w:val="18"/>
                <w:szCs w:val="18"/>
              </w:rPr>
              <w:t>份额</w:t>
            </w:r>
            <w:r>
              <w:rPr>
                <w:rFonts w:hint="eastAsia" w:cs="宋体"/>
                <w:b/>
                <w:bCs w:val="0"/>
                <w:sz w:val="18"/>
                <w:szCs w:val="18"/>
                <w:lang w:val="en-US" w:eastAsia="zh-CN"/>
              </w:rPr>
              <w:t>/B</w:t>
            </w:r>
            <w:r>
              <w:rPr>
                <w:rFonts w:ascii="方正黑体_GBK" w:hAnsi="方正黑体_GBK" w:eastAsia="方正黑体_GBK" w:cs="宋体"/>
                <w:b/>
                <w:bCs w:val="0"/>
                <w:sz w:val="18"/>
                <w:szCs w:val="18"/>
              </w:rPr>
              <w:t>2份额</w:t>
            </w:r>
            <w:r>
              <w:rPr>
                <w:rFonts w:hint="eastAsia" w:cs="宋体"/>
                <w:b/>
                <w:bCs w:val="0"/>
                <w:sz w:val="18"/>
                <w:szCs w:val="18"/>
                <w:lang w:val="en-US" w:eastAsia="zh-CN"/>
              </w:rPr>
              <w:t>/B3</w:t>
            </w:r>
            <w:r>
              <w:rPr>
                <w:rFonts w:ascii="方正黑体_GBK" w:hAnsi="方正黑体_GBK" w:eastAsia="方正黑体_GBK" w:cs="宋体"/>
                <w:b/>
                <w:bCs w:val="0"/>
                <w:sz w:val="18"/>
                <w:szCs w:val="18"/>
              </w:rPr>
              <w:t>份额</w:t>
            </w:r>
            <w:r>
              <w:rPr>
                <w:rFonts w:hint="eastAsia" w:cs="宋体"/>
                <w:b/>
                <w:bCs w:val="0"/>
                <w:sz w:val="18"/>
                <w:szCs w:val="18"/>
                <w:lang w:val="en-US" w:eastAsia="zh-CN"/>
              </w:rPr>
              <w:t>/B4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3.3%（年化，即产品该份额对应的业绩报酬计提基准）时，超过部分管理人将按60%收取业绩报酬。</w:t>
            </w:r>
          </w:p>
          <w:p w14:paraId="2B29933E">
            <w:pPr>
              <w:spacing w:line="200" w:lineRule="exact"/>
              <w:rPr>
                <w:b/>
                <w:bCs w:val="0"/>
              </w:rPr>
            </w:pPr>
            <w:r>
              <w:rPr>
                <w:rFonts w:hint="eastAsia" w:cs="宋体"/>
                <w:b/>
                <w:bCs w:val="0"/>
                <w:sz w:val="18"/>
                <w:szCs w:val="18"/>
                <w:lang w:val="en-US" w:eastAsia="zh-CN"/>
              </w:rPr>
              <w:t>C</w:t>
            </w:r>
            <w:r>
              <w:rPr>
                <w:rFonts w:ascii="方正黑体_GBK" w:hAnsi="方正黑体_GBK" w:eastAsia="方正黑体_GBK" w:cs="宋体"/>
                <w:b/>
                <w:bCs w:val="0"/>
                <w:sz w:val="18"/>
                <w:szCs w:val="18"/>
              </w:rPr>
              <w:t>份额</w:t>
            </w:r>
            <w:r>
              <w:rPr>
                <w:rFonts w:hint="eastAsia" w:cs="宋体"/>
                <w:b/>
                <w:bCs w:val="0"/>
                <w:sz w:val="18"/>
                <w:szCs w:val="18"/>
                <w:lang w:val="en-US" w:eastAsia="zh-CN"/>
              </w:rPr>
              <w:t>/C</w:t>
            </w:r>
            <w:r>
              <w:rPr>
                <w:rFonts w:ascii="方正黑体_GBK" w:hAnsi="方正黑体_GBK" w:eastAsia="方正黑体_GBK" w:cs="宋体"/>
                <w:b/>
                <w:bCs w:val="0"/>
                <w:sz w:val="18"/>
                <w:szCs w:val="18"/>
              </w:rPr>
              <w:t>2份额</w:t>
            </w:r>
            <w:r>
              <w:rPr>
                <w:rFonts w:hint="eastAsia" w:cs="宋体"/>
                <w:b/>
                <w:bCs w:val="0"/>
                <w:sz w:val="18"/>
                <w:szCs w:val="18"/>
                <w:lang w:val="en-US" w:eastAsia="zh-CN"/>
              </w:rPr>
              <w:t>/C3</w:t>
            </w:r>
            <w:r>
              <w:rPr>
                <w:rFonts w:ascii="方正黑体_GBK" w:hAnsi="方正黑体_GBK" w:eastAsia="方正黑体_GBK" w:cs="宋体"/>
                <w:b/>
                <w:bCs w:val="0"/>
                <w:sz w:val="18"/>
                <w:szCs w:val="18"/>
              </w:rPr>
              <w:t>份额</w:t>
            </w:r>
            <w:r>
              <w:rPr>
                <w:rFonts w:hint="eastAsia" w:cs="宋体"/>
                <w:b/>
                <w:bCs w:val="0"/>
                <w:sz w:val="18"/>
                <w:szCs w:val="18"/>
                <w:lang w:val="en-US" w:eastAsia="zh-CN"/>
              </w:rPr>
              <w:t>/C4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3.4%（年化，即产品该份额对应的业绩报酬计提基准）时，超过部分管理人将按60%收取业绩报酬。</w:t>
            </w:r>
          </w:p>
          <w:p w14:paraId="061E2BE7">
            <w:pPr>
              <w:spacing w:line="200" w:lineRule="exact"/>
              <w:rPr>
                <w:b/>
                <w:bCs w:val="0"/>
              </w:rPr>
            </w:pPr>
            <w:r>
              <w:rPr>
                <w:rFonts w:hint="eastAsia" w:cs="宋体"/>
                <w:b/>
                <w:bCs w:val="0"/>
                <w:sz w:val="18"/>
                <w:szCs w:val="18"/>
                <w:lang w:val="en-US" w:eastAsia="zh-CN"/>
              </w:rPr>
              <w:t>D</w:t>
            </w:r>
            <w:r>
              <w:rPr>
                <w:rFonts w:ascii="方正黑体_GBK" w:hAnsi="方正黑体_GBK" w:eastAsia="方正黑体_GBK" w:cs="宋体"/>
                <w:b/>
                <w:bCs w:val="0"/>
                <w:sz w:val="18"/>
                <w:szCs w:val="18"/>
              </w:rPr>
              <w:t>份额</w:t>
            </w:r>
            <w:r>
              <w:rPr>
                <w:rFonts w:hint="eastAsia" w:cs="宋体"/>
                <w:b/>
                <w:bCs w:val="0"/>
                <w:sz w:val="18"/>
                <w:szCs w:val="18"/>
                <w:lang w:val="en-US" w:eastAsia="zh-CN"/>
              </w:rPr>
              <w:t>/D</w:t>
            </w:r>
            <w:r>
              <w:rPr>
                <w:rFonts w:ascii="方正黑体_GBK" w:hAnsi="方正黑体_GBK" w:eastAsia="方正黑体_GBK" w:cs="宋体"/>
                <w:b/>
                <w:bCs w:val="0"/>
                <w:sz w:val="18"/>
                <w:szCs w:val="18"/>
              </w:rPr>
              <w:t>2份额</w:t>
            </w:r>
            <w:r>
              <w:rPr>
                <w:rFonts w:hint="eastAsia" w:cs="宋体"/>
                <w:b/>
                <w:bCs w:val="0"/>
                <w:sz w:val="18"/>
                <w:szCs w:val="18"/>
                <w:lang w:val="en-US" w:eastAsia="zh-CN"/>
              </w:rPr>
              <w:t>/D3</w:t>
            </w:r>
            <w:r>
              <w:rPr>
                <w:rFonts w:ascii="方正黑体_GBK" w:hAnsi="方正黑体_GBK" w:eastAsia="方正黑体_GBK" w:cs="宋体"/>
                <w:b/>
                <w:bCs w:val="0"/>
                <w:sz w:val="18"/>
                <w:szCs w:val="18"/>
              </w:rPr>
              <w:t>份额</w:t>
            </w:r>
            <w:r>
              <w:rPr>
                <w:rFonts w:hint="eastAsia" w:cs="宋体"/>
                <w:b/>
                <w:bCs w:val="0"/>
                <w:sz w:val="18"/>
                <w:szCs w:val="18"/>
                <w:lang w:val="en-US" w:eastAsia="zh-CN"/>
              </w:rPr>
              <w:t>/D4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3.45%（年化，即产品该份额对应的业绩报酬计提基准）时，超过部分管理人将按60%收取业绩报酬。</w:t>
            </w:r>
          </w:p>
          <w:p w14:paraId="647EE568">
            <w:pPr>
              <w:spacing w:line="200" w:lineRule="exact"/>
              <w:rPr>
                <w:b/>
                <w:bCs w:val="0"/>
              </w:rPr>
            </w:pPr>
            <w:r>
              <w:rPr>
                <w:rFonts w:hint="eastAsia" w:cs="宋体"/>
                <w:b/>
                <w:bCs w:val="0"/>
                <w:sz w:val="18"/>
                <w:szCs w:val="18"/>
                <w:lang w:val="en-US" w:eastAsia="zh-CN"/>
              </w:rPr>
              <w:t>E</w:t>
            </w:r>
            <w:r>
              <w:rPr>
                <w:rFonts w:ascii="方正黑体_GBK" w:hAnsi="方正黑体_GBK" w:eastAsia="方正黑体_GBK" w:cs="宋体"/>
                <w:b/>
                <w:bCs w:val="0"/>
                <w:sz w:val="18"/>
                <w:szCs w:val="18"/>
              </w:rPr>
              <w:t>份额</w:t>
            </w:r>
            <w:r>
              <w:rPr>
                <w:rFonts w:hint="eastAsia" w:cs="宋体"/>
                <w:b/>
                <w:bCs w:val="0"/>
                <w:sz w:val="18"/>
                <w:szCs w:val="18"/>
                <w:lang w:val="en-US" w:eastAsia="zh-CN"/>
              </w:rPr>
              <w:t>/E</w:t>
            </w:r>
            <w:r>
              <w:rPr>
                <w:rFonts w:ascii="方正黑体_GBK" w:hAnsi="方正黑体_GBK" w:eastAsia="方正黑体_GBK" w:cs="宋体"/>
                <w:b/>
                <w:bCs w:val="0"/>
                <w:sz w:val="18"/>
                <w:szCs w:val="18"/>
              </w:rPr>
              <w:t>2份额</w:t>
            </w:r>
            <w:r>
              <w:rPr>
                <w:rFonts w:hint="eastAsia" w:cs="宋体"/>
                <w:b/>
                <w:bCs w:val="0"/>
                <w:sz w:val="18"/>
                <w:szCs w:val="18"/>
                <w:lang w:val="en-US" w:eastAsia="zh-CN"/>
              </w:rPr>
              <w:t>/E3</w:t>
            </w:r>
            <w:r>
              <w:rPr>
                <w:rFonts w:ascii="方正黑体_GBK" w:hAnsi="方正黑体_GBK" w:eastAsia="方正黑体_GBK" w:cs="宋体"/>
                <w:b/>
                <w:bCs w:val="0"/>
                <w:sz w:val="18"/>
                <w:szCs w:val="18"/>
              </w:rPr>
              <w:t>份额</w:t>
            </w:r>
            <w:r>
              <w:rPr>
                <w:rFonts w:hint="eastAsia" w:cs="宋体"/>
                <w:b/>
                <w:bCs w:val="0"/>
                <w:sz w:val="18"/>
                <w:szCs w:val="18"/>
                <w:lang w:val="en-US" w:eastAsia="zh-CN"/>
              </w:rPr>
              <w:t>/E4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3.55%（年化，即产品该份额对应的业绩报酬计提基准）时，超过部分管理人将按60%收取业绩报酬。</w:t>
            </w:r>
          </w:p>
          <w:p w14:paraId="0F1105B1">
            <w:pPr>
              <w:spacing w:line="200" w:lineRule="exact"/>
              <w:rPr>
                <w:b/>
                <w:bCs w:val="0"/>
              </w:rPr>
            </w:pPr>
            <w:r>
              <w:rPr>
                <w:rFonts w:ascii="方正黑体_GBK" w:hAnsi="方正黑体_GBK" w:eastAsia="方正黑体_GBK" w:cs="宋体"/>
                <w:b/>
                <w:bCs w:val="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510E119">
            <w:pPr>
              <w:spacing w:line="200" w:lineRule="exact"/>
              <w:rPr>
                <w:b/>
                <w:bCs w:val="0"/>
              </w:rPr>
            </w:pPr>
            <w:r>
              <w:rPr>
                <w:rFonts w:ascii="方正黑体_GBK" w:hAnsi="方正黑体_GBK" w:eastAsia="方正黑体_GBK" w:cs="宋体"/>
                <w:b/>
                <w:bCs w:val="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58D970C">
            <w:pPr>
              <w:spacing w:line="200" w:lineRule="exact"/>
              <w:rPr>
                <w:b/>
                <w:bCs w:val="0"/>
              </w:rPr>
            </w:pPr>
            <w:r>
              <w:rPr>
                <w:rFonts w:ascii="方正黑体_GBK" w:hAnsi="方正黑体_GBK" w:eastAsia="方正黑体_GBK" w:cs="宋体"/>
                <w:b/>
                <w:bCs w:val="0"/>
                <w:sz w:val="18"/>
                <w:szCs w:val="18"/>
              </w:rPr>
              <w:t>注：1.根据财政部《资产管理产品相关会计处理规定》（财会〔2022〕14号）“将当期发生的管理人报酬计入当期损益”的相关规定，本理财产品将每日计提暂估的业绩报酬（如有）。</w:t>
            </w:r>
          </w:p>
          <w:p w14:paraId="0ECE60DA">
            <w:pPr>
              <w:spacing w:line="200" w:lineRule="exact"/>
              <w:rPr>
                <w:b/>
                <w:bCs w:val="0"/>
              </w:rPr>
            </w:pPr>
            <w:r>
              <w:rPr>
                <w:rFonts w:ascii="方正黑体_GBK" w:hAnsi="方正黑体_GBK" w:eastAsia="方正黑体_GBK" w:cs="宋体"/>
                <w:b/>
                <w:bCs w:val="0"/>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892F0D5">
            <w:pPr>
              <w:spacing w:line="200" w:lineRule="exact"/>
              <w:rPr>
                <w:b/>
                <w:bCs w:val="0"/>
              </w:rPr>
            </w:pPr>
            <w:r>
              <w:rPr>
                <w:rFonts w:ascii="方正黑体_GBK" w:hAnsi="方正黑体_GBK" w:eastAsia="方正黑体_GBK" w:cs="宋体"/>
                <w:b/>
                <w:bCs w:val="0"/>
                <w:sz w:val="18"/>
                <w:szCs w:val="18"/>
              </w:rPr>
              <w:t>计算本区间业绩报酬的公式如下：</w:t>
            </w:r>
          </w:p>
          <w:p w14:paraId="487C0FE0">
            <w:pPr>
              <w:spacing w:line="200" w:lineRule="exact"/>
              <w:rPr>
                <w:b/>
                <w:bCs w:val="0"/>
              </w:rPr>
            </w:pPr>
            <w:r>
              <w:rPr>
                <w:rFonts w:ascii="方正黑体_GBK" w:hAnsi="方正黑体_GBK" w:eastAsia="方正黑体_GBK" w:cs="宋体"/>
                <w:b/>
                <w:bCs w:val="0"/>
                <w:sz w:val="18"/>
                <w:szCs w:val="18"/>
              </w:rPr>
              <w:t>A={B-C*D*(1+E*F/365)}*G。</w:t>
            </w:r>
          </w:p>
          <w:p w14:paraId="79E85517">
            <w:pPr>
              <w:spacing w:line="200" w:lineRule="exact"/>
            </w:pPr>
            <w:r>
              <w:rPr>
                <w:rFonts w:ascii="方正黑体_GBK" w:hAnsi="方正黑体_GBK" w:eastAsia="方正黑体_GBK" w:cs="宋体"/>
                <w:b/>
                <w:bCs w:val="0"/>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1DFE4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16AD37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968" w:type="dxa"/>
            <w:tcBorders>
              <w:top w:val="single" w:color="auto" w:sz="4" w:space="0"/>
              <w:left w:val="nil"/>
              <w:bottom w:val="single" w:color="auto" w:sz="4" w:space="0"/>
              <w:right w:val="single" w:color="auto" w:sz="4" w:space="0"/>
              <w:tl2br w:val="nil"/>
              <w:tr2bl w:val="nil"/>
            </w:tcBorders>
            <w:vAlign w:val="center"/>
          </w:tcPr>
          <w:p w14:paraId="0B91E95C">
            <w:pPr>
              <w:spacing w:line="200" w:lineRule="exact"/>
              <w:jc w:val="left"/>
            </w:pPr>
            <w:r>
              <w:rPr>
                <w:rFonts w:ascii="方正黑体_GBK" w:hAnsi="方正黑体_GBK" w:eastAsia="方正黑体_GBK" w:cs="宋体"/>
                <w:color w:val="000000"/>
                <w:sz w:val="18"/>
                <w:szCs w:val="18"/>
              </w:rPr>
              <w:t>具体参见本理财产品风险揭示书。</w:t>
            </w:r>
          </w:p>
          <w:p w14:paraId="1AABECBF">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2C24F0AB">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5A02BD78">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44CAC959">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4502C50E">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2480C6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450F66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968" w:type="dxa"/>
            <w:tcBorders>
              <w:top w:val="single" w:color="auto" w:sz="4" w:space="0"/>
              <w:left w:val="nil"/>
              <w:bottom w:val="single" w:color="auto" w:sz="4" w:space="0"/>
              <w:right w:val="single" w:color="auto" w:sz="4" w:space="0"/>
              <w:tl2br w:val="nil"/>
              <w:tr2bl w:val="nil"/>
            </w:tcBorders>
            <w:vAlign w:val="center"/>
          </w:tcPr>
          <w:p w14:paraId="7C18FEDE">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A8896AF">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C46969D">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5AEC4B2">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566B03C">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8B2997E">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4F5CF8E">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B2B1B36">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01DFF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36B164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968" w:type="dxa"/>
            <w:tcBorders>
              <w:top w:val="single" w:color="auto" w:sz="4" w:space="0"/>
              <w:left w:val="nil"/>
              <w:bottom w:val="single" w:color="auto" w:sz="4" w:space="0"/>
              <w:right w:val="single" w:color="auto" w:sz="4" w:space="0"/>
              <w:tl2br w:val="nil"/>
              <w:tr2bl w:val="nil"/>
            </w:tcBorders>
            <w:vAlign w:val="center"/>
          </w:tcPr>
          <w:p w14:paraId="24C2E22E">
            <w:pPr>
              <w:spacing w:line="200" w:lineRule="exact"/>
              <w:jc w:val="left"/>
            </w:pPr>
            <w:r>
              <w:rPr>
                <w:rFonts w:ascii="方正黑体_GBK" w:hAnsi="方正黑体_GBK" w:eastAsia="方正黑体_GBK" w:cs="宋体"/>
                <w:sz w:val="18"/>
                <w:szCs w:val="18"/>
              </w:rPr>
              <w:t>本理财产品销售机构为</w:t>
            </w:r>
            <w:r>
              <w:rPr>
                <w:rFonts w:hint="eastAsia" w:ascii="方正黑体_GBK" w:hAnsi="方正黑体_GBK" w:eastAsia="方正黑体_GBK" w:cs="宋体"/>
                <w:sz w:val="18"/>
                <w:szCs w:val="18"/>
              </w:rPr>
              <w:t>南京银行股份有限公司、南银理财有限责任公司、深圳前海微众银行股份有限公司、江苏常熟农村商业银行股份有限公司、日照银行股份有限公司、秦皇岛银行股份有限公司、泰安银行股份有限公司、齐鲁银行股份有限公司、云南红塔银行股份有限公司、九江银行股份有限公司、无锡锡商银行股份有限公司、江苏扬州农村商业银行股份有限公司、江苏如皋农村商业银行股份有限公司、北京中关村银行股份有限公司、天津农村商业银行股份有限公司、中原银行股份有限公司、河北银行股份有限公司、甘肃银行股份有限公司</w:t>
            </w:r>
            <w:r>
              <w:rPr>
                <w:rFonts w:ascii="方正黑体_GBK" w:hAnsi="方正黑体_GBK" w:eastAsia="方正黑体_GBK" w:cs="宋体"/>
                <w:sz w:val="18"/>
                <w:szCs w:val="18"/>
              </w:rPr>
              <w:t>。管理人有权调整本理财产品的销售机构并进行信息披露。</w:t>
            </w:r>
          </w:p>
          <w:p w14:paraId="78F95D32">
            <w:pPr>
              <w:spacing w:line="200" w:lineRule="exact"/>
              <w:jc w:val="left"/>
            </w:pPr>
            <w:r>
              <w:rPr>
                <w:rFonts w:ascii="方正黑体_GBK" w:hAnsi="方正黑体_GBK" w:eastAsia="方正黑体_GBK" w:cs="宋体"/>
                <w:sz w:val="18"/>
                <w:szCs w:val="18"/>
              </w:rPr>
              <w:t>销售机构主要职责如下：</w:t>
            </w:r>
          </w:p>
          <w:p w14:paraId="04E2EBA6">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5076D3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1542FCF">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905D303">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552D459">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B4D143D">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6399E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4DD2DB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968" w:type="dxa"/>
            <w:tcBorders>
              <w:top w:val="single" w:color="auto" w:sz="4" w:space="0"/>
              <w:left w:val="nil"/>
              <w:bottom w:val="single" w:color="auto" w:sz="4" w:space="0"/>
              <w:right w:val="single" w:color="auto" w:sz="4" w:space="0"/>
              <w:tl2br w:val="nil"/>
              <w:tr2bl w:val="nil"/>
            </w:tcBorders>
            <w:vAlign w:val="center"/>
          </w:tcPr>
          <w:p w14:paraId="78356403">
            <w:pPr>
              <w:spacing w:line="200" w:lineRule="exact"/>
            </w:pPr>
            <w:r>
              <w:rPr>
                <w:rFonts w:ascii="方正黑体_GBK" w:hAnsi="方正黑体_GBK" w:eastAsia="方正黑体_GBK" w:cs="宋体"/>
                <w:sz w:val="18"/>
                <w:szCs w:val="18"/>
              </w:rPr>
              <w:t>本理财产品托管人为南京银行股份有限公司，主要职责如下：</w:t>
            </w:r>
          </w:p>
          <w:p w14:paraId="51318C6C">
            <w:pPr>
              <w:spacing w:line="200" w:lineRule="exact"/>
            </w:pPr>
            <w:r>
              <w:rPr>
                <w:rFonts w:ascii="方正黑体_GBK" w:hAnsi="方正黑体_GBK" w:eastAsia="方正黑体_GBK" w:cs="宋体"/>
                <w:sz w:val="18"/>
                <w:szCs w:val="18"/>
              </w:rPr>
              <w:t>1.安全保管理财产品财产；</w:t>
            </w:r>
          </w:p>
          <w:p w14:paraId="4B70FBA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9B19FFD">
            <w:pPr>
              <w:spacing w:line="200" w:lineRule="exact"/>
            </w:pPr>
            <w:r>
              <w:rPr>
                <w:rFonts w:ascii="方正黑体_GBK" w:hAnsi="方正黑体_GBK" w:eastAsia="方正黑体_GBK" w:cs="宋体"/>
                <w:sz w:val="18"/>
                <w:szCs w:val="18"/>
              </w:rPr>
              <w:t>3.按照托管协议约定和管理人的投资指令，及时办理清算、交割事宜；</w:t>
            </w:r>
          </w:p>
          <w:p w14:paraId="78E494F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906868C">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C3D733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EB61D8E">
            <w:pPr>
              <w:spacing w:line="200" w:lineRule="exact"/>
            </w:pPr>
            <w:r>
              <w:rPr>
                <w:rFonts w:ascii="方正黑体_GBK" w:hAnsi="方正黑体_GBK" w:eastAsia="方正黑体_GBK" w:cs="宋体"/>
                <w:sz w:val="18"/>
                <w:szCs w:val="18"/>
              </w:rPr>
              <w:t>7.理财托管业务活动的记录、账册、报表和其他相关资料保存20年以上；</w:t>
            </w:r>
          </w:p>
          <w:p w14:paraId="7B7355B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D6BA2C6">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71A5B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74AE29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968" w:type="dxa"/>
            <w:tcBorders>
              <w:top w:val="single" w:color="auto" w:sz="4" w:space="0"/>
              <w:left w:val="nil"/>
              <w:bottom w:val="single" w:color="auto" w:sz="4" w:space="0"/>
              <w:right w:val="single" w:color="auto" w:sz="4" w:space="0"/>
              <w:tl2br w:val="nil"/>
              <w:tr2bl w:val="nil"/>
            </w:tcBorders>
            <w:vAlign w:val="center"/>
          </w:tcPr>
          <w:p w14:paraId="3D09AFFF">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华能贵诚信托有限公司、华鑫国际信托有限公司、建信保险资产管理有限公司、交银国际信托有限公司，上述投资合作机构主要职责对应如下，具体职责以管理人与投资合作机构签署的合同为准。</w:t>
            </w:r>
          </w:p>
          <w:p w14:paraId="4BE7B748">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华能贵诚信托有限公司、华鑫国际信托有限公司、建信保险资产管理有限公司、交银国际信托有限公司。</w:t>
            </w:r>
          </w:p>
          <w:p w14:paraId="51C4367E">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61B7127">
            <w:pPr>
              <w:spacing w:line="200" w:lineRule="exact"/>
            </w:pPr>
            <w:r>
              <w:rPr>
                <w:rFonts w:ascii="方正黑体_GBK" w:hAnsi="方正黑体_GBK" w:eastAsia="方正黑体_GBK" w:cs="宋体"/>
                <w:sz w:val="18"/>
                <w:szCs w:val="18"/>
              </w:rPr>
              <w:t>上述投资合作机构简介：</w:t>
            </w:r>
          </w:p>
          <w:p w14:paraId="741A6400">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393CDE6F">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515EFBD">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27D80F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EF7EE9E">
            <w:pPr>
              <w:spacing w:line="200" w:lineRule="exact"/>
            </w:pPr>
            <w:r>
              <w:rPr>
                <w:rFonts w:ascii="方正黑体_GBK" w:hAnsi="方正黑体_GBK" w:eastAsia="方正黑体_GBK" w:cs="宋体"/>
                <w:sz w:val="18"/>
                <w:szCs w:val="18"/>
              </w:rPr>
              <w:t>华鑫国际信托有限公司成立于1984年06月01日，注册资本金73.95亿元。</w:t>
            </w:r>
          </w:p>
          <w:p w14:paraId="410D80CC">
            <w:pPr>
              <w:spacing w:line="200" w:lineRule="exact"/>
            </w:pPr>
            <w:r>
              <w:rPr>
                <w:rFonts w:ascii="方正黑体_GBK" w:hAnsi="方正黑体_GBK" w:eastAsia="方正黑体_GBK" w:cs="宋体"/>
                <w:sz w:val="18"/>
                <w:szCs w:val="18"/>
              </w:rPr>
              <w:t>建信保险资产管理有限公司成立于2016年04月27日，注册资本金3亿元。</w:t>
            </w:r>
          </w:p>
          <w:p w14:paraId="2BB9871E">
            <w:pPr>
              <w:spacing w:line="200" w:lineRule="exact"/>
            </w:pPr>
            <w:r>
              <w:rPr>
                <w:rFonts w:ascii="方正黑体_GBK" w:hAnsi="方正黑体_GBK" w:eastAsia="方正黑体_GBK" w:cs="宋体"/>
                <w:sz w:val="18"/>
                <w:szCs w:val="18"/>
              </w:rPr>
              <w:t>交银国际信托有限公司成立于1983年11月23日，注册资本金57.65亿元。</w:t>
            </w:r>
          </w:p>
        </w:tc>
      </w:tr>
      <w:tr w14:paraId="52B7C4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57BB5E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968" w:type="dxa"/>
            <w:tcBorders>
              <w:top w:val="single" w:color="auto" w:sz="4" w:space="0"/>
              <w:left w:val="nil"/>
              <w:bottom w:val="single" w:color="auto" w:sz="4" w:space="0"/>
              <w:right w:val="single" w:color="auto" w:sz="4" w:space="0"/>
              <w:tl2br w:val="nil"/>
              <w:tr2bl w:val="nil"/>
            </w:tcBorders>
            <w:vAlign w:val="center"/>
          </w:tcPr>
          <w:p w14:paraId="507F56C3">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55B6A3D4">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021D684F">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7C47DF34">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033D6C6E">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203B574C">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3059A2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662555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968" w:type="dxa"/>
            <w:tcBorders>
              <w:top w:val="single" w:color="auto" w:sz="4" w:space="0"/>
              <w:left w:val="nil"/>
              <w:bottom w:val="single" w:color="auto" w:sz="4" w:space="0"/>
              <w:right w:val="single" w:color="auto" w:sz="4" w:space="0"/>
              <w:tl2br w:val="nil"/>
              <w:tr2bl w:val="nil"/>
            </w:tcBorders>
            <w:vAlign w:val="center"/>
          </w:tcPr>
          <w:p w14:paraId="71FE2A30">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6FAFF5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4C19A6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968" w:type="dxa"/>
            <w:tcBorders>
              <w:top w:val="single" w:color="auto" w:sz="4" w:space="0"/>
              <w:left w:val="nil"/>
              <w:bottom w:val="single" w:color="auto" w:sz="4" w:space="0"/>
              <w:right w:val="single" w:color="auto" w:sz="4" w:space="0"/>
              <w:tl2br w:val="nil"/>
              <w:tr2bl w:val="nil"/>
            </w:tcBorders>
            <w:vAlign w:val="center"/>
          </w:tcPr>
          <w:p w14:paraId="0B51500C">
            <w:pPr>
              <w:spacing w:line="200" w:lineRule="exact"/>
            </w:pPr>
            <w:r>
              <w:rPr>
                <w:rFonts w:ascii="方正黑体_GBK" w:hAnsi="方正黑体_GBK" w:eastAsia="方正黑体_GBK" w:cs="宋体"/>
                <w:sz w:val="18"/>
                <w:szCs w:val="18"/>
              </w:rPr>
              <w:t>发生下列情形时，管理人可暂停接受投资者认申购申请：</w:t>
            </w:r>
          </w:p>
          <w:p w14:paraId="76E9DE19">
            <w:pPr>
              <w:spacing w:line="200" w:lineRule="exact"/>
            </w:pPr>
            <w:r>
              <w:rPr>
                <w:rFonts w:ascii="方正黑体_GBK" w:hAnsi="方正黑体_GBK" w:eastAsia="方正黑体_GBK" w:cs="宋体"/>
                <w:sz w:val="18"/>
                <w:szCs w:val="18"/>
              </w:rPr>
              <w:t>1.因不可抗力导致理财产品无法正常运作；</w:t>
            </w:r>
          </w:p>
          <w:p w14:paraId="01942BD9">
            <w:pPr>
              <w:spacing w:line="200" w:lineRule="exact"/>
            </w:pPr>
            <w:r>
              <w:rPr>
                <w:rFonts w:ascii="方正黑体_GBK" w:hAnsi="方正黑体_GBK" w:eastAsia="方正黑体_GBK" w:cs="宋体"/>
                <w:sz w:val="18"/>
                <w:szCs w:val="18"/>
              </w:rPr>
              <w:t>2.因监管政策、市场发生重大变化，导致理财产品无法正常运作；</w:t>
            </w:r>
          </w:p>
          <w:p w14:paraId="08491C4A">
            <w:pPr>
              <w:spacing w:line="200" w:lineRule="exact"/>
            </w:pPr>
            <w:r>
              <w:rPr>
                <w:rFonts w:ascii="方正黑体_GBK" w:hAnsi="方正黑体_GBK" w:eastAsia="方正黑体_GBK" w:cs="宋体"/>
                <w:sz w:val="18"/>
                <w:szCs w:val="18"/>
              </w:rPr>
              <w:t>3.管理人认为需要暂停认申购的其他情形。</w:t>
            </w:r>
          </w:p>
          <w:p w14:paraId="04035DFB">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01B077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5EF570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968" w:type="dxa"/>
            <w:tcBorders>
              <w:top w:val="single" w:color="auto" w:sz="4" w:space="0"/>
              <w:left w:val="nil"/>
              <w:bottom w:val="single" w:color="auto" w:sz="4" w:space="0"/>
              <w:right w:val="single" w:color="auto" w:sz="4" w:space="0"/>
              <w:tl2br w:val="nil"/>
              <w:tr2bl w:val="nil"/>
            </w:tcBorders>
            <w:vAlign w:val="center"/>
          </w:tcPr>
          <w:p w14:paraId="3DAEFB29">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240D1B52">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1242AC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3C1B09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968" w:type="dxa"/>
            <w:tcBorders>
              <w:top w:val="single" w:color="auto" w:sz="4" w:space="0"/>
              <w:left w:val="nil"/>
              <w:bottom w:val="single" w:color="auto" w:sz="4" w:space="0"/>
              <w:right w:val="single" w:color="auto" w:sz="4" w:space="0"/>
              <w:tl2br w:val="nil"/>
              <w:tr2bl w:val="nil"/>
            </w:tcBorders>
            <w:vAlign w:val="center"/>
          </w:tcPr>
          <w:p w14:paraId="149261A4">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6B0FD20C">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310E4120">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358AAEC4">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4C9547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14:paraId="1745D6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968" w:type="dxa"/>
            <w:tcBorders>
              <w:top w:val="single" w:color="auto" w:sz="4" w:space="0"/>
              <w:left w:val="nil"/>
              <w:bottom w:val="single" w:color="auto" w:sz="4" w:space="0"/>
              <w:right w:val="single" w:color="auto" w:sz="4" w:space="0"/>
              <w:tl2br w:val="nil"/>
              <w:tr2bl w:val="nil"/>
            </w:tcBorders>
            <w:vAlign w:val="center"/>
          </w:tcPr>
          <w:p w14:paraId="17E9128B">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738E702">
      <w:pPr>
        <w:pStyle w:val="30"/>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6AFF6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C79201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CFB4A27">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5666D1B">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5DD2018">
      <w:pPr>
        <w:pStyle w:val="4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0442B16">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3FD6071">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D231EFC">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4B74776">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DC7B401">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D59EFC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00ED0F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AD2E10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1C16797">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2ACFA2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B17C8A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8C4911C">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721DDC2">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E8E6B2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3906F5C">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5B9927F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9BB4EA7">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5113B2A">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A1D1321">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74D9711">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090A15F">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39D3ED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A17706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5346FE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51C2966">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890457B">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F085C80">
      <w:pPr>
        <w:pStyle w:val="45"/>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南银理财珠联璧合安稳1902一年定开公募人民币理财产品</w:t>
      </w:r>
      <w:r>
        <w:rPr>
          <w:rFonts w:hint="eastAsia" w:ascii="方正黑体_GBK" w:hAnsi="方正黑体_GBK" w:eastAsia="方正黑体_GBK"/>
          <w:vanish w:val="0"/>
          <w:color w:val="3D3D3D"/>
          <w:kern w:val="0"/>
          <w:sz w:val="15"/>
          <w:szCs w:val="15"/>
        </w:rPr>
        <w:t>。</w:t>
      </w:r>
    </w:p>
    <w:p w14:paraId="7B44A06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C59679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910773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D787AF6">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B7A23BD">
      <w:pPr>
        <w:pStyle w:val="45"/>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1F4F47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61542F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23E790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2413827">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D36D14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9A9C24F">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1834F4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FB1EB8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DFF47B6">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1F0CAD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DE9F20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F66056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808841B">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0D115DC">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F06AD39">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29F29995">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A3C5507">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F43BCFA">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782A0FB">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6320540">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20E26131">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5175FA1">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2EA9B3F">
      <w:pPr>
        <w:pStyle w:val="4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003A29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B01E55F">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2BAB23A6">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7A824FB1">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36A2FFC3">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06897A3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8C4E2F2">
      <w:pPr>
        <w:pStyle w:val="30"/>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2957D3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8DEC147">
      <w:pPr>
        <w:spacing w:line="200" w:lineRule="exact"/>
        <w:ind w:firstLine="300"/>
        <w:jc w:val="both"/>
      </w:pPr>
      <w:r>
        <w:rPr>
          <w:rFonts w:ascii="方正黑体_GBK" w:hAnsi="方正黑体_GBK" w:eastAsia="方正黑体_GBK" w:cs="宋体"/>
          <w:sz w:val="15"/>
          <w:szCs w:val="20"/>
        </w:rPr>
        <w:t>（一）估值日</w:t>
      </w:r>
    </w:p>
    <w:p w14:paraId="43A59951">
      <w:pPr>
        <w:spacing w:line="200" w:lineRule="exact"/>
        <w:ind w:firstLine="300"/>
        <w:jc w:val="both"/>
      </w:pPr>
      <w:r>
        <w:rPr>
          <w:rFonts w:ascii="方正黑体_GBK" w:hAnsi="方正黑体_GBK" w:eastAsia="方正黑体_GBK" w:cs="宋体"/>
          <w:sz w:val="15"/>
          <w:szCs w:val="20"/>
        </w:rPr>
        <w:t>本理财产品每个工作日进行估值。</w:t>
      </w:r>
    </w:p>
    <w:p w14:paraId="6FB52487">
      <w:pPr>
        <w:spacing w:line="200" w:lineRule="exact"/>
        <w:ind w:firstLine="300"/>
        <w:jc w:val="both"/>
      </w:pPr>
      <w:r>
        <w:rPr>
          <w:rFonts w:ascii="方正黑体_GBK" w:hAnsi="方正黑体_GBK" w:eastAsia="方正黑体_GBK" w:cs="宋体"/>
          <w:sz w:val="15"/>
          <w:szCs w:val="20"/>
        </w:rPr>
        <w:t>（二）估值对象</w:t>
      </w:r>
    </w:p>
    <w:p w14:paraId="1CDAF30E">
      <w:pPr>
        <w:spacing w:line="200" w:lineRule="exact"/>
        <w:ind w:firstLine="300"/>
        <w:jc w:val="both"/>
      </w:pPr>
      <w:r>
        <w:rPr>
          <w:rFonts w:ascii="方正黑体_GBK" w:hAnsi="方正黑体_GBK" w:eastAsia="方正黑体_GBK" w:cs="宋体"/>
          <w:sz w:val="15"/>
          <w:szCs w:val="20"/>
        </w:rPr>
        <w:t>本理财产品所拥有的所有资产及负债。</w:t>
      </w:r>
    </w:p>
    <w:p w14:paraId="29404256">
      <w:pPr>
        <w:spacing w:line="200" w:lineRule="exact"/>
        <w:ind w:firstLine="300"/>
        <w:jc w:val="both"/>
      </w:pPr>
      <w:r>
        <w:rPr>
          <w:rFonts w:ascii="方正黑体_GBK" w:hAnsi="方正黑体_GBK" w:eastAsia="方正黑体_GBK" w:cs="宋体"/>
          <w:sz w:val="15"/>
          <w:szCs w:val="20"/>
        </w:rPr>
        <w:t>（三）估值目的</w:t>
      </w:r>
    </w:p>
    <w:p w14:paraId="74E53F67">
      <w:pPr>
        <w:spacing w:line="200" w:lineRule="exact"/>
        <w:ind w:firstLine="300"/>
        <w:jc w:val="both"/>
      </w:pPr>
      <w:r>
        <w:rPr>
          <w:rFonts w:ascii="方正黑体_GBK" w:hAnsi="方正黑体_GBK" w:eastAsia="方正黑体_GBK" w:cs="宋体"/>
          <w:sz w:val="15"/>
          <w:szCs w:val="20"/>
        </w:rPr>
        <w:t>客观、准确反映理财产品的价值。</w:t>
      </w:r>
    </w:p>
    <w:p w14:paraId="3F0476F4">
      <w:pPr>
        <w:spacing w:line="200" w:lineRule="exact"/>
        <w:ind w:firstLine="300"/>
        <w:jc w:val="both"/>
      </w:pPr>
      <w:r>
        <w:rPr>
          <w:rFonts w:ascii="方正黑体_GBK" w:hAnsi="方正黑体_GBK" w:eastAsia="方正黑体_GBK" w:cs="宋体"/>
          <w:sz w:val="15"/>
          <w:szCs w:val="20"/>
        </w:rPr>
        <w:t>（四）估值原则</w:t>
      </w:r>
    </w:p>
    <w:p w14:paraId="61E905AE">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61A3381F">
      <w:pPr>
        <w:spacing w:line="200" w:lineRule="exact"/>
        <w:ind w:firstLine="300"/>
        <w:jc w:val="both"/>
      </w:pPr>
      <w:r>
        <w:rPr>
          <w:rFonts w:ascii="方正黑体_GBK" w:hAnsi="方正黑体_GBK" w:eastAsia="方正黑体_GBK" w:cs="宋体"/>
          <w:sz w:val="15"/>
          <w:szCs w:val="20"/>
        </w:rPr>
        <w:t>（五）估值方法</w:t>
      </w:r>
    </w:p>
    <w:p w14:paraId="259A810E">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0EF4F2ED">
      <w:pPr>
        <w:spacing w:line="200" w:lineRule="exact"/>
        <w:ind w:firstLine="280"/>
        <w:jc w:val="left"/>
      </w:pPr>
      <w:r>
        <w:rPr>
          <w:rFonts w:ascii="方正黑体_GBK" w:hAnsi="方正黑体_GBK" w:eastAsia="方正黑体_GBK" w:cs="宋体"/>
          <w:sz w:val="15"/>
          <w:szCs w:val="20"/>
        </w:rPr>
        <w:t>1.银行存款、回购等货币市场工具</w:t>
      </w:r>
    </w:p>
    <w:p w14:paraId="6408849A">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09FDC011">
      <w:pPr>
        <w:spacing w:line="200" w:lineRule="exact"/>
        <w:ind w:firstLine="280"/>
        <w:jc w:val="left"/>
      </w:pPr>
      <w:r>
        <w:rPr>
          <w:rFonts w:ascii="方正黑体_GBK" w:hAnsi="方正黑体_GBK" w:eastAsia="方正黑体_GBK" w:cs="宋体"/>
          <w:color w:val="3D3D3D"/>
          <w:sz w:val="15"/>
          <w:szCs w:val="20"/>
        </w:rPr>
        <w:t>2.债券类资产</w:t>
      </w:r>
    </w:p>
    <w:p w14:paraId="6F583EF4">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48B556A8">
      <w:pPr>
        <w:spacing w:line="200" w:lineRule="exact"/>
        <w:ind w:firstLine="280"/>
        <w:jc w:val="left"/>
      </w:pPr>
      <w:r>
        <w:rPr>
          <w:rFonts w:ascii="方正黑体_GBK" w:hAnsi="方正黑体_GBK" w:eastAsia="方正黑体_GBK" w:cs="宋体"/>
          <w:color w:val="3D3D3D"/>
          <w:sz w:val="15"/>
          <w:szCs w:val="20"/>
        </w:rPr>
        <w:t>3.非标准化债权类资产</w:t>
      </w:r>
    </w:p>
    <w:p w14:paraId="5916A1CF">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72F8BBE9">
      <w:pPr>
        <w:spacing w:line="200" w:lineRule="exact"/>
        <w:ind w:firstLine="280"/>
        <w:jc w:val="left"/>
      </w:pPr>
      <w:r>
        <w:rPr>
          <w:rFonts w:ascii="方正黑体_GBK" w:hAnsi="方正黑体_GBK" w:eastAsia="方正黑体_GBK" w:cs="宋体"/>
          <w:color w:val="3D3D3D"/>
          <w:sz w:val="15"/>
          <w:szCs w:val="20"/>
        </w:rPr>
        <w:t>4.证券投资基金</w:t>
      </w:r>
    </w:p>
    <w:p w14:paraId="437ADFC3">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3DBD60E7">
      <w:pPr>
        <w:spacing w:line="200" w:lineRule="exact"/>
        <w:ind w:firstLine="280"/>
        <w:jc w:val="left"/>
      </w:pPr>
      <w:r>
        <w:rPr>
          <w:rFonts w:ascii="方正黑体_GBK" w:hAnsi="方正黑体_GBK" w:eastAsia="方正黑体_GBK" w:cs="宋体"/>
          <w:color w:val="3D3D3D"/>
          <w:sz w:val="15"/>
          <w:szCs w:val="20"/>
        </w:rPr>
        <w:t>5.股权类资产</w:t>
      </w:r>
    </w:p>
    <w:p w14:paraId="10CF96A5">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39CA4CDF">
      <w:pPr>
        <w:spacing w:line="200" w:lineRule="exact"/>
        <w:ind w:firstLine="280"/>
        <w:jc w:val="left"/>
      </w:pPr>
      <w:r>
        <w:rPr>
          <w:rFonts w:ascii="方正黑体_GBK" w:hAnsi="方正黑体_GBK" w:eastAsia="方正黑体_GBK" w:cs="宋体"/>
          <w:color w:val="3D3D3D"/>
          <w:sz w:val="15"/>
          <w:szCs w:val="20"/>
        </w:rPr>
        <w:t>6.资管计划、信托计划等资产</w:t>
      </w:r>
    </w:p>
    <w:p w14:paraId="038A533A">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182008C4">
      <w:pPr>
        <w:spacing w:line="200" w:lineRule="exact"/>
        <w:ind w:firstLine="280"/>
        <w:jc w:val="left"/>
      </w:pPr>
      <w:r>
        <w:rPr>
          <w:rFonts w:ascii="方正黑体_GBK" w:hAnsi="方正黑体_GBK" w:eastAsia="方正黑体_GBK" w:cs="宋体"/>
          <w:color w:val="3D3D3D"/>
          <w:sz w:val="15"/>
          <w:szCs w:val="20"/>
        </w:rPr>
        <w:t>7.其他资产</w:t>
      </w:r>
    </w:p>
    <w:p w14:paraId="23360C13">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4B02AD34">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76F96802">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1E7E4F12">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2FE7F598">
      <w:pPr>
        <w:spacing w:line="200" w:lineRule="exact"/>
        <w:ind w:firstLine="300"/>
        <w:jc w:val="both"/>
      </w:pPr>
      <w:r>
        <w:rPr>
          <w:rFonts w:ascii="方正黑体_GBK" w:hAnsi="方正黑体_GBK" w:eastAsia="方正黑体_GBK" w:cs="宋体"/>
          <w:sz w:val="15"/>
          <w:szCs w:val="20"/>
        </w:rPr>
        <w:t>（六）估值错误及暂停估值</w:t>
      </w:r>
    </w:p>
    <w:p w14:paraId="3AD4C3A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203A42E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60098188">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83369DF">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CB1E8DB">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26DD18F">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A0CB2A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646ACC8E">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37079F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07C7319">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114CEE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5684217C">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128594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D7709E8">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7CDBD6A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B1A1819">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D55513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2F2CEDF">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17C2FC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01127B6">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296FB4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5A2D506">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B71316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675E9F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E5B954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011E1E3">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31A36C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48EC22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0303B1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3265846A">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68603A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6ECBFF2">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88E124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DB30CE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3220F6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6A1A46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bookmarkStart w:id="0" w:name="_GoBack"/>
      <w:bookmarkEnd w:id="0"/>
    </w:p>
    <w:p w14:paraId="50154B1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7CAE0B7">
      <w:pPr>
        <w:pStyle w:val="30"/>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4AA0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79AEF"/>
    <w:multiLevelType w:val="multilevel"/>
    <w:tmpl w:val="C8879AEF"/>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1">
    <w:nsid w:val="F4B5D9F5"/>
    <w:multiLevelType w:val="multilevel"/>
    <w:tmpl w:val="F4B5D9F5"/>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2">
    <w:nsid w:val="2470EC97"/>
    <w:multiLevelType w:val="multilevel"/>
    <w:tmpl w:val="2470EC97"/>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3">
    <w:nsid w:val="4D4DC07F"/>
    <w:multiLevelType w:val="multilevel"/>
    <w:tmpl w:val="4D4DC07F"/>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docVars>
    <w:docVar w:name="commondata" w:val="eyJoZGlkIjoiM2M1ZGZjZGI0NDAxNWRlYTU1MDQzODcxYWQzMWNkMWYifQ=="/>
  </w:docVars>
  <w:rsids>
    <w:rsidRoot w:val="00000000"/>
    <w:rsid w:val="27D90046"/>
    <w:rsid w:val="36D50F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uiPriority w:val="0"/>
    <w:pPr>
      <w:ind w:left="1680"/>
    </w:pPr>
  </w:style>
  <w:style w:type="paragraph" w:styleId="6">
    <w:name w:val="toc 3"/>
    <w:basedOn w:val="1"/>
    <w:next w:val="1"/>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qFormat/>
    <w:uiPriority w:val="0"/>
  </w:style>
  <w:style w:type="paragraph" w:styleId="10">
    <w:name w:val="toc 4"/>
    <w:basedOn w:val="1"/>
    <w:next w:val="1"/>
    <w:uiPriority w:val="0"/>
    <w:pPr>
      <w:ind w:left="1260"/>
    </w:pPr>
  </w:style>
  <w:style w:type="paragraph" w:styleId="11">
    <w:name w:val="toc 2"/>
    <w:basedOn w:val="1"/>
    <w:next w:val="1"/>
    <w:qFormat/>
    <w:uiPriority w:val="0"/>
    <w:pPr>
      <w:ind w:left="42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paragraph" w:customStyle="1" w:styleId="16">
    <w:name w:val="Normal478f81a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7">
    <w:name w:val="heading 1730f28e2"/>
    <w:basedOn w:val="16"/>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8">
    <w:name w:val="heading 2761f06bb"/>
    <w:basedOn w:val="16"/>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9">
    <w:name w:val="heading 3d0862e2d"/>
    <w:basedOn w:val="16"/>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0">
    <w:name w:val="Default Paragraph Font85aa03c9"/>
    <w:qFormat/>
    <w:uiPriority w:val="0"/>
  </w:style>
  <w:style w:type="paragraph" w:customStyle="1" w:styleId="21">
    <w:name w:val="toc 1d292a095"/>
    <w:basedOn w:val="16"/>
    <w:next w:val="1"/>
    <w:qFormat/>
    <w:uiPriority w:val="0"/>
  </w:style>
  <w:style w:type="paragraph" w:customStyle="1" w:styleId="22">
    <w:name w:val="toc 2ec9356d5"/>
    <w:basedOn w:val="16"/>
    <w:next w:val="1"/>
    <w:qFormat/>
    <w:uiPriority w:val="0"/>
    <w:pPr>
      <w:ind w:left="420"/>
    </w:pPr>
  </w:style>
  <w:style w:type="paragraph" w:customStyle="1" w:styleId="23">
    <w:name w:val="toc 3d0562a34"/>
    <w:basedOn w:val="16"/>
    <w:next w:val="1"/>
    <w:qFormat/>
    <w:uiPriority w:val="0"/>
    <w:pPr>
      <w:ind w:left="840"/>
    </w:pPr>
  </w:style>
  <w:style w:type="paragraph" w:customStyle="1" w:styleId="24">
    <w:name w:val="toc 47ab2057b"/>
    <w:basedOn w:val="16"/>
    <w:next w:val="1"/>
    <w:uiPriority w:val="0"/>
    <w:pPr>
      <w:ind w:left="1260"/>
    </w:pPr>
  </w:style>
  <w:style w:type="paragraph" w:customStyle="1" w:styleId="25">
    <w:name w:val="toc 52950e3ff"/>
    <w:basedOn w:val="16"/>
    <w:next w:val="1"/>
    <w:uiPriority w:val="0"/>
    <w:pPr>
      <w:ind w:left="1680"/>
    </w:pPr>
  </w:style>
  <w:style w:type="paragraph" w:customStyle="1" w:styleId="26">
    <w:name w:val="header64d50cd3"/>
    <w:basedOn w:val="16"/>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7">
    <w:name w:val="footer23d08eb1"/>
    <w:basedOn w:val="16"/>
    <w:qFormat/>
    <w:uiPriority w:val="0"/>
    <w:pPr>
      <w:tabs>
        <w:tab w:val="center" w:pos="4153"/>
        <w:tab w:val="right" w:pos="8307"/>
      </w:tabs>
      <w:adjustRightInd/>
      <w:snapToGrid w:val="0"/>
      <w:contextualSpacing w:val="0"/>
      <w:jc w:val="left"/>
    </w:pPr>
    <w:rPr>
      <w:sz w:val="18"/>
    </w:rPr>
  </w:style>
  <w:style w:type="character" w:customStyle="1" w:styleId="28">
    <w:name w:val="Strong0806c796"/>
    <w:qFormat/>
    <w:uiPriority w:val="0"/>
    <w:rPr>
      <w:b/>
    </w:rPr>
  </w:style>
  <w:style w:type="paragraph" w:customStyle="1" w:styleId="29">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30">
    <w:name w:val="Normald198c04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1">
    <w:name w:val="heading 183777b54"/>
    <w:basedOn w:val="30"/>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2">
    <w:name w:val="heading 23c042e4a"/>
    <w:basedOn w:val="30"/>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3">
    <w:name w:val="heading 30b6a1046"/>
    <w:basedOn w:val="30"/>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4">
    <w:name w:val="Default Paragraph Font06e21120"/>
    <w:qFormat/>
    <w:uiPriority w:val="0"/>
  </w:style>
  <w:style w:type="paragraph" w:customStyle="1" w:styleId="35">
    <w:name w:val="Normal Indent01fc8cf5"/>
    <w:basedOn w:val="30"/>
    <w:qFormat/>
    <w:uiPriority w:val="0"/>
    <w:pPr>
      <w:ind w:firstLine="200" w:firstLineChars="200"/>
    </w:pPr>
  </w:style>
  <w:style w:type="paragraph" w:customStyle="1" w:styleId="36">
    <w:name w:val="toc 5fb906de1"/>
    <w:basedOn w:val="30"/>
    <w:next w:val="1"/>
    <w:qFormat/>
    <w:uiPriority w:val="0"/>
    <w:pPr>
      <w:ind w:left="1680"/>
    </w:pPr>
  </w:style>
  <w:style w:type="paragraph" w:customStyle="1" w:styleId="37">
    <w:name w:val="toc 38ccfde2a"/>
    <w:basedOn w:val="30"/>
    <w:next w:val="1"/>
    <w:qFormat/>
    <w:uiPriority w:val="0"/>
    <w:pPr>
      <w:ind w:left="840"/>
    </w:pPr>
  </w:style>
  <w:style w:type="paragraph" w:customStyle="1" w:styleId="38">
    <w:name w:val="footer7a031e9a"/>
    <w:basedOn w:val="30"/>
    <w:qFormat/>
    <w:uiPriority w:val="0"/>
    <w:pPr>
      <w:tabs>
        <w:tab w:val="center" w:pos="4153"/>
        <w:tab w:val="right" w:pos="8307"/>
      </w:tabs>
      <w:adjustRightInd/>
      <w:snapToGrid w:val="0"/>
      <w:contextualSpacing w:val="0"/>
      <w:jc w:val="left"/>
    </w:pPr>
    <w:rPr>
      <w:sz w:val="18"/>
    </w:rPr>
  </w:style>
  <w:style w:type="paragraph" w:customStyle="1" w:styleId="39">
    <w:name w:val="headere75677c3"/>
    <w:basedOn w:val="30"/>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40">
    <w:name w:val="toc 1fbbbc166"/>
    <w:basedOn w:val="30"/>
    <w:next w:val="1"/>
    <w:uiPriority w:val="0"/>
  </w:style>
  <w:style w:type="paragraph" w:customStyle="1" w:styleId="41">
    <w:name w:val="toc 4a6256169"/>
    <w:basedOn w:val="30"/>
    <w:next w:val="1"/>
    <w:uiPriority w:val="0"/>
    <w:pPr>
      <w:ind w:left="1260"/>
    </w:pPr>
  </w:style>
  <w:style w:type="paragraph" w:customStyle="1" w:styleId="42">
    <w:name w:val="toc 20c5eee5a"/>
    <w:basedOn w:val="30"/>
    <w:next w:val="1"/>
    <w:qFormat/>
    <w:uiPriority w:val="0"/>
    <w:pPr>
      <w:ind w:left="420"/>
    </w:pPr>
  </w:style>
  <w:style w:type="paragraph" w:customStyle="1" w:styleId="43">
    <w:name w:val="Normal (Web)c08381d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4">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Normal8c2f022f8c2f022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6">
    <w:name w:val="heading 1ed2d880aed2d880a"/>
    <w:basedOn w:val="4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7">
    <w:name w:val="heading 2e2a8a811e2a8a811"/>
    <w:basedOn w:val="4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8">
    <w:name w:val="heading 3bf234ac2bf234ac2"/>
    <w:basedOn w:val="4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9">
    <w:name w:val="Default Paragraph Fontd2de2782d2de2782"/>
    <w:qFormat/>
    <w:uiPriority w:val="0"/>
  </w:style>
  <w:style w:type="paragraph" w:customStyle="1" w:styleId="50">
    <w:name w:val="引文目录112cb3a6012cb3a60"/>
    <w:basedOn w:val="45"/>
    <w:next w:val="1"/>
    <w:qFormat/>
    <w:uiPriority w:val="0"/>
    <w:pPr>
      <w:ind w:left="200" w:leftChars="200"/>
    </w:pPr>
  </w:style>
  <w:style w:type="paragraph" w:customStyle="1" w:styleId="51">
    <w:name w:val="toc 5e6a726dbe6a726db"/>
    <w:basedOn w:val="45"/>
    <w:next w:val="1"/>
    <w:qFormat/>
    <w:uiPriority w:val="0"/>
    <w:pPr>
      <w:ind w:left="1680"/>
    </w:pPr>
  </w:style>
  <w:style w:type="paragraph" w:customStyle="1" w:styleId="52">
    <w:name w:val="toc 361017ec861017ec8"/>
    <w:basedOn w:val="45"/>
    <w:next w:val="1"/>
    <w:qFormat/>
    <w:uiPriority w:val="0"/>
    <w:pPr>
      <w:ind w:left="840"/>
    </w:pPr>
  </w:style>
  <w:style w:type="paragraph" w:customStyle="1" w:styleId="53">
    <w:name w:val="footer226a3c64226a3c64"/>
    <w:basedOn w:val="45"/>
    <w:qFormat/>
    <w:uiPriority w:val="0"/>
    <w:pPr>
      <w:tabs>
        <w:tab w:val="center" w:pos="4153"/>
        <w:tab w:val="right" w:pos="8307"/>
      </w:tabs>
      <w:adjustRightInd/>
      <w:snapToGrid w:val="0"/>
      <w:contextualSpacing w:val="0"/>
      <w:jc w:val="left"/>
    </w:pPr>
    <w:rPr>
      <w:sz w:val="18"/>
    </w:rPr>
  </w:style>
  <w:style w:type="paragraph" w:customStyle="1" w:styleId="54">
    <w:name w:val="header504cca7e504cca7e"/>
    <w:basedOn w:val="4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5">
    <w:name w:val="toc 16b0a0d6b6b0a0d6b"/>
    <w:basedOn w:val="45"/>
    <w:next w:val="1"/>
    <w:qFormat/>
    <w:uiPriority w:val="0"/>
  </w:style>
  <w:style w:type="paragraph" w:customStyle="1" w:styleId="56">
    <w:name w:val="toc 4f87ebfc7f87ebfc7"/>
    <w:basedOn w:val="45"/>
    <w:next w:val="1"/>
    <w:qFormat/>
    <w:uiPriority w:val="0"/>
    <w:pPr>
      <w:ind w:left="1260"/>
    </w:pPr>
  </w:style>
  <w:style w:type="paragraph" w:customStyle="1" w:styleId="57">
    <w:name w:val="toc 2ef9b0b0bef9b0b0b"/>
    <w:basedOn w:val="45"/>
    <w:next w:val="1"/>
    <w:qFormat/>
    <w:uiPriority w:val="0"/>
    <w:pPr>
      <w:ind w:left="420"/>
    </w:pPr>
  </w:style>
  <w:style w:type="paragraph" w:customStyle="1" w:styleId="58">
    <w:name w:val="列出段落15054b98e5054b98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25057</Words>
  <Characters>26096</Characters>
  <Lines>81</Lines>
  <Paragraphs>27</Paragraphs>
  <TotalTime>2</TotalTime>
  <ScaleCrop>false</ScaleCrop>
  <LinksUpToDate>false</LinksUpToDate>
  <CharactersWithSpaces>26252</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2025-03-10T10:51:24Z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