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关于调整南银理财珠联璧合安稳</w:t>
      </w:r>
      <w:r>
        <w:rPr>
          <w:rFonts w:hint="eastAsia" w:ascii="方正黑体_GBK" w:hAnsi="方正黑体_GBK" w:eastAsia="方正黑体_GBK" w:cs="方正黑体_GBK"/>
          <w:b/>
          <w:bCs/>
          <w:sz w:val="32"/>
          <w:szCs w:val="32"/>
          <w:lang w:val="en-US" w:eastAsia="zh-CN"/>
        </w:rPr>
        <w:t>1902</w:t>
      </w:r>
      <w:r>
        <w:rPr>
          <w:rFonts w:hint="eastAsia" w:ascii="方正黑体_GBK" w:hAnsi="方正黑体_GBK" w:eastAsia="方正黑体_GBK" w:cs="方正黑体_GBK"/>
          <w:b/>
          <w:bCs/>
          <w:sz w:val="32"/>
          <w:szCs w:val="32"/>
        </w:rPr>
        <w:t>一年定开公募人民币理财产品</w:t>
      </w:r>
      <w:r>
        <w:rPr>
          <w:rFonts w:hint="eastAsia" w:ascii="方正黑体_GBK" w:hAnsi="方正黑体_GBK" w:eastAsia="方正黑体_GBK" w:cs="方正黑体_GBK"/>
          <w:b/>
          <w:bCs/>
          <w:sz w:val="32"/>
          <w:szCs w:val="32"/>
          <w:lang w:eastAsia="zh-CN"/>
        </w:rPr>
        <w:t>相关要素</w:t>
      </w:r>
      <w:r>
        <w:rPr>
          <w:rFonts w:hint="eastAsia" w:ascii="方正黑体_GBK" w:hAnsi="方正黑体_GBK" w:eastAsia="方正黑体_GBK" w:cs="方正黑体_GBK"/>
          <w:b/>
          <w:bCs/>
          <w:sz w:val="32"/>
          <w:szCs w:val="32"/>
        </w:rPr>
        <w:t>的公告</w:t>
      </w:r>
    </w:p>
    <w:p>
      <w:pP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尊敬的投资者：</w:t>
      </w:r>
    </w:p>
    <w:p>
      <w:pPr>
        <w:spacing w:after="240"/>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color w:val="auto"/>
          <w:sz w:val="24"/>
          <w:szCs w:val="32"/>
          <w:lang w:eastAsia="zh-CN"/>
        </w:rPr>
        <w:t>根据</w:t>
      </w:r>
      <w:r>
        <w:rPr>
          <w:rFonts w:hint="eastAsia" w:ascii="方正黑体_GBK" w:hAnsi="方正黑体_GBK" w:eastAsia="方正黑体_GBK" w:cs="方正黑体_GBK"/>
          <w:color w:val="auto"/>
          <w:sz w:val="24"/>
          <w:szCs w:val="24"/>
          <w:lang w:eastAsia="zh-CN"/>
        </w:rPr>
        <w:t>理财产品说明书的相关约定，</w:t>
      </w:r>
      <w:r>
        <w:rPr>
          <w:rFonts w:hint="eastAsia" w:ascii="方正黑体_GBK" w:hAnsi="方正黑体_GBK" w:eastAsia="方正黑体_GBK" w:cs="方正黑体_GBK"/>
          <w:sz w:val="24"/>
        </w:rPr>
        <w:t>本公司将对南银理财珠联璧合安稳</w:t>
      </w:r>
      <w:r>
        <w:rPr>
          <w:rFonts w:hint="eastAsia" w:ascii="方正黑体_GBK" w:hAnsi="方正黑体_GBK" w:eastAsia="方正黑体_GBK" w:cs="方正黑体_GBK"/>
          <w:sz w:val="24"/>
          <w:lang w:val="en-US" w:eastAsia="zh-CN"/>
        </w:rPr>
        <w:t>1902</w:t>
      </w:r>
      <w:r>
        <w:rPr>
          <w:rFonts w:hint="eastAsia" w:ascii="方正黑体_GBK" w:hAnsi="方正黑体_GBK" w:eastAsia="方正黑体_GBK" w:cs="方正黑体_GBK"/>
          <w:sz w:val="24"/>
        </w:rPr>
        <w:t>一年定开公募人民币理财产品（产品登记编码：Z7003221000027）的</w:t>
      </w:r>
      <w:r>
        <w:rPr>
          <w:rFonts w:hint="eastAsia" w:ascii="方正黑体_GBK" w:hAnsi="方正黑体_GBK" w:eastAsia="方正黑体_GBK" w:cs="方正黑体_GBK"/>
          <w:sz w:val="24"/>
          <w:lang w:eastAsia="zh-CN"/>
        </w:rPr>
        <w:t>相关要素</w:t>
      </w:r>
      <w:r>
        <w:rPr>
          <w:rFonts w:hint="eastAsia" w:ascii="方正黑体_GBK" w:hAnsi="方正黑体_GBK" w:eastAsia="方正黑体_GBK" w:cs="方正黑体_GBK"/>
          <w:sz w:val="24"/>
        </w:rPr>
        <w:t>进行调整，具体如下：</w:t>
      </w:r>
    </w:p>
    <w:tbl>
      <w:tblPr>
        <w:tblStyle w:val="8"/>
        <w:tblW w:w="109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4"/>
        <w:gridCol w:w="3817"/>
        <w:gridCol w:w="4690"/>
        <w:gridCol w:w="1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4" w:type="dxa"/>
            <w:vAlign w:val="center"/>
          </w:tcPr>
          <w:p>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调整要素</w:t>
            </w:r>
          </w:p>
        </w:tc>
        <w:tc>
          <w:tcPr>
            <w:tcW w:w="3817" w:type="dxa"/>
            <w:vAlign w:val="center"/>
          </w:tcPr>
          <w:p>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调整前</w:t>
            </w:r>
          </w:p>
        </w:tc>
        <w:tc>
          <w:tcPr>
            <w:tcW w:w="4690" w:type="dxa"/>
            <w:vAlign w:val="center"/>
          </w:tcPr>
          <w:p>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调整后</w:t>
            </w:r>
          </w:p>
        </w:tc>
        <w:tc>
          <w:tcPr>
            <w:tcW w:w="1138" w:type="dxa"/>
            <w:vAlign w:val="center"/>
          </w:tcPr>
          <w:p>
            <w:pPr>
              <w:jc w:val="center"/>
              <w:rPr>
                <w:rFonts w:hint="eastAsia" w:ascii="方正黑体_GBK" w:hAnsi="方正黑体_GBK" w:eastAsia="方正黑体_GBK" w:cs="方正黑体_GBK"/>
                <w:b/>
                <w:bCs/>
                <w:sz w:val="18"/>
                <w:szCs w:val="18"/>
                <w:lang w:eastAsia="zh-CN"/>
              </w:rPr>
            </w:pPr>
            <w:r>
              <w:rPr>
                <w:rFonts w:hint="eastAsia" w:ascii="方正黑体_GBK" w:hAnsi="方正黑体_GBK" w:eastAsia="方正黑体_GBK" w:cs="方正黑体_GBK"/>
                <w:b/>
                <w:bCs/>
                <w:sz w:val="18"/>
                <w:szCs w:val="18"/>
                <w:lang w:eastAsia="zh-CN"/>
              </w:rPr>
              <w:t>调整日期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4" w:type="dxa"/>
            <w:vAlign w:val="center"/>
          </w:tcPr>
          <w:p>
            <w:pPr>
              <w:spacing w:line="390" w:lineRule="exact"/>
              <w:jc w:val="center"/>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业绩比较基准</w:t>
            </w:r>
          </w:p>
        </w:tc>
        <w:tc>
          <w:tcPr>
            <w:tcW w:w="3817" w:type="dxa"/>
            <w:vAlign w:val="center"/>
          </w:tcPr>
          <w:p>
            <w:pPr>
              <w:widowControl/>
              <w:spacing w:line="200" w:lineRule="exact"/>
              <w:ind w:firstLine="300"/>
              <w:jc w:val="center"/>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中债新综合财富指数（1-3年）收益率</w:t>
            </w:r>
          </w:p>
        </w:tc>
        <w:tc>
          <w:tcPr>
            <w:tcW w:w="4690" w:type="dxa"/>
            <w:vAlign w:val="center"/>
          </w:tcPr>
          <w:p>
            <w:pPr>
              <w:spacing w:line="200" w:lineRule="exact"/>
            </w:pPr>
            <w:r>
              <w:rPr>
                <w:rFonts w:ascii="方正黑体_GBK" w:hAnsi="方正黑体_GBK" w:eastAsia="方正黑体_GBK" w:cs="宋体"/>
                <w:sz w:val="18"/>
                <w:szCs w:val="18"/>
              </w:rPr>
              <w:t>A份额</w:t>
            </w:r>
            <w:r>
              <w:rPr>
                <w:rFonts w:hint="eastAsia" w:cs="宋体"/>
                <w:sz w:val="18"/>
                <w:szCs w:val="18"/>
                <w:lang w:val="en-US" w:eastAsia="zh-CN"/>
              </w:rPr>
              <w:t>/</w:t>
            </w:r>
            <w:r>
              <w:rPr>
                <w:rFonts w:ascii="方正黑体_GBK" w:hAnsi="方正黑体_GBK" w:eastAsia="方正黑体_GBK" w:cs="宋体"/>
                <w:sz w:val="18"/>
                <w:szCs w:val="18"/>
              </w:rPr>
              <w:t>A2份额</w:t>
            </w:r>
            <w:r>
              <w:rPr>
                <w:rFonts w:hint="eastAsia" w:cs="宋体"/>
                <w:sz w:val="18"/>
                <w:szCs w:val="18"/>
                <w:lang w:val="en-US" w:eastAsia="zh-CN"/>
              </w:rPr>
              <w:t>/</w:t>
            </w:r>
            <w:r>
              <w:rPr>
                <w:rFonts w:ascii="方正黑体_GBK" w:hAnsi="方正黑体_GBK" w:eastAsia="方正黑体_GBK" w:cs="宋体"/>
                <w:sz w:val="18"/>
                <w:szCs w:val="18"/>
              </w:rPr>
              <w:t>A</w:t>
            </w:r>
            <w:r>
              <w:rPr>
                <w:rFonts w:hint="eastAsia" w:cs="宋体"/>
                <w:sz w:val="18"/>
                <w:szCs w:val="18"/>
                <w:lang w:val="en-US" w:eastAsia="zh-CN"/>
              </w:rPr>
              <w:t>3</w:t>
            </w:r>
            <w:r>
              <w:rPr>
                <w:rFonts w:ascii="方正黑体_GBK" w:hAnsi="方正黑体_GBK" w:eastAsia="方正黑体_GBK" w:cs="宋体"/>
                <w:sz w:val="18"/>
                <w:szCs w:val="18"/>
              </w:rPr>
              <w:t>份额</w:t>
            </w:r>
            <w:r>
              <w:rPr>
                <w:rFonts w:hint="eastAsia" w:cs="宋体"/>
                <w:sz w:val="18"/>
                <w:szCs w:val="18"/>
                <w:lang w:val="en-US" w:eastAsia="zh-CN"/>
              </w:rPr>
              <w:t>/</w:t>
            </w:r>
            <w:r>
              <w:rPr>
                <w:rFonts w:ascii="方正黑体_GBK" w:hAnsi="方正黑体_GBK" w:eastAsia="方正黑体_GBK" w:cs="宋体"/>
                <w:sz w:val="18"/>
                <w:szCs w:val="18"/>
              </w:rPr>
              <w:t>A</w:t>
            </w:r>
            <w:r>
              <w:rPr>
                <w:rFonts w:hint="eastAsia" w:cs="宋体"/>
                <w:sz w:val="18"/>
                <w:szCs w:val="18"/>
                <w:lang w:val="en-US" w:eastAsia="zh-CN"/>
              </w:rPr>
              <w:t>4</w:t>
            </w:r>
            <w:r>
              <w:rPr>
                <w:rFonts w:ascii="方正黑体_GBK" w:hAnsi="方正黑体_GBK" w:eastAsia="方正黑体_GBK" w:cs="宋体"/>
                <w:sz w:val="18"/>
                <w:szCs w:val="18"/>
              </w:rPr>
              <w:t>份额：业绩比较基准为年化2.7%-3.3% 。</w:t>
            </w:r>
          </w:p>
          <w:p>
            <w:pPr>
              <w:spacing w:line="200" w:lineRule="exact"/>
            </w:pPr>
            <w:r>
              <w:rPr>
                <w:rFonts w:hint="eastAsia" w:cs="宋体"/>
                <w:sz w:val="18"/>
                <w:szCs w:val="18"/>
                <w:lang w:val="en-US" w:eastAsia="zh-CN"/>
              </w:rPr>
              <w:t>B</w:t>
            </w:r>
            <w:r>
              <w:rPr>
                <w:rFonts w:ascii="方正黑体_GBK" w:hAnsi="方正黑体_GBK" w:eastAsia="方正黑体_GBK" w:cs="宋体"/>
                <w:sz w:val="18"/>
                <w:szCs w:val="18"/>
              </w:rPr>
              <w:t>份额</w:t>
            </w:r>
            <w:r>
              <w:rPr>
                <w:rFonts w:hint="eastAsia" w:cs="宋体"/>
                <w:sz w:val="18"/>
                <w:szCs w:val="18"/>
                <w:lang w:val="en-US" w:eastAsia="zh-CN"/>
              </w:rPr>
              <w:t>/B</w:t>
            </w:r>
            <w:r>
              <w:rPr>
                <w:rFonts w:ascii="方正黑体_GBK" w:hAnsi="方正黑体_GBK" w:eastAsia="方正黑体_GBK" w:cs="宋体"/>
                <w:sz w:val="18"/>
                <w:szCs w:val="18"/>
              </w:rPr>
              <w:t>2份额</w:t>
            </w:r>
            <w:r>
              <w:rPr>
                <w:rFonts w:hint="eastAsia" w:cs="宋体"/>
                <w:sz w:val="18"/>
                <w:szCs w:val="18"/>
                <w:lang w:val="en-US" w:eastAsia="zh-CN"/>
              </w:rPr>
              <w:t>/B3</w:t>
            </w:r>
            <w:r>
              <w:rPr>
                <w:rFonts w:ascii="方正黑体_GBK" w:hAnsi="方正黑体_GBK" w:eastAsia="方正黑体_GBK" w:cs="宋体"/>
                <w:sz w:val="18"/>
                <w:szCs w:val="18"/>
              </w:rPr>
              <w:t>份额</w:t>
            </w:r>
            <w:r>
              <w:rPr>
                <w:rFonts w:hint="eastAsia" w:cs="宋体"/>
                <w:sz w:val="18"/>
                <w:szCs w:val="18"/>
                <w:lang w:val="en-US" w:eastAsia="zh-CN"/>
              </w:rPr>
              <w:t>/B4</w:t>
            </w:r>
            <w:r>
              <w:rPr>
                <w:rFonts w:ascii="方正黑体_GBK" w:hAnsi="方正黑体_GBK" w:eastAsia="方正黑体_GBK" w:cs="宋体"/>
                <w:sz w:val="18"/>
                <w:szCs w:val="18"/>
              </w:rPr>
              <w:t>份额：业绩比较基准为年化2.7%-3.3% 。</w:t>
            </w:r>
          </w:p>
          <w:p>
            <w:pPr>
              <w:spacing w:line="200" w:lineRule="exact"/>
              <w:rPr>
                <w:rFonts w:hint="default" w:eastAsia="方正黑体_GBK"/>
                <w:lang w:val="en-US" w:eastAsia="zh-CN"/>
              </w:rPr>
            </w:pPr>
            <w:r>
              <w:rPr>
                <w:rFonts w:hint="eastAsia" w:cs="宋体"/>
                <w:sz w:val="18"/>
                <w:szCs w:val="18"/>
                <w:lang w:val="en-US" w:eastAsia="zh-CN"/>
              </w:rPr>
              <w:t>C</w:t>
            </w:r>
            <w:r>
              <w:rPr>
                <w:rFonts w:ascii="方正黑体_GBK" w:hAnsi="方正黑体_GBK" w:eastAsia="方正黑体_GBK" w:cs="宋体"/>
                <w:sz w:val="18"/>
                <w:szCs w:val="18"/>
              </w:rPr>
              <w:t>份额</w:t>
            </w:r>
            <w:r>
              <w:rPr>
                <w:rFonts w:hint="eastAsia" w:cs="宋体"/>
                <w:sz w:val="18"/>
                <w:szCs w:val="18"/>
                <w:lang w:val="en-US" w:eastAsia="zh-CN"/>
              </w:rPr>
              <w:t>/C</w:t>
            </w:r>
            <w:r>
              <w:rPr>
                <w:rFonts w:ascii="方正黑体_GBK" w:hAnsi="方正黑体_GBK" w:eastAsia="方正黑体_GBK" w:cs="宋体"/>
                <w:sz w:val="18"/>
                <w:szCs w:val="18"/>
              </w:rPr>
              <w:t>2份额</w:t>
            </w:r>
            <w:r>
              <w:rPr>
                <w:rFonts w:hint="eastAsia" w:cs="宋体"/>
                <w:sz w:val="18"/>
                <w:szCs w:val="18"/>
                <w:lang w:val="en-US" w:eastAsia="zh-CN"/>
              </w:rPr>
              <w:t>/C3</w:t>
            </w:r>
            <w:r>
              <w:rPr>
                <w:rFonts w:ascii="方正黑体_GBK" w:hAnsi="方正黑体_GBK" w:eastAsia="方正黑体_GBK" w:cs="宋体"/>
                <w:sz w:val="18"/>
                <w:szCs w:val="18"/>
              </w:rPr>
              <w:t>份额</w:t>
            </w:r>
            <w:r>
              <w:rPr>
                <w:rFonts w:hint="eastAsia" w:cs="宋体"/>
                <w:sz w:val="18"/>
                <w:szCs w:val="18"/>
                <w:lang w:val="en-US" w:eastAsia="zh-CN"/>
              </w:rPr>
              <w:t>/C4</w:t>
            </w:r>
            <w:r>
              <w:rPr>
                <w:rFonts w:ascii="方正黑体_GBK" w:hAnsi="方正黑体_GBK" w:eastAsia="方正黑体_GBK" w:cs="宋体"/>
                <w:sz w:val="18"/>
                <w:szCs w:val="18"/>
              </w:rPr>
              <w:t>份额：业绩比较基准为年化2.8%-3.4% 。</w:t>
            </w:r>
          </w:p>
          <w:p>
            <w:pPr>
              <w:spacing w:line="200" w:lineRule="exact"/>
            </w:pPr>
            <w:r>
              <w:rPr>
                <w:rFonts w:hint="eastAsia" w:cs="宋体"/>
                <w:sz w:val="18"/>
                <w:szCs w:val="18"/>
                <w:lang w:val="en-US" w:eastAsia="zh-CN"/>
              </w:rPr>
              <w:t>D</w:t>
            </w:r>
            <w:r>
              <w:rPr>
                <w:rFonts w:ascii="方正黑体_GBK" w:hAnsi="方正黑体_GBK" w:eastAsia="方正黑体_GBK" w:cs="宋体"/>
                <w:sz w:val="18"/>
                <w:szCs w:val="18"/>
              </w:rPr>
              <w:t>份额</w:t>
            </w:r>
            <w:r>
              <w:rPr>
                <w:rFonts w:hint="eastAsia" w:cs="宋体"/>
                <w:sz w:val="18"/>
                <w:szCs w:val="18"/>
                <w:lang w:val="en-US" w:eastAsia="zh-CN"/>
              </w:rPr>
              <w:t>/D</w:t>
            </w:r>
            <w:r>
              <w:rPr>
                <w:rFonts w:ascii="方正黑体_GBK" w:hAnsi="方正黑体_GBK" w:eastAsia="方正黑体_GBK" w:cs="宋体"/>
                <w:sz w:val="18"/>
                <w:szCs w:val="18"/>
              </w:rPr>
              <w:t>2份额</w:t>
            </w:r>
            <w:r>
              <w:rPr>
                <w:rFonts w:hint="eastAsia" w:cs="宋体"/>
                <w:sz w:val="18"/>
                <w:szCs w:val="18"/>
                <w:lang w:val="en-US" w:eastAsia="zh-CN"/>
              </w:rPr>
              <w:t>/D3</w:t>
            </w:r>
            <w:r>
              <w:rPr>
                <w:rFonts w:ascii="方正黑体_GBK" w:hAnsi="方正黑体_GBK" w:eastAsia="方正黑体_GBK" w:cs="宋体"/>
                <w:sz w:val="18"/>
                <w:szCs w:val="18"/>
              </w:rPr>
              <w:t>份额</w:t>
            </w:r>
            <w:r>
              <w:rPr>
                <w:rFonts w:hint="eastAsia" w:cs="宋体"/>
                <w:sz w:val="18"/>
                <w:szCs w:val="18"/>
                <w:lang w:val="en-US" w:eastAsia="zh-CN"/>
              </w:rPr>
              <w:t>/D4</w:t>
            </w:r>
            <w:r>
              <w:rPr>
                <w:rFonts w:ascii="方正黑体_GBK" w:hAnsi="方正黑体_GBK" w:eastAsia="方正黑体_GBK" w:cs="宋体"/>
                <w:sz w:val="18"/>
                <w:szCs w:val="18"/>
              </w:rPr>
              <w:t>份额：业绩比较基准为年化2.85%-3.45% 。</w:t>
            </w:r>
          </w:p>
          <w:p>
            <w:pPr>
              <w:widowControl/>
              <w:spacing w:line="200" w:lineRule="exact"/>
              <w:ind w:firstLine="0"/>
              <w:jc w:val="left"/>
              <w:rPr>
                <w:rFonts w:hint="eastAsia" w:ascii="方正黑体_GBK" w:hAnsi="方正黑体_GBK" w:eastAsia="方正黑体_GBK" w:cs="宋体"/>
                <w:sz w:val="18"/>
                <w:szCs w:val="18"/>
                <w:lang w:eastAsia="zh-CN"/>
              </w:rPr>
            </w:pPr>
            <w:r>
              <w:rPr>
                <w:rFonts w:hint="eastAsia" w:cs="宋体"/>
                <w:sz w:val="18"/>
                <w:szCs w:val="18"/>
                <w:lang w:val="en-US" w:eastAsia="zh-CN"/>
              </w:rPr>
              <w:t>E</w:t>
            </w:r>
            <w:r>
              <w:rPr>
                <w:rFonts w:ascii="方正黑体_GBK" w:hAnsi="方正黑体_GBK" w:eastAsia="方正黑体_GBK" w:cs="宋体"/>
                <w:sz w:val="18"/>
                <w:szCs w:val="18"/>
              </w:rPr>
              <w:t>份额</w:t>
            </w:r>
            <w:r>
              <w:rPr>
                <w:rFonts w:hint="eastAsia" w:cs="宋体"/>
                <w:sz w:val="18"/>
                <w:szCs w:val="18"/>
                <w:lang w:val="en-US" w:eastAsia="zh-CN"/>
              </w:rPr>
              <w:t>/E</w:t>
            </w:r>
            <w:r>
              <w:rPr>
                <w:rFonts w:ascii="方正黑体_GBK" w:hAnsi="方正黑体_GBK" w:eastAsia="方正黑体_GBK" w:cs="宋体"/>
                <w:sz w:val="18"/>
                <w:szCs w:val="18"/>
              </w:rPr>
              <w:t>2份额</w:t>
            </w:r>
            <w:r>
              <w:rPr>
                <w:rFonts w:hint="eastAsia" w:cs="宋体"/>
                <w:sz w:val="18"/>
                <w:szCs w:val="18"/>
                <w:lang w:val="en-US" w:eastAsia="zh-CN"/>
              </w:rPr>
              <w:t>/E3</w:t>
            </w:r>
            <w:r>
              <w:rPr>
                <w:rFonts w:ascii="方正黑体_GBK" w:hAnsi="方正黑体_GBK" w:eastAsia="方正黑体_GBK" w:cs="宋体"/>
                <w:sz w:val="18"/>
                <w:szCs w:val="18"/>
              </w:rPr>
              <w:t>份额</w:t>
            </w:r>
            <w:r>
              <w:rPr>
                <w:rFonts w:hint="eastAsia" w:cs="宋体"/>
                <w:sz w:val="18"/>
                <w:szCs w:val="18"/>
                <w:lang w:val="en-US" w:eastAsia="zh-CN"/>
              </w:rPr>
              <w:t>/E4</w:t>
            </w:r>
            <w:r>
              <w:rPr>
                <w:rFonts w:ascii="方正黑体_GBK" w:hAnsi="方正黑体_GBK" w:eastAsia="方正黑体_GBK" w:cs="宋体"/>
                <w:sz w:val="18"/>
                <w:szCs w:val="18"/>
              </w:rPr>
              <w:t>份额：业绩比较基准为年化2.95%-3.55% 。</w:t>
            </w:r>
          </w:p>
        </w:tc>
        <w:tc>
          <w:tcPr>
            <w:tcW w:w="1138" w:type="dxa"/>
            <w:vAlign w:val="center"/>
          </w:tcPr>
          <w:p>
            <w:pPr>
              <w:widowControl/>
              <w:spacing w:line="200" w:lineRule="exact"/>
              <w:ind w:firstLine="0"/>
              <w:jc w:val="center"/>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2025年3月20日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4" w:type="dxa"/>
            <w:vAlign w:val="center"/>
          </w:tcPr>
          <w:p>
            <w:pPr>
              <w:spacing w:line="390" w:lineRule="exact"/>
              <w:jc w:val="center"/>
              <w:rPr>
                <w:rFonts w:hint="eastAsia" w:ascii="方正黑体_GBK" w:hAnsi="方正黑体_GBK" w:eastAsia="方正黑体_GBK" w:cs="方正黑体_GBK"/>
                <w:sz w:val="18"/>
                <w:szCs w:val="18"/>
                <w:lang w:eastAsia="zh-CN"/>
              </w:rPr>
            </w:pPr>
            <w:r>
              <w:rPr>
                <w:rFonts w:hint="eastAsia" w:ascii="方正黑体_GBK" w:hAnsi="方正黑体_GBK" w:eastAsia="方正黑体_GBK" w:cs="方正黑体_GBK"/>
                <w:sz w:val="18"/>
                <w:szCs w:val="18"/>
                <w:lang w:eastAsia="zh-CN"/>
              </w:rPr>
              <w:t>投资比例</w:t>
            </w:r>
          </w:p>
        </w:tc>
        <w:tc>
          <w:tcPr>
            <w:tcW w:w="3817" w:type="dxa"/>
            <w:vAlign w:val="center"/>
          </w:tcPr>
          <w:p>
            <w:pPr>
              <w:widowControl/>
              <w:spacing w:line="200" w:lineRule="exact"/>
              <w:ind w:firstLine="0"/>
              <w:jc w:val="lef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本理财产品投资于固定收益类资产的比例</w:t>
            </w:r>
            <w:r>
              <w:rPr>
                <w:rFonts w:hint="eastAsia" w:ascii="方正黑体_GBK" w:hAnsi="方正黑体_GBK" w:eastAsia="方正黑体_GBK" w:cs="方正黑体_GBK"/>
                <w:sz w:val="18"/>
                <w:szCs w:val="18"/>
                <w:lang w:eastAsia="zh-CN"/>
              </w:rPr>
              <w:t>为</w:t>
            </w:r>
            <w:r>
              <w:rPr>
                <w:rFonts w:hint="eastAsia" w:ascii="方正黑体_GBK" w:hAnsi="方正黑体_GBK" w:eastAsia="方正黑体_GBK" w:cs="方正黑体_GBK"/>
                <w:sz w:val="18"/>
                <w:szCs w:val="18"/>
                <w:lang w:val="en-US" w:eastAsia="zh-CN"/>
              </w:rPr>
              <w:t>10</w:t>
            </w:r>
            <w:r>
              <w:rPr>
                <w:rFonts w:hint="eastAsia" w:ascii="方正黑体_GBK" w:hAnsi="方正黑体_GBK" w:eastAsia="方正黑体_GBK" w:cs="方正黑体_GBK"/>
                <w:sz w:val="18"/>
                <w:szCs w:val="18"/>
              </w:rPr>
              <w:t>0%,投资于非标准化债权类资产的比例不高于50%。</w:t>
            </w:r>
          </w:p>
        </w:tc>
        <w:tc>
          <w:tcPr>
            <w:tcW w:w="4690" w:type="dxa"/>
            <w:vAlign w:val="center"/>
          </w:tcPr>
          <w:p>
            <w:pPr>
              <w:widowControl/>
              <w:spacing w:line="200" w:lineRule="exact"/>
              <w:ind w:firstLine="0"/>
              <w:jc w:val="lef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本理财产品投资于固定收益类资产的比例不低于80%,投资于非标准化债权类资产的比例不高于50%。</w:t>
            </w:r>
          </w:p>
        </w:tc>
        <w:tc>
          <w:tcPr>
            <w:tcW w:w="1138" w:type="dxa"/>
            <w:vAlign w:val="center"/>
          </w:tcPr>
          <w:p>
            <w:pPr>
              <w:widowControl/>
              <w:spacing w:line="200" w:lineRule="exact"/>
              <w:ind w:firstLine="0"/>
              <w:jc w:val="center"/>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lang w:val="en-US" w:eastAsia="zh-CN"/>
              </w:rPr>
              <w:t>2025年3月20日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4" w:type="dxa"/>
            <w:vAlign w:val="center"/>
          </w:tcPr>
          <w:p>
            <w:pPr>
              <w:spacing w:line="390" w:lineRule="exact"/>
              <w:jc w:val="center"/>
              <w:rPr>
                <w:rFonts w:hint="default"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申购/赎回规则</w:t>
            </w:r>
          </w:p>
        </w:tc>
        <w:tc>
          <w:tcPr>
            <w:tcW w:w="3817" w:type="dxa"/>
            <w:vAlign w:val="center"/>
          </w:tcPr>
          <w:p>
            <w:pPr>
              <w:widowControl/>
              <w:spacing w:line="200" w:lineRule="exact"/>
              <w:ind w:firstLine="0"/>
              <w:jc w:val="left"/>
              <w:rPr>
                <w:rFonts w:hint="eastAsia" w:ascii="方正黑体_GBK" w:hAnsi="方正黑体_GBK" w:eastAsia="方正黑体_GBK" w:cs="方正黑体_GBK"/>
                <w:sz w:val="18"/>
                <w:szCs w:val="18"/>
                <w:u w:val="none"/>
              </w:rPr>
            </w:pPr>
            <w:r>
              <w:rPr>
                <w:rFonts w:hint="eastAsia" w:ascii="方正黑体_GBK" w:hAnsi="方正黑体_GBK" w:eastAsia="方正黑体_GBK" w:cs="方正黑体_GBK"/>
                <w:sz w:val="18"/>
                <w:szCs w:val="18"/>
                <w:u w:val="none"/>
              </w:rPr>
              <w:t>申购时间：申购开放期首日9：00-申购开放期末日17：00。</w:t>
            </w:r>
          </w:p>
          <w:p>
            <w:pPr>
              <w:widowControl/>
              <w:spacing w:line="200" w:lineRule="exact"/>
              <w:ind w:firstLine="0"/>
              <w:jc w:val="left"/>
              <w:rPr>
                <w:rFonts w:hint="eastAsia" w:ascii="方正黑体_GBK" w:hAnsi="方正黑体_GBK" w:eastAsia="方正黑体_GBK" w:cs="方正黑体_GBK"/>
                <w:sz w:val="18"/>
                <w:szCs w:val="18"/>
                <w:u w:val="none"/>
              </w:rPr>
            </w:pPr>
            <w:r>
              <w:rPr>
                <w:rFonts w:hint="eastAsia" w:ascii="方正黑体_GBK" w:hAnsi="方正黑体_GBK" w:eastAsia="方正黑体_GBK" w:cs="方正黑体_GBK"/>
                <w:sz w:val="18"/>
                <w:szCs w:val="18"/>
                <w:u w:val="none"/>
              </w:rPr>
              <w:t>赎回时间：赎回开放期首日9：00-赎回开放期末日17：00。申购/赎回开放日和确认日另行公告。</w:t>
            </w:r>
          </w:p>
          <w:p>
            <w:pPr>
              <w:widowControl/>
              <w:spacing w:line="200" w:lineRule="exact"/>
              <w:ind w:firstLine="0"/>
              <w:jc w:val="left"/>
              <w:rPr>
                <w:rFonts w:hint="eastAsia" w:ascii="方正黑体_GBK" w:hAnsi="方正黑体_GBK" w:eastAsia="方正黑体_GBK" w:cs="方正黑体_GBK"/>
                <w:sz w:val="18"/>
                <w:szCs w:val="18"/>
                <w:u w:val="none"/>
              </w:rPr>
            </w:pPr>
            <w:r>
              <w:rPr>
                <w:rFonts w:hint="eastAsia" w:ascii="方正黑体_GBK" w:hAnsi="方正黑体_GBK" w:eastAsia="方正黑体_GBK" w:cs="方正黑体_GBK"/>
                <w:sz w:val="18"/>
                <w:szCs w:val="18"/>
                <w:u w:val="none"/>
              </w:rPr>
              <w:t>代销机构可根据其销售需要在管理人设定的申购/赎回时间范围内对申购/赎回时间进行重新设定，投资者通过代销机构购买本理财产品的，以该代销机构最终披露的时间为准。</w:t>
            </w:r>
          </w:p>
        </w:tc>
        <w:tc>
          <w:tcPr>
            <w:tcW w:w="4690" w:type="dxa"/>
            <w:vAlign w:val="center"/>
          </w:tcPr>
          <w:p>
            <w:pPr>
              <w:spacing w:line="200" w:lineRule="exact"/>
              <w:jc w:val="left"/>
            </w:pPr>
            <w:bookmarkStart w:id="0" w:name="_GoBack"/>
            <w:r>
              <w:rPr>
                <w:rFonts w:ascii="方正黑体_GBK" w:hAnsi="方正黑体_GBK" w:eastAsia="方正黑体_GBK" w:cs="宋体"/>
                <w:sz w:val="18"/>
                <w:szCs w:val="18"/>
              </w:rPr>
              <w:t>A份额：本次开放期为2025年3月13日9：00至2025年3月19日17：00,下一个开放期为2026年4月23日9：00至2026年4月29日17：00，投资者可以提交或撤销申购和赎回申请。</w:t>
            </w:r>
          </w:p>
          <w:p>
            <w:pPr>
              <w:spacing w:line="200" w:lineRule="exact"/>
              <w:jc w:val="left"/>
            </w:pPr>
            <w:r>
              <w:rPr>
                <w:rFonts w:ascii="方正黑体_GBK" w:hAnsi="方正黑体_GBK" w:eastAsia="方正黑体_GBK" w:cs="宋体"/>
                <w:sz w:val="18"/>
                <w:szCs w:val="18"/>
              </w:rPr>
              <w:t>B份额/C份额/D份额/E份额：本次开放期为2025年3月13日9：00至2025年3月19日17：00，投资者可以提交或撤销申购申请；确认申购成功的份额均将于下一个开放期（2026年4月23日9：00至2026年4月29日17：00）由系统自动发起赎回申请。</w:t>
            </w:r>
          </w:p>
          <w:p>
            <w:pPr>
              <w:spacing w:line="200" w:lineRule="exact"/>
              <w:jc w:val="left"/>
            </w:pPr>
            <w:r>
              <w:rPr>
                <w:rFonts w:ascii="方正黑体_GBK" w:hAnsi="方正黑体_GBK" w:eastAsia="方正黑体_GBK" w:cs="宋体"/>
                <w:sz w:val="18"/>
                <w:szCs w:val="18"/>
              </w:rPr>
              <w:t>A2份额：本次开放期为2025年3月20日9：00至2025年3月26日17：00，投资者可以提交或撤销申购申请。下一个赎回开放期为2026年4月23日9：00至2026年4月29日17：00，投资者可以提交或撤销赎回申请，下一个申购开放期为202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年4月30日9：00至202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年5月6日17：00，投资者可以提交或撤销申购申请；</w:t>
            </w:r>
          </w:p>
          <w:p>
            <w:pPr>
              <w:spacing w:line="200" w:lineRule="exact"/>
              <w:jc w:val="left"/>
            </w:pPr>
            <w:r>
              <w:rPr>
                <w:rFonts w:ascii="方正黑体_GBK" w:hAnsi="方正黑体_GBK" w:eastAsia="方正黑体_GBK" w:cs="宋体"/>
                <w:sz w:val="18"/>
                <w:szCs w:val="18"/>
              </w:rPr>
              <w:t>B2份额/C2份额/D2份额/E2份额：本次开放期为2025年3月20日9：00至2025年3月26日17：00，投资者可以提交或撤销申购申请；确认申购成功的份额均将于下一个开放期（2026年4月23日9：00至2026年4月29日17：00）由系统自动发起赎回申请。</w:t>
            </w:r>
          </w:p>
          <w:p>
            <w:pPr>
              <w:spacing w:line="200" w:lineRule="exact"/>
              <w:jc w:val="left"/>
            </w:pPr>
            <w:r>
              <w:rPr>
                <w:rFonts w:ascii="方正黑体_GBK" w:hAnsi="方正黑体_GBK" w:eastAsia="方正黑体_GBK" w:cs="宋体"/>
                <w:sz w:val="18"/>
                <w:szCs w:val="18"/>
              </w:rPr>
              <w:t>A3份额：本次开放期为2025年3月27日9：00至2025年4月2日17：00，投资者可以提交或撤销申购申请。下一个赎回开放期为2026年4月23日9：00至2026年4月29日17：00，投资者可以提交或撤销赎回申请，下一个申购开放期为202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年5月7日9：00至202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年5月13日17：00，投资者可以提交或撤销申购申请；</w:t>
            </w:r>
          </w:p>
          <w:p>
            <w:pPr>
              <w:spacing w:line="200" w:lineRule="exact"/>
              <w:jc w:val="left"/>
            </w:pPr>
            <w:r>
              <w:rPr>
                <w:rFonts w:ascii="方正黑体_GBK" w:hAnsi="方正黑体_GBK" w:eastAsia="方正黑体_GBK" w:cs="宋体"/>
                <w:sz w:val="18"/>
                <w:szCs w:val="18"/>
              </w:rPr>
              <w:t>B3份额/C3份额/D3份额/E3份额：本次开放期为2025年3月27日9：00至2025年4月2日17：00，投资者可以提交或撤销申购申请；确认申购成功的份额均将于下一个开放期（2026年4月23日9：00至2026年4月29日17：00）由系统自动发起赎回申请。</w:t>
            </w:r>
          </w:p>
          <w:p>
            <w:pPr>
              <w:spacing w:line="200" w:lineRule="exact"/>
              <w:jc w:val="left"/>
            </w:pPr>
            <w:r>
              <w:rPr>
                <w:rFonts w:ascii="方正黑体_GBK" w:hAnsi="方正黑体_GBK" w:eastAsia="方正黑体_GBK" w:cs="宋体"/>
                <w:sz w:val="18"/>
                <w:szCs w:val="18"/>
              </w:rPr>
              <w:t>A4份额：本次开放期为2025年4月3日9：00至2025年4月9日17：00，投资者可以提交或撤销申购申请。下一个赎回开放期为2026年4月23日9：00至2026年4月29日17：00，投资者可以提交或撤销赎回申请，下一个申购开放期为202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年5月14日9：00至202</w:t>
            </w:r>
            <w:r>
              <w:rPr>
                <w:rFonts w:hint="eastAsia" w:ascii="方正黑体_GBK" w:hAnsi="方正黑体_GBK" w:eastAsia="方正黑体_GBK" w:cs="宋体"/>
                <w:sz w:val="18"/>
                <w:szCs w:val="18"/>
                <w:lang w:val="en-US" w:eastAsia="zh-CN"/>
              </w:rPr>
              <w:t>6</w:t>
            </w:r>
            <w:r>
              <w:rPr>
                <w:rFonts w:ascii="方正黑体_GBK" w:hAnsi="方正黑体_GBK" w:eastAsia="方正黑体_GBK" w:cs="宋体"/>
                <w:sz w:val="18"/>
                <w:szCs w:val="18"/>
              </w:rPr>
              <w:t>年5月20日17：00，投资者可以提交或撤销申购申请；</w:t>
            </w:r>
          </w:p>
          <w:p>
            <w:pPr>
              <w:spacing w:line="200" w:lineRule="exact"/>
              <w:jc w:val="left"/>
            </w:pPr>
            <w:r>
              <w:rPr>
                <w:rFonts w:ascii="方正黑体_GBK" w:hAnsi="方正黑体_GBK" w:eastAsia="方正黑体_GBK" w:cs="宋体"/>
                <w:sz w:val="18"/>
                <w:szCs w:val="18"/>
              </w:rPr>
              <w:t>B4份额/C4份额/D4份额/E4份额：本次开放期为2025年4月3日9：00至2025年4月9日17：00，投资者可以提交或撤销申购申请；确认申购成功的份额均将于下一个开放期（2026年4月23日9：00至2026年4月29日17：00）由系统自动发起赎回申请。</w:t>
            </w:r>
          </w:p>
          <w:p>
            <w:pPr>
              <w:spacing w:line="200" w:lineRule="exact"/>
              <w:jc w:val="left"/>
            </w:pPr>
            <w:r>
              <w:rPr>
                <w:rFonts w:ascii="方正黑体_GBK" w:hAnsi="方正黑体_GBK" w:eastAsia="方正黑体_GBK" w:cs="宋体"/>
                <w:sz w:val="18"/>
                <w:szCs w:val="18"/>
              </w:rPr>
              <w:t>产品开放期如有调整以管理人公告为准。</w:t>
            </w:r>
          </w:p>
          <w:p>
            <w:pPr>
              <w:spacing w:line="200" w:lineRule="exact"/>
            </w:pPr>
            <w:r>
              <w:rPr>
                <w:rFonts w:ascii="方正黑体_GBK" w:hAnsi="方正黑体_GBK" w:eastAsia="方正黑体_GBK" w:cs="宋体"/>
                <w:sz w:val="18"/>
                <w:szCs w:val="18"/>
              </w:rPr>
              <w:t>在销售机构支持的前提下，申购/赎回开放期末日17:00前可以撤销申购/赎回申请。</w:t>
            </w:r>
          </w:p>
          <w:p>
            <w:pPr>
              <w:widowControl/>
              <w:spacing w:line="200" w:lineRule="exact"/>
              <w:ind w:firstLine="0"/>
              <w:jc w:val="left"/>
              <w:rPr>
                <w:rFonts w:hint="eastAsia" w:ascii="方正黑体_GBK" w:hAnsi="方正黑体_GBK" w:eastAsia="方正黑体_GBK" w:cs="方正黑体_GBK"/>
                <w:sz w:val="18"/>
                <w:szCs w:val="18"/>
              </w:rPr>
            </w:pP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bookmarkEnd w:id="0"/>
          </w:p>
        </w:tc>
        <w:tc>
          <w:tcPr>
            <w:tcW w:w="1138" w:type="dxa"/>
            <w:vAlign w:val="center"/>
          </w:tcPr>
          <w:p>
            <w:pPr>
              <w:widowControl/>
              <w:spacing w:line="200" w:lineRule="exact"/>
              <w:ind w:firstLine="0"/>
              <w:jc w:val="center"/>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2025年3月20日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4" w:type="dxa"/>
            <w:vAlign w:val="center"/>
          </w:tcPr>
          <w:p>
            <w:pPr>
              <w:spacing w:line="390" w:lineRule="exact"/>
              <w:jc w:val="center"/>
              <w:rPr>
                <w:rFonts w:hint="eastAsia" w:ascii="方正黑体_GBK" w:hAnsi="方正黑体_GBK" w:eastAsia="方正黑体_GBK" w:cs="方正黑体_GBK"/>
                <w:b w:val="0"/>
                <w:bCs w:val="0"/>
                <w:color w:val="000000"/>
                <w:kern w:val="0"/>
                <w:sz w:val="18"/>
                <w:szCs w:val="18"/>
                <w:lang w:eastAsia="zh-CN"/>
              </w:rPr>
            </w:pPr>
            <w:r>
              <w:rPr>
                <w:rFonts w:hint="eastAsia" w:ascii="方正黑体_GBK" w:hAnsi="方正黑体_GBK" w:eastAsia="方正黑体_GBK" w:cs="方正黑体_GBK"/>
                <w:b w:val="0"/>
                <w:bCs w:val="0"/>
                <w:sz w:val="18"/>
                <w:szCs w:val="18"/>
                <w:lang w:val="en-US" w:eastAsia="zh-CN"/>
              </w:rPr>
              <w:t>产品费用</w:t>
            </w:r>
          </w:p>
        </w:tc>
        <w:tc>
          <w:tcPr>
            <w:tcW w:w="3817" w:type="dxa"/>
            <w:vAlign w:val="center"/>
          </w:tcPr>
          <w:p>
            <w:pPr>
              <w:spacing w:line="200" w:lineRule="exact"/>
              <w:rPr>
                <w:rFonts w:hint="eastAsia" w:ascii="方正黑体_GBK" w:hAnsi="方正黑体_GBK" w:eastAsia="方正黑体_GBK" w:cs="方正黑体_GBK"/>
                <w:b/>
                <w:bCs/>
                <w:i w:val="0"/>
                <w:iCs w:val="0"/>
                <w:caps w:val="0"/>
                <w:spacing w:val="0"/>
                <w:sz w:val="18"/>
                <w:szCs w:val="18"/>
                <w:u w:val="none"/>
              </w:rPr>
            </w:pPr>
            <w:r>
              <w:rPr>
                <w:rFonts w:hint="eastAsia" w:ascii="方正黑体_GBK" w:hAnsi="方正黑体_GBK" w:eastAsia="方正黑体_GBK" w:cs="方正黑体_GBK"/>
                <w:b/>
                <w:bCs/>
                <w:i w:val="0"/>
                <w:iCs w:val="0"/>
                <w:caps w:val="0"/>
                <w:spacing w:val="0"/>
                <w:sz w:val="18"/>
                <w:szCs w:val="18"/>
                <w:u w:val="none"/>
                <w:shd w:val="clear"/>
              </w:rPr>
              <w:t>认/申购费：本理财产品暂不收取认/申购费。</w:t>
            </w:r>
          </w:p>
          <w:p>
            <w:pPr>
              <w:spacing w:line="200" w:lineRule="exact"/>
              <w:rPr>
                <w:rFonts w:hint="eastAsia" w:ascii="方正黑体_GBK" w:hAnsi="方正黑体_GBK" w:eastAsia="方正黑体_GBK" w:cs="方正黑体_GBK"/>
                <w:b/>
                <w:bCs/>
                <w:i w:val="0"/>
                <w:iCs w:val="0"/>
                <w:caps w:val="0"/>
                <w:spacing w:val="0"/>
                <w:sz w:val="18"/>
                <w:szCs w:val="18"/>
                <w:u w:val="none"/>
              </w:rPr>
            </w:pPr>
            <w:r>
              <w:rPr>
                <w:rFonts w:hint="eastAsia" w:ascii="方正黑体_GBK" w:hAnsi="方正黑体_GBK" w:eastAsia="方正黑体_GBK" w:cs="方正黑体_GBK"/>
                <w:b/>
                <w:bCs/>
                <w:i w:val="0"/>
                <w:iCs w:val="0"/>
                <w:caps w:val="0"/>
                <w:spacing w:val="0"/>
                <w:sz w:val="18"/>
                <w:szCs w:val="18"/>
                <w:u w:val="none"/>
                <w:shd w:val="clear"/>
              </w:rPr>
              <w:t>赎回费：本理财产品暂不收取赎回费。</w:t>
            </w:r>
          </w:p>
          <w:p>
            <w:pPr>
              <w:spacing w:line="200" w:lineRule="exact"/>
              <w:rPr>
                <w:rFonts w:hint="eastAsia" w:ascii="方正黑体_GBK" w:hAnsi="方正黑体_GBK" w:eastAsia="方正黑体_GBK" w:cs="方正黑体_GBK"/>
                <w:b/>
                <w:bCs/>
                <w:i w:val="0"/>
                <w:iCs w:val="0"/>
                <w:caps w:val="0"/>
                <w:spacing w:val="0"/>
                <w:sz w:val="18"/>
                <w:szCs w:val="18"/>
                <w:u w:val="none"/>
              </w:rPr>
            </w:pPr>
            <w:r>
              <w:rPr>
                <w:rFonts w:hint="eastAsia" w:ascii="方正黑体_GBK" w:hAnsi="方正黑体_GBK" w:eastAsia="方正黑体_GBK" w:cs="方正黑体_GBK"/>
                <w:b/>
                <w:bCs/>
                <w:i w:val="0"/>
                <w:iCs w:val="0"/>
                <w:caps w:val="0"/>
                <w:spacing w:val="0"/>
                <w:sz w:val="18"/>
                <w:szCs w:val="18"/>
                <w:u w:val="none"/>
                <w:shd w:val="clear"/>
              </w:rPr>
              <w:t>销售费：</w:t>
            </w:r>
          </w:p>
          <w:p>
            <w:pPr>
              <w:spacing w:line="200" w:lineRule="exact"/>
              <w:rPr>
                <w:rFonts w:hint="eastAsia" w:ascii="方正黑体_GBK" w:hAnsi="方正黑体_GBK" w:eastAsia="方正黑体_GBK" w:cs="方正黑体_GBK"/>
                <w:b/>
                <w:bCs/>
                <w:i w:val="0"/>
                <w:iCs w:val="0"/>
                <w:caps w:val="0"/>
                <w:spacing w:val="0"/>
                <w:sz w:val="18"/>
                <w:szCs w:val="18"/>
                <w:u w:val="none"/>
              </w:rPr>
            </w:pPr>
            <w:r>
              <w:rPr>
                <w:rFonts w:hint="eastAsia" w:ascii="方正黑体_GBK" w:hAnsi="方正黑体_GBK" w:eastAsia="方正黑体_GBK" w:cs="方正黑体_GBK"/>
                <w:b/>
                <w:bCs/>
                <w:i w:val="0"/>
                <w:iCs w:val="0"/>
                <w:caps w:val="0"/>
                <w:spacing w:val="0"/>
                <w:sz w:val="18"/>
                <w:szCs w:val="18"/>
                <w:u w:val="none"/>
                <w:shd w:val="clear"/>
              </w:rPr>
              <w:t>本理财产品按当日理财产品份额收取年化0.2%的销售费，按日计提。</w:t>
            </w:r>
          </w:p>
          <w:p>
            <w:pPr>
              <w:spacing w:line="200" w:lineRule="exact"/>
              <w:rPr>
                <w:rFonts w:hint="eastAsia" w:ascii="方正黑体_GBK" w:hAnsi="方正黑体_GBK" w:eastAsia="方正黑体_GBK" w:cs="方正黑体_GBK"/>
                <w:b/>
                <w:bCs/>
                <w:i w:val="0"/>
                <w:iCs w:val="0"/>
                <w:caps w:val="0"/>
                <w:spacing w:val="0"/>
                <w:sz w:val="18"/>
                <w:szCs w:val="18"/>
                <w:u w:val="none"/>
              </w:rPr>
            </w:pPr>
            <w:r>
              <w:rPr>
                <w:rFonts w:hint="eastAsia" w:ascii="方正黑体_GBK" w:hAnsi="方正黑体_GBK" w:eastAsia="方正黑体_GBK" w:cs="方正黑体_GBK"/>
                <w:b/>
                <w:bCs/>
                <w:i w:val="0"/>
                <w:iCs w:val="0"/>
                <w:caps w:val="0"/>
                <w:spacing w:val="0"/>
                <w:sz w:val="18"/>
                <w:szCs w:val="18"/>
                <w:u w:val="none"/>
                <w:shd w:val="clear"/>
              </w:rPr>
              <w:t>每日计提的销售费=当日理财产品份额×1元/份×年化销售费率÷365</w:t>
            </w:r>
          </w:p>
          <w:p>
            <w:pPr>
              <w:spacing w:line="200" w:lineRule="exact"/>
              <w:rPr>
                <w:rFonts w:hint="eastAsia" w:ascii="方正黑体_GBK" w:hAnsi="方正黑体_GBK" w:eastAsia="方正黑体_GBK" w:cs="方正黑体_GBK"/>
                <w:b/>
                <w:bCs/>
                <w:i w:val="0"/>
                <w:iCs w:val="0"/>
                <w:caps w:val="0"/>
                <w:spacing w:val="0"/>
                <w:sz w:val="18"/>
                <w:szCs w:val="18"/>
                <w:u w:val="none"/>
              </w:rPr>
            </w:pPr>
            <w:r>
              <w:rPr>
                <w:rFonts w:hint="eastAsia" w:ascii="方正黑体_GBK" w:hAnsi="方正黑体_GBK" w:eastAsia="方正黑体_GBK" w:cs="方正黑体_GBK"/>
                <w:b/>
                <w:bCs/>
                <w:i w:val="0"/>
                <w:iCs w:val="0"/>
                <w:caps w:val="0"/>
                <w:spacing w:val="0"/>
                <w:sz w:val="18"/>
                <w:szCs w:val="18"/>
                <w:u w:val="none"/>
                <w:shd w:val="clear"/>
              </w:rPr>
              <w:t>固定管理费：</w:t>
            </w:r>
          </w:p>
          <w:p>
            <w:pPr>
              <w:spacing w:line="200" w:lineRule="exact"/>
              <w:rPr>
                <w:rFonts w:hint="eastAsia" w:ascii="方正黑体_GBK" w:hAnsi="方正黑体_GBK" w:eastAsia="方正黑体_GBK" w:cs="方正黑体_GBK"/>
                <w:b/>
                <w:bCs/>
                <w:i w:val="0"/>
                <w:iCs w:val="0"/>
                <w:caps w:val="0"/>
                <w:spacing w:val="0"/>
                <w:sz w:val="18"/>
                <w:szCs w:val="18"/>
                <w:u w:val="none"/>
              </w:rPr>
            </w:pPr>
            <w:r>
              <w:rPr>
                <w:rFonts w:hint="eastAsia" w:ascii="方正黑体_GBK" w:hAnsi="方正黑体_GBK" w:eastAsia="方正黑体_GBK" w:cs="方正黑体_GBK"/>
                <w:b/>
                <w:bCs/>
                <w:i w:val="0"/>
                <w:iCs w:val="0"/>
                <w:caps w:val="0"/>
                <w:spacing w:val="0"/>
                <w:sz w:val="18"/>
                <w:szCs w:val="18"/>
                <w:u w:val="none"/>
                <w:shd w:val="clear"/>
              </w:rPr>
              <w:t>本理财产品按当日理财产品份额收取年化0.4%的固定管理费，按日计提。</w:t>
            </w:r>
          </w:p>
          <w:p>
            <w:pPr>
              <w:spacing w:line="200" w:lineRule="exact"/>
              <w:rPr>
                <w:rFonts w:hint="eastAsia" w:ascii="方正黑体_GBK" w:hAnsi="方正黑体_GBK" w:eastAsia="方正黑体_GBK" w:cs="方正黑体_GBK"/>
                <w:b/>
                <w:bCs/>
                <w:i w:val="0"/>
                <w:iCs w:val="0"/>
                <w:caps w:val="0"/>
                <w:spacing w:val="0"/>
                <w:sz w:val="18"/>
                <w:szCs w:val="18"/>
                <w:u w:val="none"/>
              </w:rPr>
            </w:pPr>
            <w:r>
              <w:rPr>
                <w:rFonts w:hint="eastAsia" w:ascii="方正黑体_GBK" w:hAnsi="方正黑体_GBK" w:eastAsia="方正黑体_GBK" w:cs="方正黑体_GBK"/>
                <w:b/>
                <w:bCs/>
                <w:i w:val="0"/>
                <w:iCs w:val="0"/>
                <w:caps w:val="0"/>
                <w:spacing w:val="0"/>
                <w:sz w:val="18"/>
                <w:szCs w:val="18"/>
                <w:u w:val="none"/>
                <w:shd w:val="clear"/>
              </w:rPr>
              <w:t>每日计提的固定管理费=当日理财产品份额×1元/份×年化固定管理费率÷365</w:t>
            </w:r>
          </w:p>
          <w:p>
            <w:pPr>
              <w:spacing w:line="200" w:lineRule="exact"/>
              <w:rPr>
                <w:rFonts w:hint="eastAsia" w:ascii="方正黑体_GBK" w:hAnsi="方正黑体_GBK" w:eastAsia="方正黑体_GBK" w:cs="方正黑体_GBK"/>
                <w:b/>
                <w:bCs/>
                <w:i w:val="0"/>
                <w:iCs w:val="0"/>
                <w:caps w:val="0"/>
                <w:spacing w:val="0"/>
                <w:sz w:val="18"/>
                <w:szCs w:val="18"/>
                <w:u w:val="none"/>
              </w:rPr>
            </w:pPr>
            <w:r>
              <w:rPr>
                <w:rFonts w:hint="eastAsia" w:ascii="方正黑体_GBK" w:hAnsi="方正黑体_GBK" w:eastAsia="方正黑体_GBK" w:cs="方正黑体_GBK"/>
                <w:b/>
                <w:bCs/>
                <w:i w:val="0"/>
                <w:iCs w:val="0"/>
                <w:caps w:val="0"/>
                <w:spacing w:val="0"/>
                <w:sz w:val="18"/>
                <w:szCs w:val="18"/>
                <w:u w:val="none"/>
                <w:shd w:val="clear"/>
              </w:rPr>
              <w:t>托管费：</w:t>
            </w:r>
          </w:p>
          <w:p>
            <w:pPr>
              <w:spacing w:line="200" w:lineRule="exact"/>
              <w:rPr>
                <w:rFonts w:hint="eastAsia" w:ascii="方正黑体_GBK" w:hAnsi="方正黑体_GBK" w:eastAsia="方正黑体_GBK" w:cs="方正黑体_GBK"/>
                <w:b/>
                <w:bCs/>
                <w:i w:val="0"/>
                <w:iCs w:val="0"/>
                <w:caps w:val="0"/>
                <w:spacing w:val="0"/>
                <w:sz w:val="18"/>
                <w:szCs w:val="18"/>
                <w:u w:val="none"/>
              </w:rPr>
            </w:pPr>
            <w:r>
              <w:rPr>
                <w:rFonts w:hint="eastAsia" w:ascii="方正黑体_GBK" w:hAnsi="方正黑体_GBK" w:eastAsia="方正黑体_GBK" w:cs="方正黑体_GBK"/>
                <w:b/>
                <w:bCs/>
                <w:i w:val="0"/>
                <w:iCs w:val="0"/>
                <w:caps w:val="0"/>
                <w:spacing w:val="0"/>
                <w:sz w:val="18"/>
                <w:szCs w:val="18"/>
                <w:u w:val="none"/>
                <w:shd w:val="clear"/>
              </w:rPr>
              <w:t>本理财产品按当日理财产品份额收取年化0.02%的托管费，按日计提。</w:t>
            </w:r>
          </w:p>
          <w:p>
            <w:pPr>
              <w:spacing w:line="200" w:lineRule="exact"/>
              <w:rPr>
                <w:rFonts w:hint="eastAsia" w:ascii="方正黑体_GBK" w:hAnsi="方正黑体_GBK" w:eastAsia="方正黑体_GBK" w:cs="方正黑体_GBK"/>
                <w:b/>
                <w:bCs/>
                <w:i w:val="0"/>
                <w:iCs w:val="0"/>
                <w:caps w:val="0"/>
                <w:spacing w:val="0"/>
                <w:sz w:val="18"/>
                <w:szCs w:val="18"/>
                <w:u w:val="none"/>
              </w:rPr>
            </w:pPr>
            <w:r>
              <w:rPr>
                <w:rFonts w:hint="eastAsia" w:ascii="方正黑体_GBK" w:hAnsi="方正黑体_GBK" w:eastAsia="方正黑体_GBK" w:cs="方正黑体_GBK"/>
                <w:b/>
                <w:bCs/>
                <w:i w:val="0"/>
                <w:iCs w:val="0"/>
                <w:caps w:val="0"/>
                <w:spacing w:val="0"/>
                <w:sz w:val="18"/>
                <w:szCs w:val="18"/>
                <w:u w:val="none"/>
                <w:shd w:val="clear"/>
              </w:rPr>
              <w:t>每日计提的托管费=当日理财产品份额×1元/份×年化托管费率÷365</w:t>
            </w:r>
          </w:p>
          <w:p>
            <w:pPr>
              <w:spacing w:line="200" w:lineRule="exact"/>
              <w:rPr>
                <w:rFonts w:hint="eastAsia" w:ascii="方正黑体_GBK" w:hAnsi="方正黑体_GBK" w:eastAsia="方正黑体_GBK" w:cs="方正黑体_GBK"/>
                <w:b/>
                <w:bCs/>
                <w:i w:val="0"/>
                <w:iCs w:val="0"/>
                <w:caps w:val="0"/>
                <w:spacing w:val="0"/>
                <w:sz w:val="18"/>
                <w:szCs w:val="18"/>
                <w:u w:val="none"/>
              </w:rPr>
            </w:pPr>
            <w:r>
              <w:rPr>
                <w:rFonts w:hint="eastAsia" w:ascii="方正黑体_GBK" w:hAnsi="方正黑体_GBK" w:eastAsia="方正黑体_GBK" w:cs="方正黑体_GBK"/>
                <w:b/>
                <w:bCs/>
                <w:i w:val="0"/>
                <w:iCs w:val="0"/>
                <w:caps w:val="0"/>
                <w:spacing w:val="0"/>
                <w:sz w:val="18"/>
                <w:szCs w:val="18"/>
                <w:u w:val="none"/>
                <w:shd w:val="clear"/>
              </w:rPr>
              <w:t>业绩报酬：本理财产品暂不收取业绩报酬。</w:t>
            </w:r>
          </w:p>
          <w:p>
            <w:pPr>
              <w:spacing w:line="200" w:lineRule="exact"/>
              <w:rPr>
                <w:rFonts w:hint="eastAsia" w:ascii="方正黑体_GBK" w:hAnsi="方正黑体_GBK" w:eastAsia="方正黑体_GBK" w:cs="方正黑体_GBK"/>
                <w:b/>
                <w:bCs/>
                <w:i w:val="0"/>
                <w:iCs w:val="0"/>
                <w:caps w:val="0"/>
                <w:spacing w:val="0"/>
                <w:sz w:val="18"/>
                <w:szCs w:val="18"/>
                <w:u w:val="none"/>
              </w:rPr>
            </w:pPr>
            <w:r>
              <w:rPr>
                <w:rFonts w:hint="eastAsia" w:ascii="方正黑体_GBK" w:hAnsi="方正黑体_GBK" w:eastAsia="方正黑体_GBK" w:cs="方正黑体_GBK"/>
                <w:b/>
                <w:bCs/>
                <w:i w:val="0"/>
                <w:iCs w:val="0"/>
                <w:caps w:val="0"/>
                <w:spacing w:val="0"/>
                <w:sz w:val="18"/>
                <w:szCs w:val="18"/>
                <w:u w:val="none"/>
                <w:shd w:val="clear"/>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widowControl/>
              <w:spacing w:line="200" w:lineRule="exact"/>
              <w:ind w:firstLine="0" w:firstLineChars="0"/>
              <w:jc w:val="left"/>
              <w:rPr>
                <w:rFonts w:hint="eastAsia" w:ascii="方正黑体_GBK" w:hAnsi="方正黑体_GBK" w:eastAsia="方正黑体_GBK" w:cs="方正黑体_GBK"/>
                <w:b w:val="0"/>
                <w:bCs w:val="0"/>
                <w:sz w:val="18"/>
                <w:szCs w:val="18"/>
              </w:rPr>
            </w:pPr>
          </w:p>
        </w:tc>
        <w:tc>
          <w:tcPr>
            <w:tcW w:w="4690" w:type="dxa"/>
            <w:vAlign w:val="center"/>
          </w:tcPr>
          <w:p>
            <w:pPr>
              <w:spacing w:line="200" w:lineRule="exact"/>
              <w:rPr>
                <w:b/>
                <w:bCs w:val="0"/>
              </w:rPr>
            </w:pPr>
            <w:r>
              <w:rPr>
                <w:rFonts w:ascii="方正黑体_GBK" w:hAnsi="方正黑体_GBK" w:eastAsia="方正黑体_GBK" w:cs="宋体"/>
                <w:b/>
                <w:bCs w:val="0"/>
                <w:sz w:val="18"/>
                <w:szCs w:val="18"/>
              </w:rPr>
              <w:t>认/申购费：本理财产品暂不收取认/申购费。</w:t>
            </w:r>
          </w:p>
          <w:p>
            <w:pPr>
              <w:spacing w:line="200" w:lineRule="exact"/>
              <w:rPr>
                <w:b/>
                <w:bCs w:val="0"/>
              </w:rPr>
            </w:pPr>
            <w:r>
              <w:rPr>
                <w:rFonts w:ascii="方正黑体_GBK" w:hAnsi="方正黑体_GBK" w:eastAsia="方正黑体_GBK" w:cs="宋体"/>
                <w:b/>
                <w:bCs w:val="0"/>
                <w:sz w:val="18"/>
                <w:szCs w:val="18"/>
              </w:rPr>
              <w:t>赎回费：本理财产品暂不收取赎回费。</w:t>
            </w:r>
          </w:p>
          <w:p>
            <w:pPr>
              <w:spacing w:line="200" w:lineRule="exact"/>
              <w:rPr>
                <w:b/>
                <w:bCs w:val="0"/>
              </w:rPr>
            </w:pPr>
            <w:r>
              <w:rPr>
                <w:rFonts w:ascii="方正黑体_GBK" w:hAnsi="方正黑体_GBK" w:eastAsia="方正黑体_GBK" w:cs="宋体"/>
                <w:b/>
                <w:bCs w:val="0"/>
                <w:sz w:val="18"/>
                <w:szCs w:val="18"/>
              </w:rPr>
              <w:t>销售费：本理财产品按前一日理财产品资产净值收取销售费，按日计提。</w:t>
            </w:r>
          </w:p>
          <w:p>
            <w:pPr>
              <w:spacing w:line="200" w:lineRule="exact"/>
              <w:rPr>
                <w:b/>
                <w:bCs w:val="0"/>
              </w:rPr>
            </w:pPr>
            <w:r>
              <w:rPr>
                <w:rFonts w:ascii="方正黑体_GBK" w:hAnsi="方正黑体_GBK" w:eastAsia="方正黑体_GBK" w:cs="宋体"/>
                <w:b/>
                <w:bCs w:val="0"/>
                <w:sz w:val="18"/>
                <w:szCs w:val="18"/>
              </w:rPr>
              <w:t>A份额</w:t>
            </w:r>
            <w:r>
              <w:rPr>
                <w:rFonts w:hint="eastAsia" w:cs="宋体"/>
                <w:b/>
                <w:bCs w:val="0"/>
                <w:sz w:val="18"/>
                <w:szCs w:val="18"/>
                <w:lang w:val="en-US" w:eastAsia="zh-CN"/>
              </w:rPr>
              <w:t>/</w:t>
            </w:r>
            <w:r>
              <w:rPr>
                <w:rFonts w:ascii="方正黑体_GBK" w:hAnsi="方正黑体_GBK" w:eastAsia="方正黑体_GBK" w:cs="宋体"/>
                <w:b/>
                <w:bCs w:val="0"/>
                <w:sz w:val="18"/>
                <w:szCs w:val="18"/>
              </w:rPr>
              <w:t>A2份额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3</w:t>
            </w:r>
            <w:r>
              <w:rPr>
                <w:rFonts w:ascii="方正黑体_GBK" w:hAnsi="方正黑体_GBK" w:eastAsia="方正黑体_GBK" w:cs="宋体"/>
                <w:b/>
                <w:bCs w:val="0"/>
                <w:sz w:val="18"/>
                <w:szCs w:val="18"/>
              </w:rPr>
              <w:t>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4</w:t>
            </w:r>
            <w:r>
              <w:rPr>
                <w:rFonts w:ascii="方正黑体_GBK" w:hAnsi="方正黑体_GBK" w:eastAsia="方正黑体_GBK" w:cs="宋体"/>
                <w:b/>
                <w:bCs w:val="0"/>
                <w:sz w:val="18"/>
                <w:szCs w:val="18"/>
              </w:rPr>
              <w:t>份额：销售费年化0.2%</w:t>
            </w:r>
          </w:p>
          <w:p>
            <w:pPr>
              <w:spacing w:line="200" w:lineRule="exact"/>
              <w:rPr>
                <w:b/>
                <w:bCs w:val="0"/>
              </w:rPr>
            </w:pPr>
            <w:r>
              <w:rPr>
                <w:rFonts w:hint="eastAsia" w:cs="宋体"/>
                <w:b/>
                <w:bCs w:val="0"/>
                <w:sz w:val="18"/>
                <w:szCs w:val="18"/>
                <w:lang w:val="en-US" w:eastAsia="zh-CN"/>
              </w:rPr>
              <w:t>B</w:t>
            </w:r>
            <w:r>
              <w:rPr>
                <w:rFonts w:ascii="方正黑体_GBK" w:hAnsi="方正黑体_GBK" w:eastAsia="方正黑体_GBK" w:cs="宋体"/>
                <w:b/>
                <w:bCs w:val="0"/>
                <w:sz w:val="18"/>
                <w:szCs w:val="18"/>
              </w:rPr>
              <w:t>份额</w:t>
            </w:r>
            <w:r>
              <w:rPr>
                <w:rFonts w:hint="eastAsia" w:cs="宋体"/>
                <w:b/>
                <w:bCs w:val="0"/>
                <w:sz w:val="18"/>
                <w:szCs w:val="18"/>
                <w:lang w:val="en-US" w:eastAsia="zh-CN"/>
              </w:rPr>
              <w:t>/B</w:t>
            </w:r>
            <w:r>
              <w:rPr>
                <w:rFonts w:ascii="方正黑体_GBK" w:hAnsi="方正黑体_GBK" w:eastAsia="方正黑体_GBK" w:cs="宋体"/>
                <w:b/>
                <w:bCs w:val="0"/>
                <w:sz w:val="18"/>
                <w:szCs w:val="18"/>
              </w:rPr>
              <w:t>2份额</w:t>
            </w:r>
            <w:r>
              <w:rPr>
                <w:rFonts w:hint="eastAsia" w:cs="宋体"/>
                <w:b/>
                <w:bCs w:val="0"/>
                <w:sz w:val="18"/>
                <w:szCs w:val="18"/>
                <w:lang w:val="en-US" w:eastAsia="zh-CN"/>
              </w:rPr>
              <w:t>/B3</w:t>
            </w:r>
            <w:r>
              <w:rPr>
                <w:rFonts w:ascii="方正黑体_GBK" w:hAnsi="方正黑体_GBK" w:eastAsia="方正黑体_GBK" w:cs="宋体"/>
                <w:b/>
                <w:bCs w:val="0"/>
                <w:sz w:val="18"/>
                <w:szCs w:val="18"/>
              </w:rPr>
              <w:t>份额</w:t>
            </w:r>
            <w:r>
              <w:rPr>
                <w:rFonts w:hint="eastAsia" w:cs="宋体"/>
                <w:b/>
                <w:bCs w:val="0"/>
                <w:sz w:val="18"/>
                <w:szCs w:val="18"/>
                <w:lang w:val="en-US" w:eastAsia="zh-CN"/>
              </w:rPr>
              <w:t>/B4</w:t>
            </w:r>
            <w:r>
              <w:rPr>
                <w:rFonts w:ascii="方正黑体_GBK" w:hAnsi="方正黑体_GBK" w:eastAsia="方正黑体_GBK" w:cs="宋体"/>
                <w:b/>
                <w:bCs w:val="0"/>
                <w:sz w:val="18"/>
                <w:szCs w:val="18"/>
              </w:rPr>
              <w:t>份额：销售费年化0.2%</w:t>
            </w:r>
          </w:p>
          <w:p>
            <w:pPr>
              <w:spacing w:line="200" w:lineRule="exact"/>
              <w:rPr>
                <w:b/>
                <w:bCs w:val="0"/>
              </w:rPr>
            </w:pPr>
            <w:r>
              <w:rPr>
                <w:rFonts w:hint="eastAsia" w:cs="宋体"/>
                <w:b/>
                <w:bCs w:val="0"/>
                <w:sz w:val="18"/>
                <w:szCs w:val="18"/>
                <w:lang w:val="en-US" w:eastAsia="zh-CN"/>
              </w:rPr>
              <w:t>C</w:t>
            </w:r>
            <w:r>
              <w:rPr>
                <w:rFonts w:ascii="方正黑体_GBK" w:hAnsi="方正黑体_GBK" w:eastAsia="方正黑体_GBK" w:cs="宋体"/>
                <w:b/>
                <w:bCs w:val="0"/>
                <w:sz w:val="18"/>
                <w:szCs w:val="18"/>
              </w:rPr>
              <w:t>份额</w:t>
            </w:r>
            <w:r>
              <w:rPr>
                <w:rFonts w:hint="eastAsia" w:cs="宋体"/>
                <w:b/>
                <w:bCs w:val="0"/>
                <w:sz w:val="18"/>
                <w:szCs w:val="18"/>
                <w:lang w:val="en-US" w:eastAsia="zh-CN"/>
              </w:rPr>
              <w:t>/C</w:t>
            </w:r>
            <w:r>
              <w:rPr>
                <w:rFonts w:ascii="方正黑体_GBK" w:hAnsi="方正黑体_GBK" w:eastAsia="方正黑体_GBK" w:cs="宋体"/>
                <w:b/>
                <w:bCs w:val="0"/>
                <w:sz w:val="18"/>
                <w:szCs w:val="18"/>
              </w:rPr>
              <w:t>2份额</w:t>
            </w:r>
            <w:r>
              <w:rPr>
                <w:rFonts w:hint="eastAsia" w:cs="宋体"/>
                <w:b/>
                <w:bCs w:val="0"/>
                <w:sz w:val="18"/>
                <w:szCs w:val="18"/>
                <w:lang w:val="en-US" w:eastAsia="zh-CN"/>
              </w:rPr>
              <w:t>/C3</w:t>
            </w:r>
            <w:r>
              <w:rPr>
                <w:rFonts w:ascii="方正黑体_GBK" w:hAnsi="方正黑体_GBK" w:eastAsia="方正黑体_GBK" w:cs="宋体"/>
                <w:b/>
                <w:bCs w:val="0"/>
                <w:sz w:val="18"/>
                <w:szCs w:val="18"/>
              </w:rPr>
              <w:t>份额</w:t>
            </w:r>
            <w:r>
              <w:rPr>
                <w:rFonts w:hint="eastAsia" w:cs="宋体"/>
                <w:b/>
                <w:bCs w:val="0"/>
                <w:sz w:val="18"/>
                <w:szCs w:val="18"/>
                <w:lang w:val="en-US" w:eastAsia="zh-CN"/>
              </w:rPr>
              <w:t>/C4</w:t>
            </w:r>
            <w:r>
              <w:rPr>
                <w:rFonts w:ascii="方正黑体_GBK" w:hAnsi="方正黑体_GBK" w:eastAsia="方正黑体_GBK" w:cs="宋体"/>
                <w:b/>
                <w:bCs w:val="0"/>
                <w:sz w:val="18"/>
                <w:szCs w:val="18"/>
              </w:rPr>
              <w:t>份额：销售费年化0.15%</w:t>
            </w:r>
          </w:p>
          <w:p>
            <w:pPr>
              <w:spacing w:line="200" w:lineRule="exact"/>
              <w:rPr>
                <w:b/>
                <w:bCs w:val="0"/>
              </w:rPr>
            </w:pPr>
            <w:r>
              <w:rPr>
                <w:rFonts w:hint="eastAsia" w:cs="宋体"/>
                <w:b/>
                <w:bCs w:val="0"/>
                <w:sz w:val="18"/>
                <w:szCs w:val="18"/>
                <w:lang w:val="en-US" w:eastAsia="zh-CN"/>
              </w:rPr>
              <w:t>D</w:t>
            </w:r>
            <w:r>
              <w:rPr>
                <w:rFonts w:ascii="方正黑体_GBK" w:hAnsi="方正黑体_GBK" w:eastAsia="方正黑体_GBK" w:cs="宋体"/>
                <w:b/>
                <w:bCs w:val="0"/>
                <w:sz w:val="18"/>
                <w:szCs w:val="18"/>
              </w:rPr>
              <w:t>份额</w:t>
            </w:r>
            <w:r>
              <w:rPr>
                <w:rFonts w:hint="eastAsia" w:cs="宋体"/>
                <w:b/>
                <w:bCs w:val="0"/>
                <w:sz w:val="18"/>
                <w:szCs w:val="18"/>
                <w:lang w:val="en-US" w:eastAsia="zh-CN"/>
              </w:rPr>
              <w:t>/D</w:t>
            </w:r>
            <w:r>
              <w:rPr>
                <w:rFonts w:ascii="方正黑体_GBK" w:hAnsi="方正黑体_GBK" w:eastAsia="方正黑体_GBK" w:cs="宋体"/>
                <w:b/>
                <w:bCs w:val="0"/>
                <w:sz w:val="18"/>
                <w:szCs w:val="18"/>
              </w:rPr>
              <w:t>2份额</w:t>
            </w:r>
            <w:r>
              <w:rPr>
                <w:rFonts w:hint="eastAsia" w:cs="宋体"/>
                <w:b/>
                <w:bCs w:val="0"/>
                <w:sz w:val="18"/>
                <w:szCs w:val="18"/>
                <w:lang w:val="en-US" w:eastAsia="zh-CN"/>
              </w:rPr>
              <w:t>/D3</w:t>
            </w:r>
            <w:r>
              <w:rPr>
                <w:rFonts w:ascii="方正黑体_GBK" w:hAnsi="方正黑体_GBK" w:eastAsia="方正黑体_GBK" w:cs="宋体"/>
                <w:b/>
                <w:bCs w:val="0"/>
                <w:sz w:val="18"/>
                <w:szCs w:val="18"/>
              </w:rPr>
              <w:t>份额</w:t>
            </w:r>
            <w:r>
              <w:rPr>
                <w:rFonts w:hint="eastAsia" w:cs="宋体"/>
                <w:b/>
                <w:bCs w:val="0"/>
                <w:sz w:val="18"/>
                <w:szCs w:val="18"/>
                <w:lang w:val="en-US" w:eastAsia="zh-CN"/>
              </w:rPr>
              <w:t>/D4</w:t>
            </w:r>
            <w:r>
              <w:rPr>
                <w:rFonts w:ascii="方正黑体_GBK" w:hAnsi="方正黑体_GBK" w:eastAsia="方正黑体_GBK" w:cs="宋体"/>
                <w:b/>
                <w:bCs w:val="0"/>
                <w:sz w:val="18"/>
                <w:szCs w:val="18"/>
              </w:rPr>
              <w:t>份额：销售费年化0.15%</w:t>
            </w:r>
          </w:p>
          <w:p>
            <w:pPr>
              <w:spacing w:line="200" w:lineRule="exact"/>
              <w:rPr>
                <w:b/>
                <w:bCs w:val="0"/>
              </w:rPr>
            </w:pPr>
            <w:r>
              <w:rPr>
                <w:rFonts w:hint="eastAsia" w:cs="宋体"/>
                <w:b/>
                <w:bCs w:val="0"/>
                <w:sz w:val="18"/>
                <w:szCs w:val="18"/>
                <w:lang w:val="en-US" w:eastAsia="zh-CN"/>
              </w:rPr>
              <w:t>E</w:t>
            </w:r>
            <w:r>
              <w:rPr>
                <w:rFonts w:ascii="方正黑体_GBK" w:hAnsi="方正黑体_GBK" w:eastAsia="方正黑体_GBK" w:cs="宋体"/>
                <w:b/>
                <w:bCs w:val="0"/>
                <w:sz w:val="18"/>
                <w:szCs w:val="18"/>
              </w:rPr>
              <w:t>份额</w:t>
            </w:r>
            <w:r>
              <w:rPr>
                <w:rFonts w:hint="eastAsia" w:cs="宋体"/>
                <w:b/>
                <w:bCs w:val="0"/>
                <w:sz w:val="18"/>
                <w:szCs w:val="18"/>
                <w:lang w:val="en-US" w:eastAsia="zh-CN"/>
              </w:rPr>
              <w:t>/E</w:t>
            </w:r>
            <w:r>
              <w:rPr>
                <w:rFonts w:ascii="方正黑体_GBK" w:hAnsi="方正黑体_GBK" w:eastAsia="方正黑体_GBK" w:cs="宋体"/>
                <w:b/>
                <w:bCs w:val="0"/>
                <w:sz w:val="18"/>
                <w:szCs w:val="18"/>
              </w:rPr>
              <w:t>2份额</w:t>
            </w:r>
            <w:r>
              <w:rPr>
                <w:rFonts w:hint="eastAsia" w:cs="宋体"/>
                <w:b/>
                <w:bCs w:val="0"/>
                <w:sz w:val="18"/>
                <w:szCs w:val="18"/>
                <w:lang w:val="en-US" w:eastAsia="zh-CN"/>
              </w:rPr>
              <w:t>/E3</w:t>
            </w:r>
            <w:r>
              <w:rPr>
                <w:rFonts w:ascii="方正黑体_GBK" w:hAnsi="方正黑体_GBK" w:eastAsia="方正黑体_GBK" w:cs="宋体"/>
                <w:b/>
                <w:bCs w:val="0"/>
                <w:sz w:val="18"/>
                <w:szCs w:val="18"/>
              </w:rPr>
              <w:t>份额</w:t>
            </w:r>
            <w:r>
              <w:rPr>
                <w:rFonts w:hint="eastAsia" w:cs="宋体"/>
                <w:b/>
                <w:bCs w:val="0"/>
                <w:sz w:val="18"/>
                <w:szCs w:val="18"/>
                <w:lang w:val="en-US" w:eastAsia="zh-CN"/>
              </w:rPr>
              <w:t>/E4</w:t>
            </w:r>
            <w:r>
              <w:rPr>
                <w:rFonts w:ascii="方正黑体_GBK" w:hAnsi="方正黑体_GBK" w:eastAsia="方正黑体_GBK" w:cs="宋体"/>
                <w:b/>
                <w:bCs w:val="0"/>
                <w:sz w:val="18"/>
                <w:szCs w:val="18"/>
              </w:rPr>
              <w:t>份额：销售费年化0.05%</w:t>
            </w:r>
          </w:p>
          <w:p>
            <w:pPr>
              <w:spacing w:line="200" w:lineRule="exact"/>
              <w:rPr>
                <w:b/>
                <w:bCs w:val="0"/>
              </w:rPr>
            </w:pPr>
            <w:r>
              <w:rPr>
                <w:rFonts w:ascii="方正黑体_GBK" w:hAnsi="方正黑体_GBK" w:eastAsia="方正黑体_GBK" w:cs="宋体"/>
                <w:b/>
                <w:bCs w:val="0"/>
                <w:sz w:val="18"/>
                <w:szCs w:val="18"/>
              </w:rPr>
              <w:t>每日计提的销售费=前一日理财产品资产净值×年化销售费率÷365</w:t>
            </w:r>
          </w:p>
          <w:p>
            <w:pPr>
              <w:spacing w:line="200" w:lineRule="exact"/>
              <w:rPr>
                <w:b/>
                <w:bCs w:val="0"/>
              </w:rPr>
            </w:pPr>
            <w:r>
              <w:rPr>
                <w:rFonts w:ascii="方正黑体_GBK" w:hAnsi="方正黑体_GBK" w:eastAsia="方正黑体_GBK" w:cs="宋体"/>
                <w:b/>
                <w:bCs w:val="0"/>
                <w:sz w:val="18"/>
                <w:szCs w:val="18"/>
              </w:rPr>
              <w:t>固定管理费：本理财产品按前一日理财产品资产净值收取固定管理费，按日计提。</w:t>
            </w:r>
          </w:p>
          <w:p>
            <w:pPr>
              <w:spacing w:line="200" w:lineRule="exact"/>
              <w:rPr>
                <w:b/>
                <w:bCs w:val="0"/>
              </w:rPr>
            </w:pPr>
            <w:r>
              <w:rPr>
                <w:rFonts w:ascii="方正黑体_GBK" w:hAnsi="方正黑体_GBK" w:eastAsia="方正黑体_GBK" w:cs="宋体"/>
                <w:b/>
                <w:bCs w:val="0"/>
                <w:sz w:val="18"/>
                <w:szCs w:val="18"/>
              </w:rPr>
              <w:t>A份额</w:t>
            </w:r>
            <w:r>
              <w:rPr>
                <w:rFonts w:hint="eastAsia" w:cs="宋体"/>
                <w:b/>
                <w:bCs w:val="0"/>
                <w:sz w:val="18"/>
                <w:szCs w:val="18"/>
                <w:lang w:val="en-US" w:eastAsia="zh-CN"/>
              </w:rPr>
              <w:t>/</w:t>
            </w:r>
            <w:r>
              <w:rPr>
                <w:rFonts w:ascii="方正黑体_GBK" w:hAnsi="方正黑体_GBK" w:eastAsia="方正黑体_GBK" w:cs="宋体"/>
                <w:b/>
                <w:bCs w:val="0"/>
                <w:sz w:val="18"/>
                <w:szCs w:val="18"/>
              </w:rPr>
              <w:t>A2份额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3</w:t>
            </w:r>
            <w:r>
              <w:rPr>
                <w:rFonts w:ascii="方正黑体_GBK" w:hAnsi="方正黑体_GBK" w:eastAsia="方正黑体_GBK" w:cs="宋体"/>
                <w:b/>
                <w:bCs w:val="0"/>
                <w:sz w:val="18"/>
                <w:szCs w:val="18"/>
              </w:rPr>
              <w:t>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4</w:t>
            </w:r>
            <w:r>
              <w:rPr>
                <w:rFonts w:ascii="方正黑体_GBK" w:hAnsi="方正黑体_GBK" w:eastAsia="方正黑体_GBK" w:cs="宋体"/>
                <w:b/>
                <w:bCs w:val="0"/>
                <w:sz w:val="18"/>
                <w:szCs w:val="18"/>
              </w:rPr>
              <w:t>份额：固定管理费年化0.4%</w:t>
            </w:r>
          </w:p>
          <w:p>
            <w:pPr>
              <w:spacing w:line="200" w:lineRule="exact"/>
              <w:rPr>
                <w:b/>
                <w:bCs w:val="0"/>
              </w:rPr>
            </w:pPr>
            <w:r>
              <w:rPr>
                <w:rFonts w:hint="eastAsia" w:cs="宋体"/>
                <w:b/>
                <w:bCs w:val="0"/>
                <w:sz w:val="18"/>
                <w:szCs w:val="18"/>
                <w:lang w:val="en-US" w:eastAsia="zh-CN"/>
              </w:rPr>
              <w:t>B</w:t>
            </w:r>
            <w:r>
              <w:rPr>
                <w:rFonts w:ascii="方正黑体_GBK" w:hAnsi="方正黑体_GBK" w:eastAsia="方正黑体_GBK" w:cs="宋体"/>
                <w:b/>
                <w:bCs w:val="0"/>
                <w:sz w:val="18"/>
                <w:szCs w:val="18"/>
              </w:rPr>
              <w:t>份额</w:t>
            </w:r>
            <w:r>
              <w:rPr>
                <w:rFonts w:hint="eastAsia" w:cs="宋体"/>
                <w:b/>
                <w:bCs w:val="0"/>
                <w:sz w:val="18"/>
                <w:szCs w:val="18"/>
                <w:lang w:val="en-US" w:eastAsia="zh-CN"/>
              </w:rPr>
              <w:t>/B</w:t>
            </w:r>
            <w:r>
              <w:rPr>
                <w:rFonts w:ascii="方正黑体_GBK" w:hAnsi="方正黑体_GBK" w:eastAsia="方正黑体_GBK" w:cs="宋体"/>
                <w:b/>
                <w:bCs w:val="0"/>
                <w:sz w:val="18"/>
                <w:szCs w:val="18"/>
              </w:rPr>
              <w:t>2份额</w:t>
            </w:r>
            <w:r>
              <w:rPr>
                <w:rFonts w:hint="eastAsia" w:cs="宋体"/>
                <w:b/>
                <w:bCs w:val="0"/>
                <w:sz w:val="18"/>
                <w:szCs w:val="18"/>
                <w:lang w:val="en-US" w:eastAsia="zh-CN"/>
              </w:rPr>
              <w:t>/B3</w:t>
            </w:r>
            <w:r>
              <w:rPr>
                <w:rFonts w:ascii="方正黑体_GBK" w:hAnsi="方正黑体_GBK" w:eastAsia="方正黑体_GBK" w:cs="宋体"/>
                <w:b/>
                <w:bCs w:val="0"/>
                <w:sz w:val="18"/>
                <w:szCs w:val="18"/>
              </w:rPr>
              <w:t>份额</w:t>
            </w:r>
            <w:r>
              <w:rPr>
                <w:rFonts w:hint="eastAsia" w:cs="宋体"/>
                <w:b/>
                <w:bCs w:val="0"/>
                <w:sz w:val="18"/>
                <w:szCs w:val="18"/>
                <w:lang w:val="en-US" w:eastAsia="zh-CN"/>
              </w:rPr>
              <w:t>/B4</w:t>
            </w:r>
            <w:r>
              <w:rPr>
                <w:rFonts w:ascii="方正黑体_GBK" w:hAnsi="方正黑体_GBK" w:eastAsia="方正黑体_GBK" w:cs="宋体"/>
                <w:b/>
                <w:bCs w:val="0"/>
                <w:sz w:val="18"/>
                <w:szCs w:val="18"/>
              </w:rPr>
              <w:t>份额：固定管理费年化0.4%</w:t>
            </w:r>
          </w:p>
          <w:p>
            <w:pPr>
              <w:spacing w:line="200" w:lineRule="exact"/>
              <w:rPr>
                <w:b/>
                <w:bCs w:val="0"/>
              </w:rPr>
            </w:pPr>
            <w:r>
              <w:rPr>
                <w:rFonts w:hint="eastAsia" w:cs="宋体"/>
                <w:b/>
                <w:bCs w:val="0"/>
                <w:sz w:val="18"/>
                <w:szCs w:val="18"/>
                <w:lang w:val="en-US" w:eastAsia="zh-CN"/>
              </w:rPr>
              <w:t>C</w:t>
            </w:r>
            <w:r>
              <w:rPr>
                <w:rFonts w:ascii="方正黑体_GBK" w:hAnsi="方正黑体_GBK" w:eastAsia="方正黑体_GBK" w:cs="宋体"/>
                <w:b/>
                <w:bCs w:val="0"/>
                <w:sz w:val="18"/>
                <w:szCs w:val="18"/>
              </w:rPr>
              <w:t>份额</w:t>
            </w:r>
            <w:r>
              <w:rPr>
                <w:rFonts w:hint="eastAsia" w:cs="宋体"/>
                <w:b/>
                <w:bCs w:val="0"/>
                <w:sz w:val="18"/>
                <w:szCs w:val="18"/>
                <w:lang w:val="en-US" w:eastAsia="zh-CN"/>
              </w:rPr>
              <w:t>/C</w:t>
            </w:r>
            <w:r>
              <w:rPr>
                <w:rFonts w:ascii="方正黑体_GBK" w:hAnsi="方正黑体_GBK" w:eastAsia="方正黑体_GBK" w:cs="宋体"/>
                <w:b/>
                <w:bCs w:val="0"/>
                <w:sz w:val="18"/>
                <w:szCs w:val="18"/>
              </w:rPr>
              <w:t>2份额</w:t>
            </w:r>
            <w:r>
              <w:rPr>
                <w:rFonts w:hint="eastAsia" w:cs="宋体"/>
                <w:b/>
                <w:bCs w:val="0"/>
                <w:sz w:val="18"/>
                <w:szCs w:val="18"/>
                <w:lang w:val="en-US" w:eastAsia="zh-CN"/>
              </w:rPr>
              <w:t>/C3</w:t>
            </w:r>
            <w:r>
              <w:rPr>
                <w:rFonts w:ascii="方正黑体_GBK" w:hAnsi="方正黑体_GBK" w:eastAsia="方正黑体_GBK" w:cs="宋体"/>
                <w:b/>
                <w:bCs w:val="0"/>
                <w:sz w:val="18"/>
                <w:szCs w:val="18"/>
              </w:rPr>
              <w:t>份额</w:t>
            </w:r>
            <w:r>
              <w:rPr>
                <w:rFonts w:hint="eastAsia" w:cs="宋体"/>
                <w:b/>
                <w:bCs w:val="0"/>
                <w:sz w:val="18"/>
                <w:szCs w:val="18"/>
                <w:lang w:val="en-US" w:eastAsia="zh-CN"/>
              </w:rPr>
              <w:t>/C4</w:t>
            </w:r>
            <w:r>
              <w:rPr>
                <w:rFonts w:ascii="方正黑体_GBK" w:hAnsi="方正黑体_GBK" w:eastAsia="方正黑体_GBK" w:cs="宋体"/>
                <w:b/>
                <w:bCs w:val="0"/>
                <w:sz w:val="18"/>
                <w:szCs w:val="18"/>
              </w:rPr>
              <w:t>份额：固定管理费年化0.35%</w:t>
            </w:r>
          </w:p>
          <w:p>
            <w:pPr>
              <w:spacing w:line="200" w:lineRule="exact"/>
              <w:rPr>
                <w:b/>
                <w:bCs w:val="0"/>
              </w:rPr>
            </w:pPr>
            <w:r>
              <w:rPr>
                <w:rFonts w:hint="eastAsia" w:cs="宋体"/>
                <w:b/>
                <w:bCs w:val="0"/>
                <w:sz w:val="18"/>
                <w:szCs w:val="18"/>
                <w:lang w:val="en-US" w:eastAsia="zh-CN"/>
              </w:rPr>
              <w:t>D</w:t>
            </w:r>
            <w:r>
              <w:rPr>
                <w:rFonts w:ascii="方正黑体_GBK" w:hAnsi="方正黑体_GBK" w:eastAsia="方正黑体_GBK" w:cs="宋体"/>
                <w:b/>
                <w:bCs w:val="0"/>
                <w:sz w:val="18"/>
                <w:szCs w:val="18"/>
              </w:rPr>
              <w:t>份额</w:t>
            </w:r>
            <w:r>
              <w:rPr>
                <w:rFonts w:hint="eastAsia" w:cs="宋体"/>
                <w:b/>
                <w:bCs w:val="0"/>
                <w:sz w:val="18"/>
                <w:szCs w:val="18"/>
                <w:lang w:val="en-US" w:eastAsia="zh-CN"/>
              </w:rPr>
              <w:t>/D</w:t>
            </w:r>
            <w:r>
              <w:rPr>
                <w:rFonts w:ascii="方正黑体_GBK" w:hAnsi="方正黑体_GBK" w:eastAsia="方正黑体_GBK" w:cs="宋体"/>
                <w:b/>
                <w:bCs w:val="0"/>
                <w:sz w:val="18"/>
                <w:szCs w:val="18"/>
              </w:rPr>
              <w:t>2份额</w:t>
            </w:r>
            <w:r>
              <w:rPr>
                <w:rFonts w:hint="eastAsia" w:cs="宋体"/>
                <w:b/>
                <w:bCs w:val="0"/>
                <w:sz w:val="18"/>
                <w:szCs w:val="18"/>
                <w:lang w:val="en-US" w:eastAsia="zh-CN"/>
              </w:rPr>
              <w:t>/D3</w:t>
            </w:r>
            <w:r>
              <w:rPr>
                <w:rFonts w:ascii="方正黑体_GBK" w:hAnsi="方正黑体_GBK" w:eastAsia="方正黑体_GBK" w:cs="宋体"/>
                <w:b/>
                <w:bCs w:val="0"/>
                <w:sz w:val="18"/>
                <w:szCs w:val="18"/>
              </w:rPr>
              <w:t>份额</w:t>
            </w:r>
            <w:r>
              <w:rPr>
                <w:rFonts w:hint="eastAsia" w:cs="宋体"/>
                <w:b/>
                <w:bCs w:val="0"/>
                <w:sz w:val="18"/>
                <w:szCs w:val="18"/>
                <w:lang w:val="en-US" w:eastAsia="zh-CN"/>
              </w:rPr>
              <w:t>/D4</w:t>
            </w:r>
            <w:r>
              <w:rPr>
                <w:rFonts w:ascii="方正黑体_GBK" w:hAnsi="方正黑体_GBK" w:eastAsia="方正黑体_GBK" w:cs="宋体"/>
                <w:b/>
                <w:bCs w:val="0"/>
                <w:sz w:val="18"/>
                <w:szCs w:val="18"/>
              </w:rPr>
              <w:t>份额：固定管理费年化0.3%</w:t>
            </w:r>
          </w:p>
          <w:p>
            <w:pPr>
              <w:spacing w:line="200" w:lineRule="exact"/>
              <w:rPr>
                <w:b/>
                <w:bCs w:val="0"/>
              </w:rPr>
            </w:pPr>
            <w:r>
              <w:rPr>
                <w:rFonts w:hint="eastAsia" w:cs="宋体"/>
                <w:b/>
                <w:bCs w:val="0"/>
                <w:sz w:val="18"/>
                <w:szCs w:val="18"/>
                <w:lang w:val="en-US" w:eastAsia="zh-CN"/>
              </w:rPr>
              <w:t>E</w:t>
            </w:r>
            <w:r>
              <w:rPr>
                <w:rFonts w:ascii="方正黑体_GBK" w:hAnsi="方正黑体_GBK" w:eastAsia="方正黑体_GBK" w:cs="宋体"/>
                <w:b/>
                <w:bCs w:val="0"/>
                <w:sz w:val="18"/>
                <w:szCs w:val="18"/>
              </w:rPr>
              <w:t>份额</w:t>
            </w:r>
            <w:r>
              <w:rPr>
                <w:rFonts w:hint="eastAsia" w:cs="宋体"/>
                <w:b/>
                <w:bCs w:val="0"/>
                <w:sz w:val="18"/>
                <w:szCs w:val="18"/>
                <w:lang w:val="en-US" w:eastAsia="zh-CN"/>
              </w:rPr>
              <w:t>/E</w:t>
            </w:r>
            <w:r>
              <w:rPr>
                <w:rFonts w:ascii="方正黑体_GBK" w:hAnsi="方正黑体_GBK" w:eastAsia="方正黑体_GBK" w:cs="宋体"/>
                <w:b/>
                <w:bCs w:val="0"/>
                <w:sz w:val="18"/>
                <w:szCs w:val="18"/>
              </w:rPr>
              <w:t>2份额</w:t>
            </w:r>
            <w:r>
              <w:rPr>
                <w:rFonts w:hint="eastAsia" w:cs="宋体"/>
                <w:b/>
                <w:bCs w:val="0"/>
                <w:sz w:val="18"/>
                <w:szCs w:val="18"/>
                <w:lang w:val="en-US" w:eastAsia="zh-CN"/>
              </w:rPr>
              <w:t>/E3</w:t>
            </w:r>
            <w:r>
              <w:rPr>
                <w:rFonts w:ascii="方正黑体_GBK" w:hAnsi="方正黑体_GBK" w:eastAsia="方正黑体_GBK" w:cs="宋体"/>
                <w:b/>
                <w:bCs w:val="0"/>
                <w:sz w:val="18"/>
                <w:szCs w:val="18"/>
              </w:rPr>
              <w:t>份额</w:t>
            </w:r>
            <w:r>
              <w:rPr>
                <w:rFonts w:hint="eastAsia" w:cs="宋体"/>
                <w:b/>
                <w:bCs w:val="0"/>
                <w:sz w:val="18"/>
                <w:szCs w:val="18"/>
                <w:lang w:val="en-US" w:eastAsia="zh-CN"/>
              </w:rPr>
              <w:t>/E4</w:t>
            </w:r>
            <w:r>
              <w:rPr>
                <w:rFonts w:ascii="方正黑体_GBK" w:hAnsi="方正黑体_GBK" w:eastAsia="方正黑体_GBK" w:cs="宋体"/>
                <w:b/>
                <w:bCs w:val="0"/>
                <w:sz w:val="18"/>
                <w:szCs w:val="18"/>
              </w:rPr>
              <w:t>份额：固定管理费年化0.3%</w:t>
            </w:r>
          </w:p>
          <w:p>
            <w:pPr>
              <w:spacing w:line="200" w:lineRule="exact"/>
              <w:rPr>
                <w:b/>
                <w:bCs w:val="0"/>
              </w:rPr>
            </w:pPr>
            <w:r>
              <w:rPr>
                <w:rFonts w:ascii="方正黑体_GBK" w:hAnsi="方正黑体_GBK" w:eastAsia="方正黑体_GBK" w:cs="宋体"/>
                <w:b/>
                <w:bCs w:val="0"/>
                <w:sz w:val="18"/>
                <w:szCs w:val="18"/>
              </w:rPr>
              <w:t>每日计提的固定管理费=前一日理财产品资产净值×年化固定管理费率÷365</w:t>
            </w:r>
          </w:p>
          <w:p>
            <w:pPr>
              <w:spacing w:line="200" w:lineRule="exact"/>
              <w:rPr>
                <w:b/>
                <w:bCs w:val="0"/>
              </w:rPr>
            </w:pPr>
            <w:r>
              <w:rPr>
                <w:rFonts w:ascii="方正黑体_GBK" w:hAnsi="方正黑体_GBK" w:eastAsia="方正黑体_GBK" w:cs="宋体"/>
                <w:b/>
                <w:bCs w:val="0"/>
                <w:sz w:val="18"/>
                <w:szCs w:val="18"/>
              </w:rPr>
              <w:t>托管费：</w:t>
            </w:r>
          </w:p>
          <w:p>
            <w:pPr>
              <w:spacing w:line="200" w:lineRule="exact"/>
              <w:rPr>
                <w:b/>
                <w:bCs w:val="0"/>
              </w:rPr>
            </w:pPr>
            <w:r>
              <w:rPr>
                <w:rFonts w:ascii="方正黑体_GBK" w:hAnsi="方正黑体_GBK" w:eastAsia="方正黑体_GBK" w:cs="宋体"/>
                <w:b/>
                <w:bCs w:val="0"/>
                <w:sz w:val="18"/>
                <w:szCs w:val="18"/>
              </w:rPr>
              <w:t>本理财产品按前一日理财产品资产净值收取年化0.02%的托管费，按日计提。</w:t>
            </w:r>
          </w:p>
          <w:p>
            <w:pPr>
              <w:spacing w:line="200" w:lineRule="exact"/>
              <w:rPr>
                <w:b/>
                <w:bCs w:val="0"/>
              </w:rPr>
            </w:pPr>
            <w:r>
              <w:rPr>
                <w:rFonts w:ascii="方正黑体_GBK" w:hAnsi="方正黑体_GBK" w:eastAsia="方正黑体_GBK" w:cs="宋体"/>
                <w:b/>
                <w:bCs w:val="0"/>
                <w:sz w:val="18"/>
                <w:szCs w:val="18"/>
              </w:rPr>
              <w:t>每日计提的托管费=前一日理财产品资产净值×年化托管费率÷365</w:t>
            </w:r>
          </w:p>
          <w:p>
            <w:pPr>
              <w:spacing w:line="200" w:lineRule="exact"/>
              <w:rPr>
                <w:b/>
                <w:bCs w:val="0"/>
              </w:rPr>
            </w:pPr>
            <w:r>
              <w:rPr>
                <w:rFonts w:ascii="方正黑体_GBK" w:hAnsi="方正黑体_GBK" w:eastAsia="方正黑体_GBK" w:cs="宋体"/>
                <w:b/>
                <w:bCs w:val="0"/>
                <w:sz w:val="18"/>
                <w:szCs w:val="18"/>
              </w:rPr>
              <w:t>业绩报酬：</w:t>
            </w:r>
          </w:p>
          <w:p>
            <w:pPr>
              <w:spacing w:line="200" w:lineRule="exact"/>
              <w:rPr>
                <w:b/>
                <w:bCs w:val="0"/>
              </w:rPr>
            </w:pPr>
            <w:r>
              <w:rPr>
                <w:rFonts w:ascii="方正黑体_GBK" w:hAnsi="方正黑体_GBK" w:eastAsia="方正黑体_GBK" w:cs="宋体"/>
                <w:b/>
                <w:bCs w:val="0"/>
                <w:sz w:val="18"/>
                <w:szCs w:val="18"/>
              </w:rPr>
              <w:t>A份额</w:t>
            </w:r>
            <w:r>
              <w:rPr>
                <w:rFonts w:hint="eastAsia" w:cs="宋体"/>
                <w:b/>
                <w:bCs w:val="0"/>
                <w:sz w:val="18"/>
                <w:szCs w:val="18"/>
                <w:lang w:val="en-US" w:eastAsia="zh-CN"/>
              </w:rPr>
              <w:t>/</w:t>
            </w:r>
            <w:r>
              <w:rPr>
                <w:rFonts w:ascii="方正黑体_GBK" w:hAnsi="方正黑体_GBK" w:eastAsia="方正黑体_GBK" w:cs="宋体"/>
                <w:b/>
                <w:bCs w:val="0"/>
                <w:sz w:val="18"/>
                <w:szCs w:val="18"/>
              </w:rPr>
              <w:t>A2份额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3</w:t>
            </w:r>
            <w:r>
              <w:rPr>
                <w:rFonts w:ascii="方正黑体_GBK" w:hAnsi="方正黑体_GBK" w:eastAsia="方正黑体_GBK" w:cs="宋体"/>
                <w:b/>
                <w:bCs w:val="0"/>
                <w:sz w:val="18"/>
                <w:szCs w:val="18"/>
              </w:rPr>
              <w:t>份额</w:t>
            </w:r>
            <w:r>
              <w:rPr>
                <w:rFonts w:hint="eastAsia" w:cs="宋体"/>
                <w:b/>
                <w:bCs w:val="0"/>
                <w:sz w:val="18"/>
                <w:szCs w:val="18"/>
                <w:lang w:val="en-US" w:eastAsia="zh-CN"/>
              </w:rPr>
              <w:t>/</w:t>
            </w:r>
            <w:r>
              <w:rPr>
                <w:rFonts w:ascii="方正黑体_GBK" w:hAnsi="方正黑体_GBK" w:eastAsia="方正黑体_GBK" w:cs="宋体"/>
                <w:b/>
                <w:bCs w:val="0"/>
                <w:sz w:val="18"/>
                <w:szCs w:val="18"/>
              </w:rPr>
              <w:t>A</w:t>
            </w:r>
            <w:r>
              <w:rPr>
                <w:rFonts w:hint="eastAsia" w:cs="宋体"/>
                <w:b/>
                <w:bCs w:val="0"/>
                <w:sz w:val="18"/>
                <w:szCs w:val="18"/>
                <w:lang w:val="en-US" w:eastAsia="zh-CN"/>
              </w:rPr>
              <w:t>4</w:t>
            </w:r>
            <w:r>
              <w:rPr>
                <w:rFonts w:ascii="方正黑体_GBK" w:hAnsi="方正黑体_GBK" w:eastAsia="方正黑体_GBK" w:cs="宋体"/>
                <w:b/>
                <w:bCs w:val="0"/>
                <w:sz w:val="18"/>
                <w:szCs w:val="18"/>
              </w:rPr>
              <w:t>份额：申购/赎回确认日和产品实际到期时，当期产品投资的实际资产组合收益（扣除销售费、固定管理费、托管费等相关费用）超过3.3%（年化，即产品该份额对应的业绩报酬计提基准）时，超过部分管理人将按60%收取业绩报酬。</w:t>
            </w:r>
          </w:p>
          <w:p>
            <w:pPr>
              <w:spacing w:line="200" w:lineRule="exact"/>
              <w:rPr>
                <w:b/>
                <w:bCs w:val="0"/>
              </w:rPr>
            </w:pPr>
            <w:r>
              <w:rPr>
                <w:rFonts w:hint="eastAsia" w:cs="宋体"/>
                <w:b/>
                <w:bCs w:val="0"/>
                <w:sz w:val="18"/>
                <w:szCs w:val="18"/>
                <w:lang w:val="en-US" w:eastAsia="zh-CN"/>
              </w:rPr>
              <w:t>B</w:t>
            </w:r>
            <w:r>
              <w:rPr>
                <w:rFonts w:ascii="方正黑体_GBK" w:hAnsi="方正黑体_GBK" w:eastAsia="方正黑体_GBK" w:cs="宋体"/>
                <w:b/>
                <w:bCs w:val="0"/>
                <w:sz w:val="18"/>
                <w:szCs w:val="18"/>
              </w:rPr>
              <w:t>份额</w:t>
            </w:r>
            <w:r>
              <w:rPr>
                <w:rFonts w:hint="eastAsia" w:cs="宋体"/>
                <w:b/>
                <w:bCs w:val="0"/>
                <w:sz w:val="18"/>
                <w:szCs w:val="18"/>
                <w:lang w:val="en-US" w:eastAsia="zh-CN"/>
              </w:rPr>
              <w:t>/B</w:t>
            </w:r>
            <w:r>
              <w:rPr>
                <w:rFonts w:ascii="方正黑体_GBK" w:hAnsi="方正黑体_GBK" w:eastAsia="方正黑体_GBK" w:cs="宋体"/>
                <w:b/>
                <w:bCs w:val="0"/>
                <w:sz w:val="18"/>
                <w:szCs w:val="18"/>
              </w:rPr>
              <w:t>2份额</w:t>
            </w:r>
            <w:r>
              <w:rPr>
                <w:rFonts w:hint="eastAsia" w:cs="宋体"/>
                <w:b/>
                <w:bCs w:val="0"/>
                <w:sz w:val="18"/>
                <w:szCs w:val="18"/>
                <w:lang w:val="en-US" w:eastAsia="zh-CN"/>
              </w:rPr>
              <w:t>/B3</w:t>
            </w:r>
            <w:r>
              <w:rPr>
                <w:rFonts w:ascii="方正黑体_GBK" w:hAnsi="方正黑体_GBK" w:eastAsia="方正黑体_GBK" w:cs="宋体"/>
                <w:b/>
                <w:bCs w:val="0"/>
                <w:sz w:val="18"/>
                <w:szCs w:val="18"/>
              </w:rPr>
              <w:t>份额</w:t>
            </w:r>
            <w:r>
              <w:rPr>
                <w:rFonts w:hint="eastAsia" w:cs="宋体"/>
                <w:b/>
                <w:bCs w:val="0"/>
                <w:sz w:val="18"/>
                <w:szCs w:val="18"/>
                <w:lang w:val="en-US" w:eastAsia="zh-CN"/>
              </w:rPr>
              <w:t>/B4</w:t>
            </w:r>
            <w:r>
              <w:rPr>
                <w:rFonts w:ascii="方正黑体_GBK" w:hAnsi="方正黑体_GBK" w:eastAsia="方正黑体_GBK" w:cs="宋体"/>
                <w:b/>
                <w:bCs w:val="0"/>
                <w:sz w:val="18"/>
                <w:szCs w:val="18"/>
              </w:rPr>
              <w:t>份额：申购/赎回确认日和产品实际到期时，当期产品投资的实际资产组合收益（扣除销售费、固定管理费、托管费等相关费用）超过3.3%（年化，即产品该份额对应的业绩报酬计提基准）时，超过部分管理人将按60%收取业绩报酬。</w:t>
            </w:r>
          </w:p>
          <w:p>
            <w:pPr>
              <w:spacing w:line="200" w:lineRule="exact"/>
              <w:rPr>
                <w:b/>
                <w:bCs w:val="0"/>
              </w:rPr>
            </w:pPr>
            <w:r>
              <w:rPr>
                <w:rFonts w:hint="eastAsia" w:cs="宋体"/>
                <w:b/>
                <w:bCs w:val="0"/>
                <w:sz w:val="18"/>
                <w:szCs w:val="18"/>
                <w:lang w:val="en-US" w:eastAsia="zh-CN"/>
              </w:rPr>
              <w:t>C</w:t>
            </w:r>
            <w:r>
              <w:rPr>
                <w:rFonts w:ascii="方正黑体_GBK" w:hAnsi="方正黑体_GBK" w:eastAsia="方正黑体_GBK" w:cs="宋体"/>
                <w:b/>
                <w:bCs w:val="0"/>
                <w:sz w:val="18"/>
                <w:szCs w:val="18"/>
              </w:rPr>
              <w:t>份额</w:t>
            </w:r>
            <w:r>
              <w:rPr>
                <w:rFonts w:hint="eastAsia" w:cs="宋体"/>
                <w:b/>
                <w:bCs w:val="0"/>
                <w:sz w:val="18"/>
                <w:szCs w:val="18"/>
                <w:lang w:val="en-US" w:eastAsia="zh-CN"/>
              </w:rPr>
              <w:t>/C</w:t>
            </w:r>
            <w:r>
              <w:rPr>
                <w:rFonts w:ascii="方正黑体_GBK" w:hAnsi="方正黑体_GBK" w:eastAsia="方正黑体_GBK" w:cs="宋体"/>
                <w:b/>
                <w:bCs w:val="0"/>
                <w:sz w:val="18"/>
                <w:szCs w:val="18"/>
              </w:rPr>
              <w:t>2份额</w:t>
            </w:r>
            <w:r>
              <w:rPr>
                <w:rFonts w:hint="eastAsia" w:cs="宋体"/>
                <w:b/>
                <w:bCs w:val="0"/>
                <w:sz w:val="18"/>
                <w:szCs w:val="18"/>
                <w:lang w:val="en-US" w:eastAsia="zh-CN"/>
              </w:rPr>
              <w:t>/C3</w:t>
            </w:r>
            <w:r>
              <w:rPr>
                <w:rFonts w:ascii="方正黑体_GBK" w:hAnsi="方正黑体_GBK" w:eastAsia="方正黑体_GBK" w:cs="宋体"/>
                <w:b/>
                <w:bCs w:val="0"/>
                <w:sz w:val="18"/>
                <w:szCs w:val="18"/>
              </w:rPr>
              <w:t>份额</w:t>
            </w:r>
            <w:r>
              <w:rPr>
                <w:rFonts w:hint="eastAsia" w:cs="宋体"/>
                <w:b/>
                <w:bCs w:val="0"/>
                <w:sz w:val="18"/>
                <w:szCs w:val="18"/>
                <w:lang w:val="en-US" w:eastAsia="zh-CN"/>
              </w:rPr>
              <w:t>/C4</w:t>
            </w:r>
            <w:r>
              <w:rPr>
                <w:rFonts w:ascii="方正黑体_GBK" w:hAnsi="方正黑体_GBK" w:eastAsia="方正黑体_GBK" w:cs="宋体"/>
                <w:b/>
                <w:bCs w:val="0"/>
                <w:sz w:val="18"/>
                <w:szCs w:val="18"/>
              </w:rPr>
              <w:t>份额：申购/赎回确认日和产品实际到期时，当期产品投资的实际资产组合收益（扣除销售费、固定管理费、托管费等相关费用）超过3.4%（年化，即产品该份额对应的业绩报酬计提基准）时，超过部分管理人将按60%收取业绩报酬。</w:t>
            </w:r>
          </w:p>
          <w:p>
            <w:pPr>
              <w:spacing w:line="200" w:lineRule="exact"/>
              <w:rPr>
                <w:b/>
                <w:bCs w:val="0"/>
              </w:rPr>
            </w:pPr>
            <w:r>
              <w:rPr>
                <w:rFonts w:hint="eastAsia" w:cs="宋体"/>
                <w:b/>
                <w:bCs w:val="0"/>
                <w:sz w:val="18"/>
                <w:szCs w:val="18"/>
                <w:lang w:val="en-US" w:eastAsia="zh-CN"/>
              </w:rPr>
              <w:t>D</w:t>
            </w:r>
            <w:r>
              <w:rPr>
                <w:rFonts w:ascii="方正黑体_GBK" w:hAnsi="方正黑体_GBK" w:eastAsia="方正黑体_GBK" w:cs="宋体"/>
                <w:b/>
                <w:bCs w:val="0"/>
                <w:sz w:val="18"/>
                <w:szCs w:val="18"/>
              </w:rPr>
              <w:t>份额</w:t>
            </w:r>
            <w:r>
              <w:rPr>
                <w:rFonts w:hint="eastAsia" w:cs="宋体"/>
                <w:b/>
                <w:bCs w:val="0"/>
                <w:sz w:val="18"/>
                <w:szCs w:val="18"/>
                <w:lang w:val="en-US" w:eastAsia="zh-CN"/>
              </w:rPr>
              <w:t>/D</w:t>
            </w:r>
            <w:r>
              <w:rPr>
                <w:rFonts w:ascii="方正黑体_GBK" w:hAnsi="方正黑体_GBK" w:eastAsia="方正黑体_GBK" w:cs="宋体"/>
                <w:b/>
                <w:bCs w:val="0"/>
                <w:sz w:val="18"/>
                <w:szCs w:val="18"/>
              </w:rPr>
              <w:t>2份额</w:t>
            </w:r>
            <w:r>
              <w:rPr>
                <w:rFonts w:hint="eastAsia" w:cs="宋体"/>
                <w:b/>
                <w:bCs w:val="0"/>
                <w:sz w:val="18"/>
                <w:szCs w:val="18"/>
                <w:lang w:val="en-US" w:eastAsia="zh-CN"/>
              </w:rPr>
              <w:t>/D3</w:t>
            </w:r>
            <w:r>
              <w:rPr>
                <w:rFonts w:ascii="方正黑体_GBK" w:hAnsi="方正黑体_GBK" w:eastAsia="方正黑体_GBK" w:cs="宋体"/>
                <w:b/>
                <w:bCs w:val="0"/>
                <w:sz w:val="18"/>
                <w:szCs w:val="18"/>
              </w:rPr>
              <w:t>份额</w:t>
            </w:r>
            <w:r>
              <w:rPr>
                <w:rFonts w:hint="eastAsia" w:cs="宋体"/>
                <w:b/>
                <w:bCs w:val="0"/>
                <w:sz w:val="18"/>
                <w:szCs w:val="18"/>
                <w:lang w:val="en-US" w:eastAsia="zh-CN"/>
              </w:rPr>
              <w:t>/D4</w:t>
            </w:r>
            <w:r>
              <w:rPr>
                <w:rFonts w:ascii="方正黑体_GBK" w:hAnsi="方正黑体_GBK" w:eastAsia="方正黑体_GBK" w:cs="宋体"/>
                <w:b/>
                <w:bCs w:val="0"/>
                <w:sz w:val="18"/>
                <w:szCs w:val="18"/>
              </w:rPr>
              <w:t>份额：申购/赎回确认日和产品实际到期时，当期产品投资的实际资产组合收益（扣除销售费、固定管理费、托管费等相关费用）超过3.45%（年化，即产品该份额对应的业绩报酬计提基准）时，超过部分管理人将按60%收取业绩报酬。</w:t>
            </w:r>
          </w:p>
          <w:p>
            <w:pPr>
              <w:spacing w:line="200" w:lineRule="exact"/>
              <w:rPr>
                <w:b/>
                <w:bCs w:val="0"/>
              </w:rPr>
            </w:pPr>
            <w:r>
              <w:rPr>
                <w:rFonts w:hint="eastAsia" w:cs="宋体"/>
                <w:b/>
                <w:bCs w:val="0"/>
                <w:sz w:val="18"/>
                <w:szCs w:val="18"/>
                <w:lang w:val="en-US" w:eastAsia="zh-CN"/>
              </w:rPr>
              <w:t>E</w:t>
            </w:r>
            <w:r>
              <w:rPr>
                <w:rFonts w:ascii="方正黑体_GBK" w:hAnsi="方正黑体_GBK" w:eastAsia="方正黑体_GBK" w:cs="宋体"/>
                <w:b/>
                <w:bCs w:val="0"/>
                <w:sz w:val="18"/>
                <w:szCs w:val="18"/>
              </w:rPr>
              <w:t>份额</w:t>
            </w:r>
            <w:r>
              <w:rPr>
                <w:rFonts w:hint="eastAsia" w:cs="宋体"/>
                <w:b/>
                <w:bCs w:val="0"/>
                <w:sz w:val="18"/>
                <w:szCs w:val="18"/>
                <w:lang w:val="en-US" w:eastAsia="zh-CN"/>
              </w:rPr>
              <w:t>/E</w:t>
            </w:r>
            <w:r>
              <w:rPr>
                <w:rFonts w:ascii="方正黑体_GBK" w:hAnsi="方正黑体_GBK" w:eastAsia="方正黑体_GBK" w:cs="宋体"/>
                <w:b/>
                <w:bCs w:val="0"/>
                <w:sz w:val="18"/>
                <w:szCs w:val="18"/>
              </w:rPr>
              <w:t>2份额</w:t>
            </w:r>
            <w:r>
              <w:rPr>
                <w:rFonts w:hint="eastAsia" w:cs="宋体"/>
                <w:b/>
                <w:bCs w:val="0"/>
                <w:sz w:val="18"/>
                <w:szCs w:val="18"/>
                <w:lang w:val="en-US" w:eastAsia="zh-CN"/>
              </w:rPr>
              <w:t>/E3</w:t>
            </w:r>
            <w:r>
              <w:rPr>
                <w:rFonts w:ascii="方正黑体_GBK" w:hAnsi="方正黑体_GBK" w:eastAsia="方正黑体_GBK" w:cs="宋体"/>
                <w:b/>
                <w:bCs w:val="0"/>
                <w:sz w:val="18"/>
                <w:szCs w:val="18"/>
              </w:rPr>
              <w:t>份额</w:t>
            </w:r>
            <w:r>
              <w:rPr>
                <w:rFonts w:hint="eastAsia" w:cs="宋体"/>
                <w:b/>
                <w:bCs w:val="0"/>
                <w:sz w:val="18"/>
                <w:szCs w:val="18"/>
                <w:lang w:val="en-US" w:eastAsia="zh-CN"/>
              </w:rPr>
              <w:t>/E4</w:t>
            </w:r>
            <w:r>
              <w:rPr>
                <w:rFonts w:ascii="方正黑体_GBK" w:hAnsi="方正黑体_GBK" w:eastAsia="方正黑体_GBK" w:cs="宋体"/>
                <w:b/>
                <w:bCs w:val="0"/>
                <w:sz w:val="18"/>
                <w:szCs w:val="18"/>
              </w:rPr>
              <w:t>份额：申购/赎回确认日和产品实际到期时，当期产品投资的实际资产组合收益（扣除销售费、固定管理费、托管费等相关费用）超过3.55%（年化，即产品该份额对应的业绩报酬计提基准）时，超过部分管理人将按60%收取业绩报酬。</w:t>
            </w:r>
          </w:p>
          <w:p>
            <w:pPr>
              <w:spacing w:line="200" w:lineRule="exact"/>
              <w:rPr>
                <w:b/>
                <w:bCs w:val="0"/>
              </w:rPr>
            </w:pPr>
            <w:r>
              <w:rPr>
                <w:rFonts w:ascii="方正黑体_GBK" w:hAnsi="方正黑体_GBK" w:eastAsia="方正黑体_GBK" w:cs="宋体"/>
                <w:b/>
                <w:bCs w:val="0"/>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spacing w:line="200" w:lineRule="exact"/>
              <w:rPr>
                <w:b/>
                <w:bCs w:val="0"/>
              </w:rPr>
            </w:pPr>
            <w:r>
              <w:rPr>
                <w:rFonts w:ascii="方正黑体_GBK" w:hAnsi="方正黑体_GBK" w:eastAsia="方正黑体_GBK" w:cs="宋体"/>
                <w:b/>
                <w:bCs w:val="0"/>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spacing w:line="200" w:lineRule="exact"/>
              <w:rPr>
                <w:b/>
                <w:bCs w:val="0"/>
              </w:rPr>
            </w:pPr>
            <w:r>
              <w:rPr>
                <w:rFonts w:ascii="方正黑体_GBK" w:hAnsi="方正黑体_GBK" w:eastAsia="方正黑体_GBK" w:cs="宋体"/>
                <w:b/>
                <w:bCs w:val="0"/>
                <w:sz w:val="18"/>
                <w:szCs w:val="18"/>
              </w:rPr>
              <w:t>注：1.根据财政部《资产管理产品相关会计处理规定》（财会〔2022〕14号）“将当期发生的管理人报酬计入当期损益”的相关规定，本理财产品将每日计提暂估的业绩报酬（如有）。</w:t>
            </w:r>
          </w:p>
          <w:p>
            <w:pPr>
              <w:spacing w:line="200" w:lineRule="exact"/>
              <w:rPr>
                <w:b/>
                <w:bCs w:val="0"/>
              </w:rPr>
            </w:pPr>
            <w:r>
              <w:rPr>
                <w:rFonts w:ascii="方正黑体_GBK" w:hAnsi="方正黑体_GBK" w:eastAsia="方正黑体_GBK" w:cs="宋体"/>
                <w:b/>
                <w:bCs w:val="0"/>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spacing w:line="200" w:lineRule="exact"/>
              <w:rPr>
                <w:b/>
                <w:bCs w:val="0"/>
              </w:rPr>
            </w:pPr>
            <w:r>
              <w:rPr>
                <w:rFonts w:ascii="方正黑体_GBK" w:hAnsi="方正黑体_GBK" w:eastAsia="方正黑体_GBK" w:cs="宋体"/>
                <w:b/>
                <w:bCs w:val="0"/>
                <w:sz w:val="18"/>
                <w:szCs w:val="18"/>
              </w:rPr>
              <w:t>计算本区间业绩报酬的公式如下：</w:t>
            </w:r>
          </w:p>
          <w:p>
            <w:pPr>
              <w:spacing w:line="200" w:lineRule="exact"/>
              <w:rPr>
                <w:b/>
                <w:bCs w:val="0"/>
              </w:rPr>
            </w:pPr>
            <w:r>
              <w:rPr>
                <w:rFonts w:ascii="方正黑体_GBK" w:hAnsi="方正黑体_GBK" w:eastAsia="方正黑体_GBK" w:cs="宋体"/>
                <w:b/>
                <w:bCs w:val="0"/>
                <w:sz w:val="18"/>
                <w:szCs w:val="18"/>
              </w:rPr>
              <w:t>A={B-C*D*(1+E*F/365)}*G。</w:t>
            </w:r>
          </w:p>
          <w:p>
            <w:pPr>
              <w:widowControl/>
              <w:spacing w:line="200" w:lineRule="exact"/>
              <w:ind w:firstLine="300" w:firstLineChars="0"/>
              <w:jc w:val="left"/>
              <w:rPr>
                <w:rFonts w:hint="eastAsia" w:ascii="方正黑体_GBK" w:hAnsi="方正黑体_GBK" w:eastAsia="方正黑体_GBK" w:cs="方正黑体_GBK"/>
                <w:b w:val="0"/>
                <w:bCs w:val="0"/>
                <w:color w:val="000000"/>
                <w:kern w:val="0"/>
                <w:sz w:val="18"/>
                <w:szCs w:val="18"/>
              </w:rPr>
            </w:pPr>
            <w:r>
              <w:rPr>
                <w:rFonts w:ascii="方正黑体_GBK" w:hAnsi="方正黑体_GBK" w:eastAsia="方正黑体_GBK" w:cs="宋体"/>
                <w:b/>
                <w:bCs w:val="0"/>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c>
          <w:tcPr>
            <w:tcW w:w="1138" w:type="dxa"/>
            <w:vAlign w:val="center"/>
          </w:tcPr>
          <w:p>
            <w:pPr>
              <w:widowControl/>
              <w:spacing w:line="200" w:lineRule="exact"/>
              <w:ind w:firstLine="0" w:firstLineChars="0"/>
              <w:jc w:val="center"/>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2025年3月20日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4" w:type="dxa"/>
            <w:vAlign w:val="center"/>
          </w:tcPr>
          <w:p>
            <w:pPr>
              <w:spacing w:line="390" w:lineRule="exact"/>
              <w:jc w:val="center"/>
              <w:rPr>
                <w:rFonts w:hint="eastAsia" w:ascii="方正黑体_GBK" w:hAnsi="方正黑体_GBK" w:eastAsia="方正黑体_GBK" w:cs="方正黑体_GBK"/>
                <w:b w:val="0"/>
                <w:bCs w:val="0"/>
                <w:sz w:val="18"/>
                <w:szCs w:val="18"/>
                <w:lang w:val="en-US" w:eastAsia="zh-CN"/>
              </w:rPr>
            </w:pPr>
            <w:r>
              <w:rPr>
                <w:rFonts w:hint="eastAsia" w:ascii="方正黑体_GBK" w:hAnsi="方正黑体_GBK" w:eastAsia="方正黑体_GBK" w:cs="方正黑体_GBK"/>
                <w:sz w:val="18"/>
                <w:szCs w:val="18"/>
                <w:lang w:val="en-US" w:eastAsia="zh-CN"/>
              </w:rPr>
              <w:t>管理费、销售费、托管费计提基准</w:t>
            </w:r>
          </w:p>
        </w:tc>
        <w:tc>
          <w:tcPr>
            <w:tcW w:w="3817" w:type="dxa"/>
            <w:vAlign w:val="center"/>
          </w:tcPr>
          <w:p>
            <w:pPr>
              <w:widowControl/>
              <w:spacing w:line="200" w:lineRule="exact"/>
              <w:ind w:firstLine="0" w:firstLineChars="0"/>
              <w:jc w:val="center"/>
              <w:rPr>
                <w:rFonts w:hint="eastAsia" w:ascii="方正黑体_GBK" w:hAnsi="方正黑体_GBK" w:eastAsia="方正黑体_GBK" w:cs="方正黑体_GBK"/>
                <w:b w:val="0"/>
                <w:bCs w:val="0"/>
                <w:sz w:val="18"/>
                <w:szCs w:val="18"/>
              </w:rPr>
            </w:pPr>
            <w:r>
              <w:rPr>
                <w:rFonts w:hint="eastAsia" w:ascii="方正黑体_GBK" w:hAnsi="方正黑体_GBK" w:eastAsia="方正黑体_GBK" w:cs="方正黑体_GBK"/>
                <w:b w:val="0"/>
                <w:sz w:val="18"/>
                <w:szCs w:val="18"/>
                <w:lang w:eastAsia="zh-CN"/>
              </w:rPr>
              <w:t>当日理财产品份额</w:t>
            </w:r>
          </w:p>
        </w:tc>
        <w:tc>
          <w:tcPr>
            <w:tcW w:w="4690" w:type="dxa"/>
            <w:vAlign w:val="center"/>
          </w:tcPr>
          <w:p>
            <w:pPr>
              <w:widowControl/>
              <w:spacing w:line="200" w:lineRule="exact"/>
              <w:ind w:firstLine="300" w:firstLineChars="0"/>
              <w:jc w:val="center"/>
              <w:rPr>
                <w:rFonts w:hint="eastAsia" w:ascii="方正黑体_GBK" w:hAnsi="方正黑体_GBK" w:eastAsia="方正黑体_GBK" w:cs="方正黑体_GBK"/>
                <w:b w:val="0"/>
                <w:bCs w:val="0"/>
                <w:sz w:val="18"/>
                <w:szCs w:val="18"/>
              </w:rPr>
            </w:pPr>
            <w:r>
              <w:rPr>
                <w:rFonts w:hint="eastAsia" w:ascii="方正黑体_GBK" w:hAnsi="方正黑体_GBK" w:eastAsia="方正黑体_GBK" w:cs="方正黑体_GBK"/>
                <w:b w:val="0"/>
                <w:color w:val="000000"/>
                <w:kern w:val="0"/>
                <w:sz w:val="18"/>
                <w:szCs w:val="18"/>
              </w:rPr>
              <w:t>前一日理财产品资产净值</w:t>
            </w:r>
          </w:p>
        </w:tc>
        <w:tc>
          <w:tcPr>
            <w:tcW w:w="1138" w:type="dxa"/>
            <w:vAlign w:val="center"/>
          </w:tcPr>
          <w:p>
            <w:pPr>
              <w:widowControl/>
              <w:spacing w:line="200" w:lineRule="exact"/>
              <w:ind w:firstLine="0" w:firstLineChars="0"/>
              <w:jc w:val="center"/>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2025年3月21日</w:t>
            </w:r>
          </w:p>
        </w:tc>
      </w:tr>
    </w:tbl>
    <w:p>
      <w:pPr>
        <w:ind w:firstLine="420"/>
        <w:rPr>
          <w:rFonts w:hint="eastAsia" w:ascii="方正黑体_GBK" w:hAnsi="方正黑体_GBK" w:eastAsia="方正黑体_GBK" w:cs="方正黑体_GBK"/>
          <w:b w:val="0"/>
          <w:bCs w:val="0"/>
          <w:sz w:val="24"/>
        </w:rPr>
      </w:pPr>
      <w:r>
        <w:rPr>
          <w:rFonts w:hint="eastAsia" w:ascii="方正黑体_GBK" w:hAnsi="方正黑体_GBK" w:eastAsia="方正黑体_GBK" w:cs="方正黑体_GBK"/>
          <w:sz w:val="24"/>
          <w:szCs w:val="24"/>
        </w:rPr>
        <w:t>同时，本公司对理财产品销售文件进行了更新，更新后的理财产品销售文件详见</w:t>
      </w:r>
      <w:r>
        <w:rPr>
          <w:rFonts w:hint="eastAsia" w:ascii="方正黑体_GBK" w:hAnsi="方正黑体_GBK" w:eastAsia="方正黑体_GBK" w:cs="方正黑体_GBK"/>
          <w:sz w:val="24"/>
          <w:szCs w:val="24"/>
          <w:lang w:val="en-US" w:eastAsia="zh-CN"/>
        </w:rPr>
        <w:t>信息披露</w:t>
      </w:r>
      <w:r>
        <w:rPr>
          <w:rFonts w:hint="eastAsia" w:ascii="方正黑体_GBK" w:hAnsi="方正黑体_GBK" w:eastAsia="方正黑体_GBK" w:cs="方正黑体_GBK"/>
          <w:sz w:val="24"/>
          <w:szCs w:val="24"/>
        </w:rPr>
        <w:t>。</w:t>
      </w:r>
    </w:p>
    <w:p>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b/>
          <w:bCs/>
          <w:sz w:val="24"/>
        </w:rPr>
        <w:t>如您不同意上述调整，可于202</w:t>
      </w:r>
      <w:r>
        <w:rPr>
          <w:rFonts w:hint="eastAsia" w:ascii="方正黑体_GBK" w:hAnsi="方正黑体_GBK" w:eastAsia="方正黑体_GBK" w:cs="方正黑体_GBK"/>
          <w:b/>
          <w:bCs/>
          <w:sz w:val="24"/>
          <w:lang w:val="en-US" w:eastAsia="zh-CN"/>
        </w:rPr>
        <w:t>5</w:t>
      </w:r>
      <w:r>
        <w:rPr>
          <w:rFonts w:hint="eastAsia" w:ascii="方正黑体_GBK" w:hAnsi="方正黑体_GBK" w:eastAsia="方正黑体_GBK" w:cs="方正黑体_GBK"/>
          <w:b/>
          <w:bCs/>
          <w:sz w:val="24"/>
        </w:rPr>
        <w:t>年</w:t>
      </w:r>
      <w:r>
        <w:rPr>
          <w:rFonts w:hint="eastAsia" w:ascii="方正黑体_GBK" w:hAnsi="方正黑体_GBK" w:eastAsia="方正黑体_GBK" w:cs="方正黑体_GBK"/>
          <w:b/>
          <w:bCs/>
          <w:sz w:val="24"/>
          <w:lang w:val="en-US" w:eastAsia="zh-CN"/>
        </w:rPr>
        <w:t>3</w:t>
      </w:r>
      <w:r>
        <w:rPr>
          <w:rFonts w:hint="eastAsia" w:ascii="方正黑体_GBK" w:hAnsi="方正黑体_GBK" w:eastAsia="方正黑体_GBK" w:cs="方正黑体_GBK"/>
          <w:b/>
          <w:bCs/>
          <w:sz w:val="24"/>
        </w:rPr>
        <w:t>月</w:t>
      </w:r>
      <w:r>
        <w:rPr>
          <w:rFonts w:hint="eastAsia" w:ascii="方正黑体_GBK" w:hAnsi="方正黑体_GBK" w:eastAsia="方正黑体_GBK" w:cs="方正黑体_GBK"/>
          <w:b/>
          <w:bCs/>
          <w:sz w:val="24"/>
          <w:lang w:val="en-US" w:eastAsia="zh-CN"/>
        </w:rPr>
        <w:t>13</w:t>
      </w:r>
      <w:r>
        <w:rPr>
          <w:rFonts w:hint="eastAsia" w:ascii="方正黑体_GBK" w:hAnsi="方正黑体_GBK" w:eastAsia="方正黑体_GBK" w:cs="方正黑体_GBK"/>
          <w:b/>
          <w:bCs/>
          <w:sz w:val="24"/>
        </w:rPr>
        <w:t>日至202</w:t>
      </w:r>
      <w:r>
        <w:rPr>
          <w:rFonts w:hint="eastAsia" w:ascii="方正黑体_GBK" w:hAnsi="方正黑体_GBK" w:eastAsia="方正黑体_GBK" w:cs="方正黑体_GBK"/>
          <w:b/>
          <w:bCs/>
          <w:sz w:val="24"/>
          <w:lang w:val="en-US" w:eastAsia="zh-CN"/>
        </w:rPr>
        <w:t>5</w:t>
      </w:r>
      <w:r>
        <w:rPr>
          <w:rFonts w:hint="eastAsia" w:ascii="方正黑体_GBK" w:hAnsi="方正黑体_GBK" w:eastAsia="方正黑体_GBK" w:cs="方正黑体_GBK"/>
          <w:b/>
          <w:bCs/>
          <w:sz w:val="24"/>
        </w:rPr>
        <w:t>年</w:t>
      </w:r>
      <w:r>
        <w:rPr>
          <w:rFonts w:hint="eastAsia" w:ascii="方正黑体_GBK" w:hAnsi="方正黑体_GBK" w:eastAsia="方正黑体_GBK" w:cs="方正黑体_GBK"/>
          <w:b/>
          <w:bCs/>
          <w:sz w:val="24"/>
          <w:lang w:val="en-US" w:eastAsia="zh-CN"/>
        </w:rPr>
        <w:t>3</w:t>
      </w:r>
      <w:r>
        <w:rPr>
          <w:rFonts w:hint="eastAsia" w:ascii="方正黑体_GBK" w:hAnsi="方正黑体_GBK" w:eastAsia="方正黑体_GBK" w:cs="方正黑体_GBK"/>
          <w:b/>
          <w:bCs/>
          <w:sz w:val="24"/>
        </w:rPr>
        <w:t>月</w:t>
      </w:r>
      <w:r>
        <w:rPr>
          <w:rFonts w:hint="eastAsia" w:ascii="方正黑体_GBK" w:hAnsi="方正黑体_GBK" w:eastAsia="方正黑体_GBK" w:cs="方正黑体_GBK"/>
          <w:b/>
          <w:bCs/>
          <w:sz w:val="24"/>
          <w:lang w:val="en-US" w:eastAsia="zh-CN"/>
        </w:rPr>
        <w:t>19</w:t>
      </w:r>
      <w:r>
        <w:rPr>
          <w:rFonts w:hint="eastAsia" w:ascii="方正黑体_GBK" w:hAnsi="方正黑体_GBK" w:eastAsia="方正黑体_GBK" w:cs="方正黑体_GBK"/>
          <w:b/>
          <w:bCs/>
          <w:sz w:val="24"/>
        </w:rPr>
        <w:t>日（产品申购/赎回开放期期间）通过</w:t>
      </w:r>
      <w:r>
        <w:rPr>
          <w:rFonts w:hint="eastAsia" w:ascii="方正黑体_GBK" w:hAnsi="方正黑体_GBK" w:eastAsia="方正黑体_GBK" w:cs="方正黑体_GBK"/>
          <w:b/>
          <w:bCs/>
          <w:sz w:val="24"/>
          <w:lang w:eastAsia="zh-CN"/>
        </w:rPr>
        <w:t>销售</w:t>
      </w:r>
      <w:r>
        <w:rPr>
          <w:rFonts w:hint="eastAsia" w:ascii="方正黑体_GBK" w:hAnsi="方正黑体_GBK" w:eastAsia="方正黑体_GBK" w:cs="方正黑体_GBK"/>
          <w:b/>
          <w:bCs/>
          <w:sz w:val="24"/>
        </w:rPr>
        <w:t>机构向管理人申请赎回。</w:t>
      </w:r>
    </w:p>
    <w:p>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如您对本公告有任何疑问，可联系本理财产品</w:t>
      </w:r>
      <w:r>
        <w:rPr>
          <w:rFonts w:hint="eastAsia" w:ascii="方正黑体_GBK" w:hAnsi="方正黑体_GBK" w:eastAsia="方正黑体_GBK" w:cs="方正黑体_GBK"/>
          <w:sz w:val="24"/>
          <w:lang w:eastAsia="zh-CN"/>
        </w:rPr>
        <w:t>销售</w:t>
      </w:r>
      <w:r>
        <w:rPr>
          <w:rFonts w:hint="eastAsia" w:ascii="方正黑体_GBK" w:hAnsi="方正黑体_GBK" w:eastAsia="方正黑体_GBK" w:cs="方正黑体_GBK"/>
          <w:sz w:val="24"/>
        </w:rPr>
        <w:t>机构或本公司，</w:t>
      </w:r>
      <w:r>
        <w:rPr>
          <w:rFonts w:hint="eastAsia" w:ascii="方正黑体_GBK" w:hAnsi="方正黑体_GBK" w:eastAsia="方正黑体_GBK" w:cs="方正黑体_GBK"/>
          <w:sz w:val="24"/>
          <w:lang w:eastAsia="zh-CN"/>
        </w:rPr>
        <w:t>我们</w:t>
      </w:r>
      <w:r>
        <w:rPr>
          <w:rFonts w:hint="eastAsia" w:ascii="方正黑体_GBK" w:hAnsi="方正黑体_GBK" w:eastAsia="方正黑体_GBK" w:cs="方正黑体_GBK"/>
          <w:sz w:val="24"/>
        </w:rPr>
        <w:t>将竭诚为您服务。</w:t>
      </w:r>
    </w:p>
    <w:p>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感谢您一直以来的支持与信赖！</w:t>
      </w:r>
    </w:p>
    <w:p>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特此公告。</w:t>
      </w:r>
    </w:p>
    <w:p>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南银理财有限责任公司</w:t>
      </w:r>
    </w:p>
    <w:p>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202</w:t>
      </w:r>
      <w:r>
        <w:rPr>
          <w:rFonts w:hint="eastAsia" w:ascii="方正黑体_GBK" w:hAnsi="方正黑体_GBK" w:eastAsia="方正黑体_GBK" w:cs="方正黑体_GBK"/>
          <w:sz w:val="24"/>
          <w:lang w:val="en-US" w:eastAsia="zh-CN"/>
        </w:rPr>
        <w:t>5</w:t>
      </w:r>
      <w:r>
        <w:rPr>
          <w:rFonts w:hint="eastAsia" w:ascii="方正黑体_GBK" w:hAnsi="方正黑体_GBK" w:eastAsia="方正黑体_GBK" w:cs="方正黑体_GBK"/>
          <w:sz w:val="24"/>
        </w:rPr>
        <w:t>年</w:t>
      </w:r>
      <w:r>
        <w:rPr>
          <w:rFonts w:hint="eastAsia" w:ascii="方正黑体_GBK" w:hAnsi="方正黑体_GBK" w:eastAsia="方正黑体_GBK" w:cs="方正黑体_GBK"/>
          <w:sz w:val="24"/>
          <w:lang w:val="en-US" w:eastAsia="zh-CN"/>
        </w:rPr>
        <w:t>3</w:t>
      </w:r>
      <w:r>
        <w:rPr>
          <w:rFonts w:hint="eastAsia" w:ascii="方正黑体_GBK" w:hAnsi="方正黑体_GBK" w:eastAsia="方正黑体_GBK" w:cs="方正黑体_GBK"/>
          <w:sz w:val="24"/>
        </w:rPr>
        <w:t>月</w:t>
      </w:r>
      <w:r>
        <w:rPr>
          <w:rFonts w:hint="eastAsia" w:ascii="方正黑体_GBK" w:hAnsi="方正黑体_GBK" w:eastAsia="方正黑体_GBK" w:cs="方正黑体_GBK"/>
          <w:sz w:val="24"/>
          <w:lang w:val="en-US" w:eastAsia="zh-CN"/>
        </w:rPr>
        <w:t>10</w:t>
      </w:r>
      <w:r>
        <w:rPr>
          <w:rFonts w:hint="eastAsia" w:ascii="方正黑体_GBK" w:hAnsi="方正黑体_GBK" w:eastAsia="方正黑体_GBK" w:cs="方正黑体_GBK"/>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1ZGZjZGI0NDAxNWRlYTU1MDQzODcxYWQzMWNkMWYifQ=="/>
  </w:docVars>
  <w:rsids>
    <w:rsidRoot w:val="00172A27"/>
    <w:rsid w:val="000B116D"/>
    <w:rsid w:val="000D47C0"/>
    <w:rsid w:val="0010350A"/>
    <w:rsid w:val="00141B77"/>
    <w:rsid w:val="00143E93"/>
    <w:rsid w:val="002E06B8"/>
    <w:rsid w:val="00345495"/>
    <w:rsid w:val="004E61C2"/>
    <w:rsid w:val="00520B4F"/>
    <w:rsid w:val="00540312"/>
    <w:rsid w:val="005B2E63"/>
    <w:rsid w:val="00614091"/>
    <w:rsid w:val="00693870"/>
    <w:rsid w:val="006956DE"/>
    <w:rsid w:val="00716EE2"/>
    <w:rsid w:val="007A3BC2"/>
    <w:rsid w:val="007C15E8"/>
    <w:rsid w:val="00815684"/>
    <w:rsid w:val="00817A74"/>
    <w:rsid w:val="008255F5"/>
    <w:rsid w:val="0084156F"/>
    <w:rsid w:val="00914515"/>
    <w:rsid w:val="00991242"/>
    <w:rsid w:val="009C5DC2"/>
    <w:rsid w:val="009E1FBB"/>
    <w:rsid w:val="00AE5399"/>
    <w:rsid w:val="00B25C46"/>
    <w:rsid w:val="00B45E07"/>
    <w:rsid w:val="00C032B8"/>
    <w:rsid w:val="00C63875"/>
    <w:rsid w:val="00CE22FD"/>
    <w:rsid w:val="00CE5832"/>
    <w:rsid w:val="00CF6344"/>
    <w:rsid w:val="00D46835"/>
    <w:rsid w:val="00D920FD"/>
    <w:rsid w:val="00DA7481"/>
    <w:rsid w:val="00E22FB5"/>
    <w:rsid w:val="00E25963"/>
    <w:rsid w:val="00E305D5"/>
    <w:rsid w:val="00E63108"/>
    <w:rsid w:val="00EB61C7"/>
    <w:rsid w:val="00F5371B"/>
    <w:rsid w:val="02BA798C"/>
    <w:rsid w:val="035B6E9D"/>
    <w:rsid w:val="03CC00C8"/>
    <w:rsid w:val="045A1585"/>
    <w:rsid w:val="0494370D"/>
    <w:rsid w:val="05482502"/>
    <w:rsid w:val="06424EFE"/>
    <w:rsid w:val="065344DE"/>
    <w:rsid w:val="08495703"/>
    <w:rsid w:val="09511669"/>
    <w:rsid w:val="0A1151B4"/>
    <w:rsid w:val="0B4F505C"/>
    <w:rsid w:val="0D8B2109"/>
    <w:rsid w:val="0E8D7052"/>
    <w:rsid w:val="0F7365E1"/>
    <w:rsid w:val="11185866"/>
    <w:rsid w:val="11195352"/>
    <w:rsid w:val="11286567"/>
    <w:rsid w:val="12C644CE"/>
    <w:rsid w:val="12ED368B"/>
    <w:rsid w:val="12FA4589"/>
    <w:rsid w:val="13A10F7E"/>
    <w:rsid w:val="14400082"/>
    <w:rsid w:val="14B956E3"/>
    <w:rsid w:val="14DF3057"/>
    <w:rsid w:val="151D2EB9"/>
    <w:rsid w:val="16AE1548"/>
    <w:rsid w:val="17E0430D"/>
    <w:rsid w:val="185B0B3B"/>
    <w:rsid w:val="194D300E"/>
    <w:rsid w:val="19651057"/>
    <w:rsid w:val="1AD52585"/>
    <w:rsid w:val="1B2672F4"/>
    <w:rsid w:val="1C9E0F0F"/>
    <w:rsid w:val="1CE329C9"/>
    <w:rsid w:val="1CF06C6A"/>
    <w:rsid w:val="1D6848BB"/>
    <w:rsid w:val="1E717D67"/>
    <w:rsid w:val="1E773BCA"/>
    <w:rsid w:val="1EBD399D"/>
    <w:rsid w:val="1F6934C3"/>
    <w:rsid w:val="1FA55D69"/>
    <w:rsid w:val="2077191A"/>
    <w:rsid w:val="217660FF"/>
    <w:rsid w:val="22155872"/>
    <w:rsid w:val="233B1B71"/>
    <w:rsid w:val="237C6A67"/>
    <w:rsid w:val="239E214F"/>
    <w:rsid w:val="244D5031"/>
    <w:rsid w:val="24BB40A7"/>
    <w:rsid w:val="24BB79C6"/>
    <w:rsid w:val="257F09F3"/>
    <w:rsid w:val="26404A45"/>
    <w:rsid w:val="269D79D3"/>
    <w:rsid w:val="273A72C8"/>
    <w:rsid w:val="288A56D2"/>
    <w:rsid w:val="28A569C3"/>
    <w:rsid w:val="2AF819D9"/>
    <w:rsid w:val="2B0943F8"/>
    <w:rsid w:val="2B2C5E79"/>
    <w:rsid w:val="2BAE284C"/>
    <w:rsid w:val="2BC35330"/>
    <w:rsid w:val="2CE37ABA"/>
    <w:rsid w:val="2E7472D1"/>
    <w:rsid w:val="2F082384"/>
    <w:rsid w:val="2F394997"/>
    <w:rsid w:val="307B1078"/>
    <w:rsid w:val="3213175B"/>
    <w:rsid w:val="360F7DFC"/>
    <w:rsid w:val="363E586D"/>
    <w:rsid w:val="37726E1F"/>
    <w:rsid w:val="38575800"/>
    <w:rsid w:val="395A49DF"/>
    <w:rsid w:val="39B06F76"/>
    <w:rsid w:val="39B1266A"/>
    <w:rsid w:val="3AFF6A34"/>
    <w:rsid w:val="3B276116"/>
    <w:rsid w:val="3C220113"/>
    <w:rsid w:val="3C281CA8"/>
    <w:rsid w:val="3C5D1AF8"/>
    <w:rsid w:val="3D7967DF"/>
    <w:rsid w:val="3E1F46CA"/>
    <w:rsid w:val="3F0E0C7B"/>
    <w:rsid w:val="3F1D378B"/>
    <w:rsid w:val="3FC03D34"/>
    <w:rsid w:val="405A1CAC"/>
    <w:rsid w:val="4069216E"/>
    <w:rsid w:val="40B97058"/>
    <w:rsid w:val="410C0110"/>
    <w:rsid w:val="43282273"/>
    <w:rsid w:val="438E2EF2"/>
    <w:rsid w:val="43EC32A0"/>
    <w:rsid w:val="44511A9E"/>
    <w:rsid w:val="445913F0"/>
    <w:rsid w:val="452D6470"/>
    <w:rsid w:val="4552760B"/>
    <w:rsid w:val="45FB5A1D"/>
    <w:rsid w:val="465855EA"/>
    <w:rsid w:val="466900D1"/>
    <w:rsid w:val="46BD5FFF"/>
    <w:rsid w:val="46D7548F"/>
    <w:rsid w:val="46F53F15"/>
    <w:rsid w:val="491164B3"/>
    <w:rsid w:val="4A077ABF"/>
    <w:rsid w:val="4A1A0AFD"/>
    <w:rsid w:val="4A424182"/>
    <w:rsid w:val="4ACD4267"/>
    <w:rsid w:val="4AE6615C"/>
    <w:rsid w:val="4B226EFD"/>
    <w:rsid w:val="4B385C6F"/>
    <w:rsid w:val="4C11776F"/>
    <w:rsid w:val="4D4D5B4E"/>
    <w:rsid w:val="4E15569D"/>
    <w:rsid w:val="4F0673A2"/>
    <w:rsid w:val="508E6A13"/>
    <w:rsid w:val="50B650C6"/>
    <w:rsid w:val="514800FA"/>
    <w:rsid w:val="527033B8"/>
    <w:rsid w:val="531D1627"/>
    <w:rsid w:val="561C52E6"/>
    <w:rsid w:val="56C500AD"/>
    <w:rsid w:val="58262DCD"/>
    <w:rsid w:val="58FF407B"/>
    <w:rsid w:val="597C07CB"/>
    <w:rsid w:val="5A0B433F"/>
    <w:rsid w:val="5A9658BC"/>
    <w:rsid w:val="5A9A1225"/>
    <w:rsid w:val="5B063EB2"/>
    <w:rsid w:val="5B1E7D3C"/>
    <w:rsid w:val="5BB35481"/>
    <w:rsid w:val="5CA644DC"/>
    <w:rsid w:val="5D0426E7"/>
    <w:rsid w:val="5D0E3E30"/>
    <w:rsid w:val="5D107103"/>
    <w:rsid w:val="5D284EF1"/>
    <w:rsid w:val="5D2D762B"/>
    <w:rsid w:val="5D7A33E9"/>
    <w:rsid w:val="5D7C523D"/>
    <w:rsid w:val="5D982C98"/>
    <w:rsid w:val="5DFB460D"/>
    <w:rsid w:val="5E575A76"/>
    <w:rsid w:val="5E791A8D"/>
    <w:rsid w:val="5E892620"/>
    <w:rsid w:val="600A5E38"/>
    <w:rsid w:val="60341DFF"/>
    <w:rsid w:val="60BB607C"/>
    <w:rsid w:val="611F7D37"/>
    <w:rsid w:val="61241E74"/>
    <w:rsid w:val="61655731"/>
    <w:rsid w:val="62213976"/>
    <w:rsid w:val="638C3D00"/>
    <w:rsid w:val="63A05FEA"/>
    <w:rsid w:val="64C913FB"/>
    <w:rsid w:val="65ED0068"/>
    <w:rsid w:val="66B95B6F"/>
    <w:rsid w:val="66F86621"/>
    <w:rsid w:val="69B93A27"/>
    <w:rsid w:val="69E06836"/>
    <w:rsid w:val="6A4946F9"/>
    <w:rsid w:val="6ADC39BE"/>
    <w:rsid w:val="6B4060BF"/>
    <w:rsid w:val="6B7658B3"/>
    <w:rsid w:val="6BCB670E"/>
    <w:rsid w:val="6BDA7CFF"/>
    <w:rsid w:val="6C055395"/>
    <w:rsid w:val="6CB121FC"/>
    <w:rsid w:val="6CFE7A1D"/>
    <w:rsid w:val="6DF224AA"/>
    <w:rsid w:val="6F4D4C8B"/>
    <w:rsid w:val="6FA80114"/>
    <w:rsid w:val="6FE11AF9"/>
    <w:rsid w:val="70A72179"/>
    <w:rsid w:val="712D3F3C"/>
    <w:rsid w:val="718C1A9B"/>
    <w:rsid w:val="71CE6BA6"/>
    <w:rsid w:val="727E02EB"/>
    <w:rsid w:val="72A61A86"/>
    <w:rsid w:val="73D74382"/>
    <w:rsid w:val="73FD3121"/>
    <w:rsid w:val="746E50FE"/>
    <w:rsid w:val="75231B84"/>
    <w:rsid w:val="75322959"/>
    <w:rsid w:val="759538FB"/>
    <w:rsid w:val="771542E1"/>
    <w:rsid w:val="774150D6"/>
    <w:rsid w:val="776E7761"/>
    <w:rsid w:val="778E5E41"/>
    <w:rsid w:val="786100F9"/>
    <w:rsid w:val="79147CC5"/>
    <w:rsid w:val="79892A75"/>
    <w:rsid w:val="79E731AE"/>
    <w:rsid w:val="7AAB2866"/>
    <w:rsid w:val="7B1B79EC"/>
    <w:rsid w:val="7B664A27"/>
    <w:rsid w:val="7BD06A28"/>
    <w:rsid w:val="7BF75125"/>
    <w:rsid w:val="7C013085"/>
    <w:rsid w:val="7C55517F"/>
    <w:rsid w:val="7C58393C"/>
    <w:rsid w:val="7D1F2D8B"/>
    <w:rsid w:val="7DF34C50"/>
    <w:rsid w:val="7E7323DB"/>
    <w:rsid w:val="7ECE1F2B"/>
    <w:rsid w:val="7F8411E4"/>
    <w:rsid w:val="7F8A34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alloon Text"/>
    <w:basedOn w:val="1"/>
    <w:link w:val="13"/>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2" w:beforeLines="0" w:after="102" w:afterLines="0" w:line="1099" w:lineRule="atLeast"/>
      <w:ind w:firstLine="419"/>
      <w:jc w:val="left"/>
      <w:textAlignment w:val="baseline"/>
    </w:pPr>
    <w:rPr>
      <w:color w:val="000000"/>
      <w:kern w:val="0"/>
      <w:sz w:val="24"/>
      <w:u w:val="none" w:color="00000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0"/>
    <w:rPr>
      <w:kern w:val="2"/>
      <w:sz w:val="18"/>
      <w:szCs w:val="18"/>
    </w:rPr>
  </w:style>
  <w:style w:type="character" w:customStyle="1" w:styleId="13">
    <w:name w:val="批注框文本 Char"/>
    <w:basedOn w:val="9"/>
    <w:link w:val="3"/>
    <w:qFormat/>
    <w:uiPriority w:val="0"/>
    <w:rPr>
      <w:kern w:val="2"/>
      <w:sz w:val="18"/>
      <w:szCs w:val="18"/>
    </w:rPr>
  </w:style>
  <w:style w:type="paragraph" w:customStyle="1" w:styleId="14">
    <w:name w:val="Revision"/>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5">
    <w:name w:val="Default Paragraph Fontc9ada1cfc9ada1cf"/>
    <w:basedOn w:val="9"/>
    <w:qFormat/>
    <w:uiPriority w:val="0"/>
  </w:style>
  <w:style w:type="character" w:customStyle="1" w:styleId="16">
    <w:name w:val="Default Paragraph Font7a581fdf7a581fdf"/>
    <w:basedOn w:val="9"/>
    <w:qFormat/>
    <w:uiPriority w:val="0"/>
  </w:style>
  <w:style w:type="character" w:customStyle="1" w:styleId="17">
    <w:name w:val="Default Paragraph Fontb8f33b81b8f33b81"/>
    <w:basedOn w:val="9"/>
    <w:qFormat/>
    <w:uiPriority w:val="0"/>
  </w:style>
  <w:style w:type="character" w:customStyle="1" w:styleId="18">
    <w:name w:val="Default Paragraph Font555b080d555b080d"/>
    <w:basedOn w:val="9"/>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3653</Words>
  <Characters>4182</Characters>
  <Lines>16</Lines>
  <Paragraphs>4</Paragraphs>
  <TotalTime>16</TotalTime>
  <ScaleCrop>false</ScaleCrop>
  <LinksUpToDate>false</LinksUpToDate>
  <CharactersWithSpaces>4187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2022-06-13T10:07:00Z</dcterms:created>
  <dc:creator>钱哲贤</dc:creator>
  <cp:lastModifiedBy>高冬星</cp:lastModifiedBy>
  <cp:lastPrinted>2022-07-06T07:45:00Z</cp:lastPrinted>
  <dcterms:modified xsi:type="dcterms:W3CDTF">2025-03-10T09:46:12Z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74706A12816C4CEC834E0B9010105107_13</vt:lpwstr>
  </property>
</Properties>
</file>