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b079bf5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b079bf5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b079bf5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196天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b079bf5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b079bf5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b079bf5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b079bf5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b079bf5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b079bf5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b079bf5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b079bf59"/>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b49e3e14"/>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b49e3e14"/>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45ec88b2"/>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南银理财珠联璧合鑫逸稳半年112期封闭式公募人民币理财产品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ZZ700322400674</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Z7003225000029(投资者可依据该编码在中国理财网www.chinawealth.com.cn查询理财产品相关信息）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A份额：Y70112</w:t>
            </w:r>
          </w:p>
          <w:p>
            <w:pPr>
              <w:pStyle w:val="null10"/>
              <w:spacing w:lineRule="exact" w:line="200"/>
            </w:pPr>
            <w:r>
              <w:rPr>
                <w:rFonts w:ascii="方正黑体_GBK" w:hAnsi="方正黑体_GBK" w:cs="宋体" w:eastAsia="方正黑体_GBK"/>
                <w:sz w:val="18"/>
                <w:szCs w:val="18"/>
              </w:rPr>
              <w:t>B份额：Y71112</w:t>
            </w:r>
          </w:p>
          <w:p>
            <w:pPr>
              <w:pStyle w:val="null10"/>
              <w:spacing w:lineRule="exact" w:line="200"/>
            </w:pPr>
            <w:r>
              <w:rPr>
                <w:rFonts w:ascii="方正黑体_GBK" w:hAnsi="方正黑体_GBK" w:cs="宋体" w:eastAsia="方正黑体_GBK"/>
                <w:sz w:val="18"/>
                <w:szCs w:val="18"/>
              </w:rPr>
              <w:t>C份额：Y72112</w:t>
            </w:r>
          </w:p>
          <w:p>
            <w:pPr>
              <w:pStyle w:val="null10"/>
              <w:spacing w:lineRule="exact" w:line="200"/>
            </w:pPr>
            <w:r>
              <w:rPr>
                <w:rFonts w:ascii="方正黑体_GBK" w:hAnsi="方正黑体_GBK" w:cs="宋体" w:eastAsia="方正黑体_GBK"/>
                <w:sz w:val="18"/>
                <w:szCs w:val="18"/>
              </w:rPr>
              <w:t>D份额：Y73112</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 新客或新资金或代发客户)、徽商银行股份有限公司、杭州银行股份有限公司(大众客群)、温州银行股份有限公司、浙江民泰商业银行股份有限公司、广州银行股份有限公司、江苏苏州农村商业银行股份有限公司、齐鲁银行股份有限公司( 政务服务中心支行开业专享)、甘肃银行股份有限公司、天津农村商业银行股份有限公司( 滨海分行专属)、云南红塔银行股份有限公司、桂林银行股份有限公司( 常规客户)、宁波通商银行股份有限公司( 零售客群)、兴业银行股份有限公司、江苏镇江农村商业银行股份有限公司( 20万元起购)、江苏如皋农村商业银行股份有限公司(代发客户 )、江苏金湖农村商业银行股份有限公司( 收单商户专享)。</w:t>
            </w:r>
          </w:p>
          <w:p>
            <w:pPr>
              <w:pStyle w:val="null10"/>
              <w:spacing w:lineRule="exact" w:line="200"/>
            </w:pPr>
            <w:r>
              <w:rPr>
                <w:rFonts w:ascii="方正黑体_GBK" w:hAnsi="方正黑体_GBK" w:cs="宋体" w:eastAsia="方正黑体_GBK"/>
                <w:sz w:val="18"/>
                <w:szCs w:val="18"/>
              </w:rPr>
              <w:t>C份额：杭州银行股份有限公司( 私行客群)、日照银行股份有限公司、天津农村商业银行股份有限公司( 军人客户)、山西银行股份有限公司( 30万元起购)、兰州银行股份有限公司、桂林银行股份有限公司( 特供客户)、宁波通商银行股份有限公司( 专项客群)、江苏泰兴农村商业银行股份有限公司、江苏靖江农村商业银行股份有限公司、江苏兴化农村商业银行股份有限公司、江苏镇江农村商业银行股份有限公司( 100万元起购)、江苏紫金农村商业银行股份有限公司( 起点金额30万元以)、江苏金湖农村商业银行股份有限公司( 社保卡客户专享)、江苏如东农村商业银行股份有限公司。</w:t>
            </w:r>
          </w:p>
          <w:p>
            <w:pPr>
              <w:pStyle w:val="null10"/>
              <w:spacing w:lineRule="exact" w:line="200"/>
            </w:pPr>
            <w:r>
              <w:rPr>
                <w:rFonts w:ascii="方正黑体_GBK" w:hAnsi="方正黑体_GBK" w:cs="宋体" w:eastAsia="方正黑体_GBK"/>
                <w:sz w:val="18"/>
                <w:szCs w:val="18"/>
              </w:rPr>
              <w:t>D份额：宁波通商银行股份有限公司（对公客群）。</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2025年02月12日 09:00—2025年02月18日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2025年02月19日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2025年02月19日—实际到期日（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2025年09月03日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信托贷款：资产类型为信托公司设立的资金信托计划，底层资产为蚂蚁及信托公司双重审核、信托公司自主风控后发放的“花呗”消费授信付款资产，消费场景包含线上网购、线下实体店、O2O、航旅、缴费、公共出行等众多领域，资产到期日不超过理财产品到期日。</w:t>
            </w:r>
          </w:p>
          <w:p>
            <w:pPr>
              <w:pStyle w:val="null10"/>
              <w:spacing w:lineRule="exact" w:line="200"/>
            </w:pPr>
            <w:r>
              <w:rPr>
                <w:rFonts w:ascii="方正黑体_GBK" w:hAnsi="方正黑体_GBK" w:cs="宋体" w:eastAsia="方正黑体_GBK"/>
                <w:sz w:val="18"/>
                <w:szCs w:val="18"/>
              </w:rPr>
              <w:t>2、信托贷款：资产类型为信托公司设立的资金信托计划，底层资产为抖音及信托公司双重审核、信托公司自主风控后发放的“月付”个人消费贷款债权，消费场景以线上购物为主，资产到期日不超过理财产品到期日。</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抖音及信托公司双重审核、信托公司自主风控后发放的“月付”个人消费贷款债权，消费场景以线上购物为主，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A份额：业绩比较基准为2.38%(年化)。</w:t>
            </w:r>
          </w:p>
          <w:p>
            <w:pPr>
              <w:pStyle w:val="null10"/>
              <w:spacing w:lineRule="exact" w:line="200"/>
            </w:pPr>
            <w:r>
              <w:rPr>
                <w:rFonts w:ascii="方正黑体_GBK" w:hAnsi="方正黑体_GBK" w:cs="宋体" w:eastAsia="方正黑体_GBK"/>
                <w:sz w:val="18"/>
                <w:szCs w:val="18"/>
              </w:rPr>
              <w:t>B份额：业绩比较基准为2.48%(年化)。</w:t>
            </w:r>
          </w:p>
          <w:p>
            <w:pPr>
              <w:pStyle w:val="null10"/>
              <w:spacing w:lineRule="exact" w:line="200"/>
            </w:pPr>
            <w:r>
              <w:rPr>
                <w:rFonts w:ascii="方正黑体_GBK" w:hAnsi="方正黑体_GBK" w:cs="宋体" w:eastAsia="方正黑体_GBK"/>
                <w:sz w:val="18"/>
                <w:szCs w:val="18"/>
              </w:rPr>
              <w:t>C份额：业绩比较基准为2.58%(年化)。</w:t>
            </w:r>
          </w:p>
          <w:p>
            <w:pPr>
              <w:pStyle w:val="null10"/>
              <w:spacing w:lineRule="exact" w:line="200"/>
            </w:pPr>
            <w:r>
              <w:rPr>
                <w:rFonts w:ascii="方正黑体_GBK" w:hAnsi="方正黑体_GBK" w:cs="宋体" w:eastAsia="方正黑体_GBK"/>
                <w:sz w:val="18"/>
                <w:szCs w:val="18"/>
              </w:rPr>
              <w:t>D份额：业绩比较基准为2.68%(年化)。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A份额：固定管理费年化0.18%</w:t>
            </w:r>
          </w:p>
          <w:p>
            <w:pPr>
              <w:pStyle w:val="null10"/>
              <w:spacing w:lineRule="exact" w:line="200"/>
            </w:pPr>
            <w:r>
              <w:rPr>
                <w:rFonts w:ascii="方正黑体_GBK" w:hAnsi="方正黑体_GBK" w:cs="宋体" w:eastAsia="方正黑体_GBK"/>
                <w:sz w:val="18"/>
                <w:b/>
                <w:szCs w:val="18"/>
              </w:rPr>
              <w:t>B份额：固定管理费年化0.13%</w:t>
            </w:r>
          </w:p>
          <w:p>
            <w:pPr>
              <w:pStyle w:val="null10"/>
              <w:spacing w:lineRule="exact" w:line="200"/>
            </w:pPr>
            <w:r>
              <w:rPr>
                <w:rFonts w:ascii="方正黑体_GBK" w:hAnsi="方正黑体_GBK" w:cs="宋体" w:eastAsia="方正黑体_GBK"/>
                <w:sz w:val="18"/>
                <w:b/>
                <w:szCs w:val="18"/>
              </w:rPr>
              <w:t>C份额：固定管理费年化0.13%</w:t>
            </w:r>
          </w:p>
          <w:p>
            <w:pPr>
              <w:pStyle w:val="null10"/>
              <w:spacing w:lineRule="exact" w:line="200"/>
            </w:pPr>
            <w:r>
              <w:rPr>
                <w:rFonts w:ascii="方正黑体_GBK" w:hAnsi="方正黑体_GBK" w:cs="宋体" w:eastAsia="方正黑体_GBK"/>
                <w:sz w:val="18"/>
                <w:b/>
                <w:szCs w:val="18"/>
              </w:rPr>
              <w:t>D份额：固定管理费年化0.08%</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A份额：到期兑付时，当期产品投资的实际资产组合收益（扣除销售费、固定管理费、托管费等相关费用）超过2.38%（年化，即产品该份额对应的业绩报酬计提基准）时，超过部分管理人将按60%收取业绩报酬。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B份额：到期兑付时，当期产品投资的实际资产组合收益（扣除销售费、固定管理费、托管费等相关费用）超过2.48%（年化，即产品该份额对应的业绩报酬计提基准）时，超过部分管理人将按60%收取业绩报酬。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C份额：到期兑付时，当期产品投资的实际资产组合收益（扣除销售费、固定管理费、托管费等相关费用）超过2.58%（年化，即产品该份额对应的业绩报酬计提基准）时，超过部分管理人将按60%收取业绩报酬。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D份额：到期兑付时，当期产品投资的实际资产组合收益（扣除销售费、固定管理费、托管费等相关费用）超过2.68%（年化，即产品该份额对应的业绩报酬计提基准）时，超过部分管理人将按60%收取业绩报酬。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青岛银行股份有限公司、杭州银行股份有限公司、江苏常熟农村商业银行股份有限公司、江苏苏州农村商业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富邦华一银行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乌鲁木齐银行股份有限公司、徽商银行股份有限公司、河北银行股份有限公司、江苏姜堰农村商业银行股份有限公司、山西银行股份有限公司、江苏如东农村商业银行股份有限公司、北京银行股份有限公司、兰州银行股份有限公司、江苏沛县农村商业银行股份有限公司、潍坊银行股份有限公司、交通银行股份有限公司、甘肃银行股份有限公司、浙江民泰商业银行股份有限公司、江苏仪征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鑫国际信托有限公司、建信保险资产管理有限公司、江苏省国际信托有限责任公司、交银国际信托有限公司、平安资产管理有限责任公司、太平洋资产管理有限责任公司、太平资产管理有限公司、中国人保资产管理有限公司、中粮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鑫国际信托有限公司、建信保险资产管理有限公司、江苏省国际信托有限责任公司、交银国际信托有限公司、中粮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b49e3e14"/>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ac294a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ac294a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ac294a8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ac294a8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ac294a8e"/>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ac294a8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ac294a8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ac294a8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ac294a8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ac294a8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ac294a8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ac294a8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ac294a8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ac294a8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ac294a8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ac294a8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ac294a8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ac294a8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ac294a8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ac294a8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ac294a8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ac294a8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ac294a8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ac294a8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ac294a8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ac294a8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ac294a8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ac294a8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ac294a8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ac294a8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ac294a8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ac294a8e"/>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南银理财珠联璧合鑫逸稳半年112期封闭式公募人民币理财产品</w:t>
      </w:r>
      <w:r>
        <w:rPr>
          <w:rFonts w:ascii="方正黑体_GBK" w:eastAsia="方正黑体_GBK" w:hint="eastAsia" w:hAnsi="方正黑体_GBK"/>
          <w:vanish w:val="0"/>
          <w:color w:val="3D3D3D"/>
          <w:kern w:val="0"/>
          <w:sz w:val="15"/>
          <w:szCs w:val="15"/>
        </w:rPr>
        <w:t>。</w:t>
      </w:r>
    </w:p>
    <w:p>
      <w:pPr>
        <w:pStyle w:val="ac294a8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ac294a8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ac294a8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ac294a8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ac294a8e"/>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ac294a8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ac294a8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ac294a8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ac294a8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ac294a8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ac294a8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ac294a8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ac294a8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ac294a8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ac294a8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ac294a8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ac294a8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ac294a8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ac294a8e"/>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f20b820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f20b820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f20b820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f20b820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f20b820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f20b820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ac294a8e"/>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ac294a8e"/>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ac294a8e"/>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b49e3e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b49e3e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f20b8203"/>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b49e3e14"/>
        <w:keepNext w:val="0"/>
        <w:keepLines w:val="0"/>
        <w:pageBreakBefore w:val="0"/>
        <w:widowControl/>
        <w:suppressLineNumbers w:val="0"/>
        <w:suppressAutoHyphens w:val="0"/>
        <w:spacing w:line="200" w:lineRule="exact"/>
        <w:ind w:firstLineChars="200" w:firstLine="300"/>
        <w:rPr>
          <w:rStyle w:val="f20b8203"/>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b49e3e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20"/>
      </w:pPr>
      <w:r>
        <w:rPr>
          <w:rFonts w:ascii="方正黑体_GBK" w:hAnsi="方正黑体_GBK" w:cs="宋体" w:eastAsia="方正黑体_GBK"/>
          <w:sz w:val="15"/>
          <w:szCs w:val="20"/>
        </w:rPr>
        <w:t>估值方法中列示的资产品种不代表管理人的实际投向，本理财产品拟投资范围以“投资范围”章节描述为准。</w:t>
      </w:r>
    </w:p>
    <w:p>
      <w:pPr>
        <w:pStyle w:val="null10"/>
        <w:spacing w:lineRule="exact" w:line="200"/>
        <w:ind w:firstLine="420"/>
      </w:pPr>
      <w:r>
        <w:rPr>
          <w:rFonts w:ascii="方正黑体_GBK" w:hAnsi="方正黑体_GBK" w:cs="宋体" w:eastAsia="方正黑体_GBK"/>
          <w:sz w:val="15"/>
          <w:szCs w:val="20"/>
        </w:rPr>
        <w:t>1.银行存款、回购等货币市场工具</w:t>
      </w:r>
    </w:p>
    <w:p>
      <w:pPr>
        <w:pStyle w:val="null10"/>
        <w:spacing w:lineRule="exact" w:line="200"/>
        <w:ind w:firstLine="420"/>
      </w:pPr>
      <w:r>
        <w:rPr>
          <w:rFonts w:ascii="方正黑体_GBK" w:hAnsi="方正黑体_GBK" w:cs="宋体" w:eastAsia="方正黑体_GBK"/>
          <w:sz w:val="15"/>
          <w:szCs w:val="20"/>
        </w:rPr>
        <w:t>以本金列示，逐日计提利息。</w:t>
      </w:r>
    </w:p>
    <w:p>
      <w:pPr>
        <w:pStyle w:val="null10"/>
        <w:spacing w:lineRule="exact" w:line="200"/>
        <w:ind w:firstLine="420"/>
      </w:pPr>
      <w:r>
        <w:rPr>
          <w:rFonts w:ascii="方正黑体_GBK" w:hAnsi="方正黑体_GBK" w:cs="宋体" w:eastAsia="方正黑体_GBK"/>
          <w:sz w:val="15"/>
          <w:szCs w:val="20"/>
        </w:rPr>
        <w:t>2.债券类资产</w:t>
      </w:r>
    </w:p>
    <w:p>
      <w:pPr>
        <w:pStyle w:val="null10"/>
        <w:spacing w:lineRule="exact" w:line="200"/>
        <w:ind w:firstLine="420"/>
      </w:pPr>
      <w:r>
        <w:rPr>
          <w:rFonts w:ascii="方正黑体_GBK" w:hAnsi="方正黑体_GBK" w:cs="宋体" w:eastAsia="方正黑体_GBK"/>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3.非标准化债权类资产</w:t>
      </w:r>
    </w:p>
    <w:p>
      <w:pPr>
        <w:pStyle w:val="null10"/>
        <w:spacing w:lineRule="exact" w:line="200"/>
        <w:ind w:firstLine="420"/>
      </w:pPr>
      <w:r>
        <w:rPr>
          <w:rFonts w:ascii="方正黑体_GBK" w:hAnsi="方正黑体_GBK" w:cs="宋体" w:eastAsia="方正黑体_GBK"/>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4.证券投资基金、资管计划、信托计划等资产</w:t>
      </w:r>
    </w:p>
    <w:p>
      <w:pPr>
        <w:pStyle w:val="null10"/>
        <w:spacing w:lineRule="exact" w:line="200"/>
        <w:ind w:firstLine="420"/>
      </w:pPr>
      <w:r>
        <w:rPr>
          <w:rFonts w:ascii="方正黑体_GBK" w:hAnsi="方正黑体_GBK" w:cs="宋体" w:eastAsia="方正黑体_GBK"/>
          <w:sz w:val="15"/>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20"/>
      </w:pPr>
      <w:r>
        <w:rPr>
          <w:rFonts w:ascii="方正黑体_GBK" w:hAnsi="方正黑体_GBK" w:cs="宋体" w:eastAsia="方正黑体_GBK"/>
          <w:sz w:val="15"/>
          <w:szCs w:val="20"/>
        </w:rPr>
        <w:t>5.股权类及其他资产</w:t>
      </w:r>
    </w:p>
    <w:p>
      <w:pPr>
        <w:pStyle w:val="null10"/>
        <w:spacing w:lineRule="exact" w:line="200"/>
        <w:ind w:firstLine="420"/>
      </w:pPr>
      <w:r>
        <w:rPr>
          <w:rFonts w:ascii="方正黑体_GBK" w:hAnsi="方正黑体_GBK" w:cs="宋体" w:eastAsia="方正黑体_GBK"/>
          <w:sz w:val="15"/>
          <w:szCs w:val="20"/>
        </w:rPr>
        <w:t>按照公允价值估值，优先采用市值法估值。</w:t>
      </w:r>
    </w:p>
    <w:p>
      <w:pPr>
        <w:pStyle w:val="null10"/>
        <w:spacing w:lineRule="exact" w:line="200"/>
      </w:pPr>
      <w:r>
        <w:rPr>
          <w:rFonts w:ascii="方正黑体_GBK" w:hAnsi="方正黑体_GBK" w:cs="宋体" w:eastAsia="方正黑体_GBK"/>
          <w:sz w:val="15"/>
          <w:szCs w:val="20"/>
        </w:rPr>
        <w:t xml:space="preserve">  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b49e3e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b49e3e14"/>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b49e3e14"/>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b49e3e1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b49e3e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b49e3e1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b49e3e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b49e3e1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b49e3e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b49e3e1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b49e3e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b49e3e1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b49e3e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b49e3e1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b49e3e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b49e3e1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b49e3e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b49e3e1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b49e3e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b49e3e1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b49e3e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b49e3e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b49e3e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b49e3e14"/>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b49e3e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b49e3e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b49e3e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b49e3e14"/>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b49e3e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b49e3e14"/>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b49e3e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b49e3e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b49e3e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b49e3e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b49e3e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b49e3e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b49e3e14"/>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2"/>
  </w:num>
  <w:num w:numId="3">
    <w:abstractNumId w:val="4"/>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b079bf59">
    <w:name w:val="Normalb079bf59"/>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2b03211d">
    <w:name w:val="heading 12b03211d"/>
    <w:basedOn w:val="b079bf59"/>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a5f7950">
    <w:name w:val="heading 20a5f7950"/>
    <w:basedOn w:val="b079bf59"/>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9007b265">
    <w:name w:val="heading 39007b265"/>
    <w:basedOn w:val="b079bf59"/>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b73c73cd">
    <w:name w:val="Default Paragraph Fontb73c73cd"/>
  </w:style>
  <w:style xmlns:r="http://schemas.openxmlformats.org/officeDocument/2006/relationships" w:type="paragraph" w:styleId="2d546364">
    <w:name w:val="toc 12d546364"/>
    <w:basedOn w:val="b079bf59"/>
    <w:autoRedefine/>
    <w:next w:val="0"/>
  </w:style>
  <w:style xmlns:r="http://schemas.openxmlformats.org/officeDocument/2006/relationships" w:type="paragraph" w:styleId="6679f98b">
    <w:name w:val="toc 26679f98b"/>
    <w:basedOn w:val="b079bf59"/>
    <w:autoRedefine/>
    <w:next w:val="0"/>
    <w:pPr>
      <w:ind w:left="420"/>
    </w:pPr>
  </w:style>
  <w:style xmlns:r="http://schemas.openxmlformats.org/officeDocument/2006/relationships" w:type="paragraph" w:styleId="569f89a3">
    <w:name w:val="toc 3569f89a3"/>
    <w:basedOn w:val="b079bf59"/>
    <w:autoRedefine/>
    <w:next w:val="0"/>
    <w:pPr>
      <w:ind w:left="840"/>
    </w:pPr>
  </w:style>
  <w:style xmlns:r="http://schemas.openxmlformats.org/officeDocument/2006/relationships" w:type="paragraph" w:styleId="3528c749">
    <w:name w:val="toc 43528c749"/>
    <w:basedOn w:val="b079bf59"/>
    <w:autoRedefine/>
    <w:next w:val="0"/>
    <w:pPr>
      <w:ind w:left="1260"/>
    </w:pPr>
  </w:style>
  <w:style xmlns:r="http://schemas.openxmlformats.org/officeDocument/2006/relationships" w:type="paragraph" w:styleId="641d3403">
    <w:name w:val="toc 5641d3403"/>
    <w:basedOn w:val="b079bf59"/>
    <w:autoRedefine/>
    <w:next w:val="0"/>
    <w:pPr>
      <w:ind w:left="1680"/>
    </w:pPr>
  </w:style>
  <w:style xmlns:r="http://schemas.openxmlformats.org/officeDocument/2006/relationships" w:type="paragraph" w:styleId="4c183fe3">
    <w:name w:val="header4c183fe3"/>
    <w:basedOn w:val="b079bf59"/>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41476d3">
    <w:name w:val="footerd41476d3"/>
    <w:basedOn w:val="b079bf59"/>
    <w:pPr>
      <w:tabs>
        <w:tab w:val="center" w:pos="4153"/>
        <w:tab w:val="right" w:pos="8307"/>
      </w:tabs>
      <w:adjustRightInd/>
      <w:snapToGrid w:val="0"/>
      <w:contextualSpacing w:val="0"/>
      <w:jc w:val="left"/>
    </w:pPr>
    <w:rPr>
      <w:sz w:val="18"/>
    </w:rPr>
  </w:style>
  <w:style xmlns:r="http://schemas.openxmlformats.org/officeDocument/2006/relationships" w:type="character" w:styleId="9828f577">
    <w:name w:val="Strong9828f577"/>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b49e3e14">
    <w:name w:val="Normalb49e3e14"/>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d06f83f6">
    <w:name w:val="heading 1d06f83f6"/>
    <w:basedOn w:val="b49e3e1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866452c3">
    <w:name w:val="heading 2866452c3"/>
    <w:basedOn w:val="b49e3e1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d43ab1c1">
    <w:name w:val="heading 3d43ab1c1"/>
    <w:basedOn w:val="b49e3e1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44aef80">
    <w:name w:val="Default Paragraph Font644aef80"/>
  </w:style>
  <w:style xmlns:r="http://schemas.openxmlformats.org/officeDocument/2006/relationships" w:type="paragraph" w:styleId="a632bc84">
    <w:name w:val="Normal Indenta632bc84"/>
    <w:basedOn w:val="b49e3e14"/>
    <w:pPr>
      <w:ind w:firstLineChars="200" w:firstLine="200"/>
    </w:pPr>
  </w:style>
  <w:style xmlns:r="http://schemas.openxmlformats.org/officeDocument/2006/relationships" w:type="paragraph" w:styleId="d36c9f25">
    <w:name w:val="toc 5d36c9f25"/>
    <w:basedOn w:val="b49e3e14"/>
    <w:next w:val="0"/>
    <w:pPr>
      <w:ind w:left="1680"/>
    </w:pPr>
  </w:style>
  <w:style xmlns:r="http://schemas.openxmlformats.org/officeDocument/2006/relationships" w:type="paragraph" w:styleId="eb3eab36">
    <w:name w:val="toc 3eb3eab36"/>
    <w:basedOn w:val="b49e3e14"/>
    <w:next w:val="0"/>
    <w:pPr>
      <w:ind w:left="840"/>
    </w:pPr>
  </w:style>
  <w:style xmlns:r="http://schemas.openxmlformats.org/officeDocument/2006/relationships" w:type="paragraph" w:styleId="6bf3b5ac">
    <w:name w:val="footer6bf3b5ac"/>
    <w:basedOn w:val="b49e3e14"/>
    <w:pPr>
      <w:tabs>
        <w:tab w:val="center" w:pos="4153"/>
        <w:tab w:val="right" w:pos="8307"/>
      </w:tabs>
      <w:adjustRightInd/>
      <w:snapToGrid w:val="0"/>
      <w:contextualSpacing w:val="0"/>
      <w:jc w:val="left"/>
    </w:pPr>
    <w:rPr>
      <w:sz w:val="18"/>
    </w:rPr>
  </w:style>
  <w:style xmlns:r="http://schemas.openxmlformats.org/officeDocument/2006/relationships" w:type="paragraph" w:styleId="6b63f6c4">
    <w:name w:val="header6b63f6c4"/>
    <w:basedOn w:val="b49e3e1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ed72c89">
    <w:name w:val="toc 1ced72c89"/>
    <w:basedOn w:val="b49e3e14"/>
    <w:next w:val="0"/>
  </w:style>
  <w:style xmlns:r="http://schemas.openxmlformats.org/officeDocument/2006/relationships" w:type="paragraph" w:styleId="6e034f94">
    <w:name w:val="toc 46e034f94"/>
    <w:basedOn w:val="b49e3e14"/>
    <w:next w:val="0"/>
    <w:pPr>
      <w:ind w:left="1260"/>
    </w:pPr>
  </w:style>
  <w:style xmlns:r="http://schemas.openxmlformats.org/officeDocument/2006/relationships" w:type="paragraph" w:styleId="7fb2399a">
    <w:name w:val="toc 27fb2399a"/>
    <w:basedOn w:val="b49e3e14"/>
    <w:next w:val="0"/>
    <w:pPr>
      <w:ind w:left="420"/>
    </w:pPr>
  </w:style>
  <w:style xmlns:r="http://schemas.openxmlformats.org/officeDocument/2006/relationships" w:type="paragraph" w:styleId="45ec88b2">
    <w:name w:val="Normal (Web)45ec88b2"/>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ac294a8e">
    <w:name w:val="Normalac294a8eac294a8e"/>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e6b81f7e">
    <w:name w:val="heading 1e6b81f7ee6b81f7e"/>
    <w:basedOn w:val="ac294a8e"/>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50bfcdc">
    <w:name w:val="heading 2150bfcdc150bfcdc"/>
    <w:basedOn w:val="ac294a8e"/>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954d0ea0">
    <w:name w:val="heading 3954d0ea0954d0ea0"/>
    <w:basedOn w:val="ac294a8e"/>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137a25bc">
    <w:name w:val="Default Paragraph Font137a25bc137a25bc"/>
  </w:style>
  <w:style xmlns:r="http://schemas.openxmlformats.org/officeDocument/2006/relationships" w:type="paragraph" w:customStyle="1" w:styleId="b31a1de5">
    <w:name w:val="引文目录1b31a1de5b31a1de5"/>
    <w:basedOn w:val="ac294a8e"/>
    <w:next w:val="0"/>
    <w:pPr>
      <w:ind w:leftChars="200" w:left="200"/>
    </w:pPr>
  </w:style>
  <w:style xmlns:r="http://schemas.openxmlformats.org/officeDocument/2006/relationships" w:type="paragraph" w:styleId="45d462c2">
    <w:name w:val="toc 545d462c245d462c2"/>
    <w:basedOn w:val="ac294a8e"/>
    <w:next w:val="0"/>
    <w:pPr>
      <w:ind w:left="1680"/>
    </w:pPr>
  </w:style>
  <w:style xmlns:r="http://schemas.openxmlformats.org/officeDocument/2006/relationships" w:type="paragraph" w:styleId="3061356b">
    <w:name w:val="toc 33061356b3061356b"/>
    <w:basedOn w:val="ac294a8e"/>
    <w:next w:val="0"/>
    <w:pPr>
      <w:ind w:left="840"/>
    </w:pPr>
  </w:style>
  <w:style xmlns:r="http://schemas.openxmlformats.org/officeDocument/2006/relationships" w:type="paragraph" w:styleId="a1a4dedd">
    <w:name w:val="footera1a4dedda1a4dedd"/>
    <w:basedOn w:val="ac294a8e"/>
    <w:pPr>
      <w:tabs>
        <w:tab w:val="center" w:pos="4153"/>
        <w:tab w:val="right" w:pos="8307"/>
      </w:tabs>
      <w:adjustRightInd/>
      <w:snapToGrid w:val="0"/>
      <w:contextualSpacing w:val="0"/>
      <w:jc w:val="left"/>
    </w:pPr>
    <w:rPr>
      <w:sz w:val="18"/>
    </w:rPr>
  </w:style>
  <w:style xmlns:r="http://schemas.openxmlformats.org/officeDocument/2006/relationships" w:type="paragraph" w:styleId="c24b2a1e">
    <w:name w:val="headerc24b2a1ec24b2a1e"/>
    <w:basedOn w:val="ac294a8e"/>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8e54deb3">
    <w:name w:val="toc 18e54deb38e54deb3"/>
    <w:basedOn w:val="ac294a8e"/>
    <w:next w:val="0"/>
  </w:style>
  <w:style xmlns:r="http://schemas.openxmlformats.org/officeDocument/2006/relationships" w:type="paragraph" w:styleId="a320a794">
    <w:name w:val="toc 4a320a794a320a794"/>
    <w:basedOn w:val="ac294a8e"/>
    <w:next w:val="0"/>
    <w:pPr>
      <w:ind w:left="1260"/>
    </w:pPr>
  </w:style>
  <w:style xmlns:r="http://schemas.openxmlformats.org/officeDocument/2006/relationships" w:type="paragraph" w:styleId="0e3d5a66">
    <w:name w:val="toc 20e3d5a660e3d5a66"/>
    <w:basedOn w:val="ac294a8e"/>
    <w:next w:val="0"/>
    <w:pPr>
      <w:ind w:left="420"/>
    </w:pPr>
  </w:style>
  <w:style xmlns:r="http://schemas.openxmlformats.org/officeDocument/2006/relationships" w:type="paragraph" w:customStyle="1" w:styleId="f20b8203">
    <w:name w:val="列出段落1f20b8203f20b8203"/>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