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db0eb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db0eb6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ab7c0d8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ab7c0d8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7df194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南银理财珠联璧合鑫逸稳一年204期封闭式公募人民币理财产品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ZZ700322400677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Z7003225000035(投资者可依据该编码在中国理财网www.chinawealth.com.cn查询理财产品相关信息）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A份额：Y30204</w:t>
            </w:r>
          </w:p>
          <w:p>
            <w:pPr>
              <w:pStyle w:val="null10"/>
              <w:spacing w:lineRule="exact" w:line="200"/>
            </w:pPr>
            <w:r>
              <w:rPr>
                <w:rFonts w:ascii="方正黑体_GBK" w:hAnsi="方正黑体_GBK" w:cs="宋体" w:eastAsia="方正黑体_GBK"/>
                <w:sz w:val="18"/>
                <w:szCs w:val="18"/>
              </w:rPr>
              <w:t>B份额：Y31204</w:t>
            </w:r>
          </w:p>
          <w:p>
            <w:pPr>
              <w:pStyle w:val="null10"/>
              <w:spacing w:lineRule="exact" w:line="200"/>
            </w:pPr>
            <w:r>
              <w:rPr>
                <w:rFonts w:ascii="方正黑体_GBK" w:hAnsi="方正黑体_GBK" w:cs="宋体" w:eastAsia="方正黑体_GBK"/>
                <w:sz w:val="18"/>
                <w:szCs w:val="18"/>
              </w:rPr>
              <w:t>C份额：Y32204</w:t>
            </w:r>
          </w:p>
          <w:p>
            <w:pPr>
              <w:pStyle w:val="null10"/>
              <w:spacing w:lineRule="exact" w:line="200"/>
            </w:pPr>
            <w:r>
              <w:rPr>
                <w:rFonts w:ascii="方正黑体_GBK" w:hAnsi="方正黑体_GBK" w:cs="宋体" w:eastAsia="方正黑体_GBK"/>
                <w:sz w:val="18"/>
                <w:szCs w:val="18"/>
              </w:rPr>
              <w:t>D份额：Y33204</w:t>
            </w:r>
          </w:p>
          <w:p>
            <w:pPr>
              <w:pStyle w:val="null10"/>
              <w:spacing w:lineRule="exact" w:line="200"/>
            </w:pPr>
            <w:r>
              <w:rPr>
                <w:rFonts w:ascii="方正黑体_GBK" w:hAnsi="方正黑体_GBK" w:cs="宋体" w:eastAsia="方正黑体_GBK"/>
                <w:sz w:val="18"/>
                <w:szCs w:val="18"/>
              </w:rPr>
              <w:t>E份额：Y34204</w:t>
            </w:r>
          </w:p>
          <w:p>
            <w:pPr>
              <w:pStyle w:val="null10"/>
              <w:spacing w:lineRule="exact" w:line="200"/>
            </w:pPr>
            <w:r>
              <w:rPr>
                <w:rFonts w:ascii="方正黑体_GBK" w:hAnsi="方正黑体_GBK" w:cs="宋体" w:eastAsia="方正黑体_GBK"/>
                <w:sz w:val="18"/>
                <w:szCs w:val="18"/>
              </w:rPr>
              <w:t>F份额：Y35204</w:t>
            </w:r>
          </w:p>
          <w:p>
            <w:pPr>
              <w:pStyle w:val="null10"/>
              <w:spacing w:lineRule="exact" w:line="200"/>
            </w:pPr>
            <w:r>
              <w:rPr>
                <w:rFonts w:ascii="方正黑体_GBK" w:hAnsi="方正黑体_GBK" w:cs="宋体" w:eastAsia="方正黑体_GBK"/>
                <w:sz w:val="18"/>
                <w:szCs w:val="18"/>
              </w:rPr>
              <w:t>G份额：Y36204</w:t>
            </w:r>
          </w:p>
          <w:p>
            <w:pPr>
              <w:pStyle w:val="null10"/>
              <w:spacing w:lineRule="exact" w:line="200"/>
            </w:pPr>
            <w:r>
              <w:rPr>
                <w:rFonts w:ascii="方正黑体_GBK" w:hAnsi="方正黑体_GBK" w:cs="宋体" w:eastAsia="方正黑体_GBK"/>
                <w:sz w:val="18"/>
                <w:szCs w:val="18"/>
              </w:rPr>
              <w:t>I份额：Y38204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A份额：除B、C、D、E、F、G、I份额以外的所有客户（详见“销售机构”条款）。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 新客或新资金或代发客户)、徽商银行股份有限公司、杭州银行股份有限公司( 大众客户)、温州银行股份有限公司、河北银行股份有限公司( 大众客户)、广州银行股份有限公司、苏州银行股份有限公司( 大众客户)、宁波东海银行股份有限公司( 1元起购客户)、齐鲁银行股份有限公司( 政务服务中心支行开业专享)、甘肃银行股份有限公司、天津农村商业银行股份有限公司( 滨海分行专属)、云南红塔银行股份有限公司、廊坊银行股份有限公司、东营银行股份有限公司、富邦华一银行有限公司、江苏南通农村商业银行股份有限公司( 大众客户)、江苏镇江农村商业银行股份有限公司( 20万元起购)、江苏如皋农村商业银行股份有限公司( 代发客户)、枣庄银行股份有限公司。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私行客户)、汉口银行股份有限公司、郑州银行股份有限公司、苏州银行股份有限公司( 公司客户)、天津农村商业银行股份有限公司( 军人客户)、宁波通商银行股份有限公司、江苏泰兴农村商业银行股份有限公司、江苏靖江农村商业银行股份有限公司、江苏南通农村商业银行股份有限公司( 代发客户)、江苏镇江农村商业银行股份有限公司( 100万元起购)、江苏紫金农村商业银行股份有限公司( 起点金额30万元以上)、江苏如东农村商业银行股份有限公司。</w:t>
            </w:r>
          </w:p>
          <w:p>
            <w:pPr>
              <w:pStyle w:val="null10"/>
              <w:spacing w:lineRule="exact" w:line="200"/>
            </w:pPr>
            <w:r>
              <w:rPr>
                <w:rFonts w:ascii="方正黑体_GBK" w:hAnsi="方正黑体_GBK" w:cs="宋体" w:eastAsia="方正黑体_GBK"/>
                <w:sz w:val="18"/>
                <w:szCs w:val="18"/>
              </w:rPr>
              <w:t>D份额：江苏兴化农村商业银行股份有限公司。</w:t>
            </w:r>
          </w:p>
          <w:p>
            <w:pPr>
              <w:pStyle w:val="null10"/>
              <w:spacing w:lineRule="exact" w:line="200"/>
            </w:pPr>
            <w:r>
              <w:rPr>
                <w:rFonts w:ascii="方正黑体_GBK" w:hAnsi="方正黑体_GBK" w:cs="宋体" w:eastAsia="方正黑体_GBK"/>
                <w:sz w:val="18"/>
                <w:szCs w:val="18"/>
              </w:rPr>
              <w:t>E份额：兰州银行股份有限公司。</w:t>
            </w:r>
          </w:p>
          <w:p>
            <w:pPr>
              <w:pStyle w:val="null10"/>
              <w:spacing w:lineRule="exact" w:line="200"/>
            </w:pPr>
            <w:r>
              <w:rPr>
                <w:rFonts w:ascii="方正黑体_GBK" w:hAnsi="方正黑体_GBK" w:cs="宋体" w:eastAsia="方正黑体_GBK"/>
                <w:sz w:val="18"/>
                <w:szCs w:val="18"/>
              </w:rPr>
              <w:t>F份额：兴业银行股份有限公司（全体客户）。</w:t>
            </w:r>
          </w:p>
          <w:p>
            <w:pPr>
              <w:pStyle w:val="null10"/>
              <w:spacing w:lineRule="exact" w:line="200"/>
            </w:pPr>
            <w:r>
              <w:rPr>
                <w:rFonts w:ascii="方正黑体_GBK" w:hAnsi="方正黑体_GBK" w:cs="宋体" w:eastAsia="方正黑体_GBK"/>
                <w:sz w:val="18"/>
                <w:szCs w:val="18"/>
              </w:rPr>
              <w:t>G份额：兴业银行股份有限公司（新客户），指兴业银行认定的新客户，认定标准以兴业银行为准。</w:t>
            </w:r>
          </w:p>
          <w:p>
            <w:pPr>
              <w:pStyle w:val="null10"/>
              <w:spacing w:lineRule="exact" w:line="200"/>
            </w:pPr>
            <w:r>
              <w:rPr>
                <w:rFonts w:ascii="方正黑体_GBK" w:hAnsi="方正黑体_GBK" w:cs="宋体" w:eastAsia="方正黑体_GBK"/>
                <w:sz w:val="18"/>
                <w:szCs w:val="18"/>
              </w:rPr>
              <w:t>I份额：鑫福款，江苏省内农商行指定客户。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A份额/B份额/C份额/D份额/E份额/F份额/G份额/I份额：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A份额/B份额/C份额/D份额/E份额/F份额/G份额/I份额：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2025年02月12日 09:00—2025年02月18日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2025年02月19日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2025年02月19日—实际到期日（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2026年03月25日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信托贷款：资产类型为信托公司设立的资金信托计划，底层资产为蚂蚁及信托公司双重审核、信托公司自主风控后发放的“花呗”消费授信付款资产，消费场景包含线上网购、线下实体店、O2O、航旅、缴费、公共出行等众多领域，资产到期日不超过理财产品到期日。</w:t>
            </w:r>
          </w:p>
          <w:p>
            <w:pPr>
              <w:pStyle w:val="null10"/>
              <w:spacing w:lineRule="exact" w:line="200"/>
            </w:pPr>
            <w:r>
              <w:rPr>
                <w:rFonts w:ascii="方正黑体_GBK" w:hAnsi="方正黑体_GBK" w:cs="宋体" w:eastAsia="方正黑体_GBK"/>
                <w:sz w:val="18"/>
                <w:szCs w:val="18"/>
              </w:rPr>
              <w:t>2、信托贷款：资产类型为信托公司设立的资金信托计划，底层资产为抖音及信托公司双重审核、信托公司自主风控后发放的“月付”个人消费贷款债权，消费场景以线上购物为主，资产到期日不超过理财产品到期日。</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抖音及信托公司双重审核、信托公司自主风控后发放的“月付”个人消费贷款债权，消费场景以线上购物为主，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A份额：业绩比较基准为年化2.7%-3.2% 。</w:t>
            </w:r>
          </w:p>
          <w:p>
            <w:pPr>
              <w:pStyle w:val="null10"/>
              <w:spacing w:lineRule="exact" w:line="200"/>
            </w:pPr>
            <w:r>
              <w:rPr>
                <w:rFonts w:ascii="方正黑体_GBK" w:hAnsi="方正黑体_GBK" w:cs="宋体" w:eastAsia="方正黑体_GBK"/>
                <w:sz w:val="18"/>
                <w:szCs w:val="18"/>
              </w:rPr>
              <w:t>B份额：业绩比较基准为年化2.8%-3.3% 。</w:t>
            </w:r>
          </w:p>
          <w:p>
            <w:pPr>
              <w:pStyle w:val="null10"/>
              <w:spacing w:lineRule="exact" w:line="200"/>
            </w:pPr>
            <w:r>
              <w:rPr>
                <w:rFonts w:ascii="方正黑体_GBK" w:hAnsi="方正黑体_GBK" w:cs="宋体" w:eastAsia="方正黑体_GBK"/>
                <w:sz w:val="18"/>
                <w:szCs w:val="18"/>
              </w:rPr>
              <w:t>C份额：业绩比较基准为年化2.9%-3.4% 。</w:t>
            </w:r>
          </w:p>
          <w:p>
            <w:pPr>
              <w:pStyle w:val="null10"/>
              <w:spacing w:lineRule="exact" w:line="200"/>
            </w:pPr>
            <w:r>
              <w:rPr>
                <w:rFonts w:ascii="方正黑体_GBK" w:hAnsi="方正黑体_GBK" w:cs="宋体" w:eastAsia="方正黑体_GBK"/>
                <w:sz w:val="18"/>
                <w:szCs w:val="18"/>
              </w:rPr>
              <w:t>D份额：业绩比较基准为年化3%-3.5% 。</w:t>
            </w:r>
          </w:p>
          <w:p>
            <w:pPr>
              <w:pStyle w:val="null10"/>
              <w:spacing w:lineRule="exact" w:line="200"/>
            </w:pPr>
            <w:r>
              <w:rPr>
                <w:rFonts w:ascii="方正黑体_GBK" w:hAnsi="方正黑体_GBK" w:cs="宋体" w:eastAsia="方正黑体_GBK"/>
                <w:sz w:val="18"/>
                <w:szCs w:val="18"/>
              </w:rPr>
              <w:t>E份额：业绩比较基准为年化2.9%-3.4% 。</w:t>
            </w:r>
          </w:p>
          <w:p>
            <w:pPr>
              <w:pStyle w:val="null10"/>
              <w:spacing w:lineRule="exact" w:line="200"/>
            </w:pPr>
            <w:r>
              <w:rPr>
                <w:rFonts w:ascii="方正黑体_GBK" w:hAnsi="方正黑体_GBK" w:cs="宋体" w:eastAsia="方正黑体_GBK"/>
                <w:sz w:val="18"/>
                <w:szCs w:val="18"/>
              </w:rPr>
              <w:t>F份额：业绩比较基准为年化2.8%-3.3% 。</w:t>
            </w:r>
          </w:p>
          <w:p>
            <w:pPr>
              <w:pStyle w:val="null10"/>
              <w:spacing w:lineRule="exact" w:line="200"/>
            </w:pPr>
            <w:r>
              <w:rPr>
                <w:rFonts w:ascii="方正黑体_GBK" w:hAnsi="方正黑体_GBK" w:cs="宋体" w:eastAsia="方正黑体_GBK"/>
                <w:sz w:val="18"/>
                <w:szCs w:val="18"/>
              </w:rPr>
              <w:t>G份额：业绩比较基准为年化2.9%-3.4% 。</w:t>
            </w:r>
          </w:p>
          <w:p>
            <w:pPr>
              <w:pStyle w:val="null10"/>
              <w:spacing w:lineRule="exact" w:line="200"/>
            </w:pPr>
            <w:r>
              <w:rPr>
                <w:rFonts w:ascii="方正黑体_GBK" w:hAnsi="方正黑体_GBK" w:cs="宋体" w:eastAsia="方正黑体_GBK"/>
                <w:sz w:val="18"/>
                <w:szCs w:val="18"/>
              </w:rPr>
              <w:t>I份额：业绩比较基准为年化2.85%-3.35%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I份额：销售费年化0.1%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I份额：固定管理费年化0.2%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3%（含）（年化，即产品该份额对应的业绩报酬计提基准）至3.5%（不含）之间的部分，管理人将按超过3%部分的50%收取业绩报酬；在3.5%（含）（年化，即产品该份额对应的业绩报酬计提基准）以上的部分，管理人将按超过3.5%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pPr>
              <w:pStyle w:val="null10"/>
              <w:spacing w:lineRule="exact" w:line="200"/>
            </w:pPr>
            <w:r>
              <w:rPr>
                <w:rFonts w:ascii="方正黑体_GBK" w:hAnsi="方正黑体_GBK" w:cs="宋体" w:eastAsia="方正黑体_GBK"/>
                <w:sz w:val="18"/>
                <w:b/>
                <w:szCs w:val="18"/>
              </w:rPr>
              <w:t>I份额：到期兑付时，当期产品投资的实际资产组合收益（扣除销售费、固定管理费、托管费等相关费用）在2.85%（含）（年化，即产品该份额对应的业绩报酬计提基准）至3.35%（不含）之间的部分，管理人将按超过2.85%部分的50%收取业绩报酬；在3.35%（含）（年化，即产品该份额对应的业绩报酬计提基准）以上的部分，管理人将按超过3.35%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ab7c0d8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6bc4a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6bc4ab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6bc4ab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6bc4ab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6bc4ab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6bc4ab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6bc4ab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6bc4ab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南银理财珠联璧合鑫逸稳一年204期封闭式公募人民币理财产品</w:t>
      </w:r>
      <w:r>
        <w:rPr>
          <w:rFonts w:ascii="方正黑体_GBK" w:eastAsia="方正黑体_GBK" w:hint="eastAsia" w:hAnsi="方正黑体_GBK"/>
          <w:vanish w:val="0"/>
          <w:color w:val="3D3D3D"/>
          <w:kern w:val="0"/>
          <w:sz w:val="15"/>
          <w:szCs w:val="15"/>
        </w:rPr>
        <w:t>。</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6bc4ab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6bc4ab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6bc4ab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6bc4ab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f2bc68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f2bc68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f2bc68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f2bc68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f2bc68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f2bc68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6bc4ab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6bc4ab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6bc4ab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f2bc68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ab7c0d87"/>
        <w:keepNext w:val="0"/>
        <w:keepLines w:val="0"/>
        <w:pageBreakBefore w:val="0"/>
        <w:widowControl/>
        <w:suppressLineNumbers w:val="0"/>
        <w:suppressAutoHyphens w:val="0"/>
        <w:spacing w:line="200" w:lineRule="exact"/>
        <w:ind w:firstLineChars="200" w:firstLine="300"/>
        <w:rPr>
          <w:rStyle w:val="0f2bc68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pPr>
      <w:r>
        <w:rPr>
          <w:rFonts w:ascii="方正黑体_GBK" w:hAnsi="方正黑体_GBK" w:cs="宋体" w:eastAsia="方正黑体_GBK"/>
          <w:sz w:val="15"/>
          <w:szCs w:val="20"/>
        </w:rPr>
        <w:t xml:space="preserve">  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ab7c0d8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ab7c0d8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ab7c0d8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ab7c0d8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ab7c0d8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ab7c0d8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ab7c0d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ab7c0d8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db0eb6d">
    <w:name w:val="Normal8db0eb6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20b73e2">
    <w:name w:val="heading 1a20b73e2"/>
    <w:basedOn w:val="8db0eb6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96b3d08">
    <w:name w:val="heading 2a96b3d08"/>
    <w:basedOn w:val="8db0eb6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00b824f">
    <w:name w:val="heading 3700b824f"/>
    <w:basedOn w:val="8db0eb6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5808c2a">
    <w:name w:val="Default Paragraph Font95808c2a"/>
  </w:style>
  <w:style xmlns:r="http://schemas.openxmlformats.org/officeDocument/2006/relationships" w:type="paragraph" w:styleId="6f24bdff">
    <w:name w:val="toc 16f24bdff"/>
    <w:basedOn w:val="8db0eb6d"/>
    <w:autoRedefine/>
    <w:next w:val="0"/>
  </w:style>
  <w:style xmlns:r="http://schemas.openxmlformats.org/officeDocument/2006/relationships" w:type="paragraph" w:styleId="c48de4d1">
    <w:name w:val="toc 2c48de4d1"/>
    <w:basedOn w:val="8db0eb6d"/>
    <w:autoRedefine/>
    <w:next w:val="0"/>
    <w:pPr>
      <w:ind w:left="420"/>
    </w:pPr>
  </w:style>
  <w:style xmlns:r="http://schemas.openxmlformats.org/officeDocument/2006/relationships" w:type="paragraph" w:styleId="09c22033">
    <w:name w:val="toc 309c22033"/>
    <w:basedOn w:val="8db0eb6d"/>
    <w:autoRedefine/>
    <w:next w:val="0"/>
    <w:pPr>
      <w:ind w:left="840"/>
    </w:pPr>
  </w:style>
  <w:style xmlns:r="http://schemas.openxmlformats.org/officeDocument/2006/relationships" w:type="paragraph" w:styleId="11557a59">
    <w:name w:val="toc 411557a59"/>
    <w:basedOn w:val="8db0eb6d"/>
    <w:autoRedefine/>
    <w:next w:val="0"/>
    <w:pPr>
      <w:ind w:left="1260"/>
    </w:pPr>
  </w:style>
  <w:style xmlns:r="http://schemas.openxmlformats.org/officeDocument/2006/relationships" w:type="paragraph" w:styleId="45c58d09">
    <w:name w:val="toc 545c58d09"/>
    <w:basedOn w:val="8db0eb6d"/>
    <w:autoRedefine/>
    <w:next w:val="0"/>
    <w:pPr>
      <w:ind w:left="1680"/>
    </w:pPr>
  </w:style>
  <w:style xmlns:r="http://schemas.openxmlformats.org/officeDocument/2006/relationships" w:type="paragraph" w:styleId="161cdb95">
    <w:name w:val="header161cdb95"/>
    <w:basedOn w:val="8db0eb6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f760fce">
    <w:name w:val="footer0f760fce"/>
    <w:basedOn w:val="8db0eb6d"/>
    <w:pPr>
      <w:tabs>
        <w:tab w:val="center" w:pos="4153"/>
        <w:tab w:val="right" w:pos="8307"/>
      </w:tabs>
      <w:adjustRightInd/>
      <w:snapToGrid w:val="0"/>
      <w:contextualSpacing w:val="0"/>
      <w:jc w:val="left"/>
    </w:pPr>
    <w:rPr>
      <w:sz w:val="18"/>
    </w:rPr>
  </w:style>
  <w:style xmlns:r="http://schemas.openxmlformats.org/officeDocument/2006/relationships" w:type="character" w:styleId="a6c321af">
    <w:name w:val="Stronga6c321a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b7c0d87">
    <w:name w:val="Normalab7c0d8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e481198">
    <w:name w:val="heading 12e481198"/>
    <w:basedOn w:val="ab7c0d8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c4b6373">
    <w:name w:val="heading 28c4b6373"/>
    <w:basedOn w:val="ab7c0d8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1686f12">
    <w:name w:val="heading 331686f12"/>
    <w:basedOn w:val="ab7c0d8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b83080a">
    <w:name w:val="Default Paragraph Font4b83080a"/>
  </w:style>
  <w:style xmlns:r="http://schemas.openxmlformats.org/officeDocument/2006/relationships" w:type="paragraph" w:styleId="a9711d80">
    <w:name w:val="Normal Indenta9711d80"/>
    <w:basedOn w:val="ab7c0d87"/>
    <w:pPr>
      <w:ind w:firstLineChars="200" w:firstLine="200"/>
    </w:pPr>
  </w:style>
  <w:style xmlns:r="http://schemas.openxmlformats.org/officeDocument/2006/relationships" w:type="paragraph" w:styleId="ab38a89b">
    <w:name w:val="toc 5ab38a89b"/>
    <w:basedOn w:val="ab7c0d87"/>
    <w:next w:val="0"/>
    <w:pPr>
      <w:ind w:left="1680"/>
    </w:pPr>
  </w:style>
  <w:style xmlns:r="http://schemas.openxmlformats.org/officeDocument/2006/relationships" w:type="paragraph" w:styleId="37b1bbc9">
    <w:name w:val="toc 337b1bbc9"/>
    <w:basedOn w:val="ab7c0d87"/>
    <w:next w:val="0"/>
    <w:pPr>
      <w:ind w:left="840"/>
    </w:pPr>
  </w:style>
  <w:style xmlns:r="http://schemas.openxmlformats.org/officeDocument/2006/relationships" w:type="paragraph" w:styleId="e8b7bb46">
    <w:name w:val="footere8b7bb46"/>
    <w:basedOn w:val="ab7c0d87"/>
    <w:pPr>
      <w:tabs>
        <w:tab w:val="center" w:pos="4153"/>
        <w:tab w:val="right" w:pos="8307"/>
      </w:tabs>
      <w:adjustRightInd/>
      <w:snapToGrid w:val="0"/>
      <w:contextualSpacing w:val="0"/>
      <w:jc w:val="left"/>
    </w:pPr>
    <w:rPr>
      <w:sz w:val="18"/>
    </w:rPr>
  </w:style>
  <w:style xmlns:r="http://schemas.openxmlformats.org/officeDocument/2006/relationships" w:type="paragraph" w:styleId="c1ae24d5">
    <w:name w:val="headerc1ae24d5"/>
    <w:basedOn w:val="ab7c0d8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f212f12">
    <w:name w:val="toc 1ff212f12"/>
    <w:basedOn w:val="ab7c0d87"/>
    <w:next w:val="0"/>
  </w:style>
  <w:style xmlns:r="http://schemas.openxmlformats.org/officeDocument/2006/relationships" w:type="paragraph" w:styleId="c321eed1">
    <w:name w:val="toc 4c321eed1"/>
    <w:basedOn w:val="ab7c0d87"/>
    <w:next w:val="0"/>
    <w:pPr>
      <w:ind w:left="1260"/>
    </w:pPr>
  </w:style>
  <w:style xmlns:r="http://schemas.openxmlformats.org/officeDocument/2006/relationships" w:type="paragraph" w:styleId="3edb49c4">
    <w:name w:val="toc 23edb49c4"/>
    <w:basedOn w:val="ab7c0d87"/>
    <w:next w:val="0"/>
    <w:pPr>
      <w:ind w:left="420"/>
    </w:pPr>
  </w:style>
  <w:style xmlns:r="http://schemas.openxmlformats.org/officeDocument/2006/relationships" w:type="paragraph" w:styleId="87df1945">
    <w:name w:val="Normal (Web)87df194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6bc4ab1">
    <w:name w:val="Normal16bc4ab116bc4ab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9920379">
    <w:name w:val="heading 13992037939920379"/>
    <w:basedOn w:val="16bc4ab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5972904">
    <w:name w:val="heading 28597290485972904"/>
    <w:basedOn w:val="16bc4ab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0c898ab">
    <w:name w:val="heading 310c898ab10c898ab"/>
    <w:basedOn w:val="16bc4ab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4505db7">
    <w:name w:val="Default Paragraph Font74505db774505db7"/>
  </w:style>
  <w:style xmlns:r="http://schemas.openxmlformats.org/officeDocument/2006/relationships" w:type="paragraph" w:customStyle="1" w:styleId="955aa755">
    <w:name w:val="引文目录1955aa755955aa755"/>
    <w:basedOn w:val="16bc4ab1"/>
    <w:next w:val="0"/>
    <w:pPr>
      <w:ind w:leftChars="200" w:left="200"/>
    </w:pPr>
  </w:style>
  <w:style xmlns:r="http://schemas.openxmlformats.org/officeDocument/2006/relationships" w:type="paragraph" w:styleId="dff19fe3">
    <w:name w:val="toc 5dff19fe3dff19fe3"/>
    <w:basedOn w:val="16bc4ab1"/>
    <w:next w:val="0"/>
    <w:pPr>
      <w:ind w:left="1680"/>
    </w:pPr>
  </w:style>
  <w:style xmlns:r="http://schemas.openxmlformats.org/officeDocument/2006/relationships" w:type="paragraph" w:styleId="8fc8e27a">
    <w:name w:val="toc 38fc8e27a8fc8e27a"/>
    <w:basedOn w:val="16bc4ab1"/>
    <w:next w:val="0"/>
    <w:pPr>
      <w:ind w:left="840"/>
    </w:pPr>
  </w:style>
  <w:style xmlns:r="http://schemas.openxmlformats.org/officeDocument/2006/relationships" w:type="paragraph" w:styleId="53566534">
    <w:name w:val="footer5356653453566534"/>
    <w:basedOn w:val="16bc4ab1"/>
    <w:pPr>
      <w:tabs>
        <w:tab w:val="center" w:pos="4153"/>
        <w:tab w:val="right" w:pos="8307"/>
      </w:tabs>
      <w:adjustRightInd/>
      <w:snapToGrid w:val="0"/>
      <w:contextualSpacing w:val="0"/>
      <w:jc w:val="left"/>
    </w:pPr>
    <w:rPr>
      <w:sz w:val="18"/>
    </w:rPr>
  </w:style>
  <w:style xmlns:r="http://schemas.openxmlformats.org/officeDocument/2006/relationships" w:type="paragraph" w:styleId="cb89671b">
    <w:name w:val="headercb89671bcb89671b"/>
    <w:basedOn w:val="16bc4ab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8bdcb27">
    <w:name w:val="toc 108bdcb2708bdcb27"/>
    <w:basedOn w:val="16bc4ab1"/>
    <w:next w:val="0"/>
  </w:style>
  <w:style xmlns:r="http://schemas.openxmlformats.org/officeDocument/2006/relationships" w:type="paragraph" w:styleId="c3c39507">
    <w:name w:val="toc 4c3c39507c3c39507"/>
    <w:basedOn w:val="16bc4ab1"/>
    <w:next w:val="0"/>
    <w:pPr>
      <w:ind w:left="1260"/>
    </w:pPr>
  </w:style>
  <w:style xmlns:r="http://schemas.openxmlformats.org/officeDocument/2006/relationships" w:type="paragraph" w:styleId="9bef5d6e">
    <w:name w:val="toc 29bef5d6e9bef5d6e"/>
    <w:basedOn w:val="16bc4ab1"/>
    <w:next w:val="0"/>
    <w:pPr>
      <w:ind w:left="420"/>
    </w:pPr>
  </w:style>
  <w:style xmlns:r="http://schemas.openxmlformats.org/officeDocument/2006/relationships" w:type="paragraph" w:customStyle="1" w:styleId="0f2bc683">
    <w:name w:val="列出段落10f2bc6830f2bc68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