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398天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a0b317c8"/>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a0b317c8"/>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8a8911c9"/>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8a8911c9"/>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0493900f"/>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南银理财珠联璧合鑫逸稳一年202期封闭式公募人民币理财产品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ZZ700322400654</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Z7003225000019(投资者可依据该编码在中国理财网www.chinawealth.com.cn查询理财产品相关信息）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A份额：Y30202</w:t>
            </w:r>
          </w:p>
          <w:p>
            <w:pPr>
              <w:pStyle w:val="null10"/>
              <w:spacing w:lineRule="exact" w:line="200"/>
            </w:pPr>
            <w:r>
              <w:rPr>
                <w:rFonts w:ascii="方正黑体_GBK" w:hAnsi="方正黑体_GBK" w:cs="宋体" w:eastAsia="方正黑体_GBK"/>
                <w:sz w:val="18"/>
                <w:szCs w:val="18"/>
              </w:rPr>
              <w:t>B份额：Y31202</w:t>
            </w:r>
          </w:p>
          <w:p>
            <w:pPr>
              <w:pStyle w:val="null10"/>
              <w:spacing w:lineRule="exact" w:line="200"/>
            </w:pPr>
            <w:r>
              <w:rPr>
                <w:rFonts w:ascii="方正黑体_GBK" w:hAnsi="方正黑体_GBK" w:cs="宋体" w:eastAsia="方正黑体_GBK"/>
                <w:sz w:val="18"/>
                <w:szCs w:val="18"/>
              </w:rPr>
              <w:t>C份额：Y32202</w:t>
            </w:r>
          </w:p>
          <w:p>
            <w:pPr>
              <w:pStyle w:val="null10"/>
              <w:spacing w:lineRule="exact" w:line="200"/>
            </w:pPr>
            <w:r>
              <w:rPr>
                <w:rFonts w:ascii="方正黑体_GBK" w:hAnsi="方正黑体_GBK" w:cs="宋体" w:eastAsia="方正黑体_GBK"/>
                <w:sz w:val="18"/>
                <w:szCs w:val="18"/>
              </w:rPr>
              <w:t>E份额：Y34202</w:t>
            </w:r>
          </w:p>
          <w:p>
            <w:pPr>
              <w:pStyle w:val="null10"/>
              <w:spacing w:lineRule="exact" w:line="200"/>
            </w:pPr>
            <w:r>
              <w:rPr>
                <w:rFonts w:ascii="方正黑体_GBK" w:hAnsi="方正黑体_GBK" w:cs="宋体" w:eastAsia="方正黑体_GBK"/>
                <w:sz w:val="18"/>
                <w:szCs w:val="18"/>
              </w:rPr>
              <w:t>F份额：Y35202</w:t>
            </w:r>
          </w:p>
          <w:p>
            <w:pPr>
              <w:pStyle w:val="null10"/>
              <w:spacing w:lineRule="exact" w:line="200"/>
            </w:pPr>
            <w:r>
              <w:rPr>
                <w:rFonts w:ascii="方正黑体_GBK" w:hAnsi="方正黑体_GBK" w:cs="宋体" w:eastAsia="方正黑体_GBK"/>
                <w:sz w:val="18"/>
                <w:szCs w:val="18"/>
              </w:rPr>
              <w:t>G份额：Y36202</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A份额：除B、C、E、F、G份额以外的所有客户（详见“销售机构”条款）。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新客或新资金或代发客户）、徽商银行股份有限公司、杭州银行股份有限公司（大众客户）、温州银行股份有限公司、河北银行股份有限公司（大众客户）、江苏常熟农村商业银行股份有限公司（公司、私行客户）、江苏苏州农村商业银行股份有限公司（社保对公专项客户）、苏州银行股份有限公司（大众客户）、宁波东海银行股份有限公司（1元起购客户）、齐鲁银行股份有限公司（白金/私行客户）、天津农村商业银行股份有限公司（滨海分行专属）、云南红塔银行股份有限公司、甘肃银行股份有限公司、廊坊银行股份有限公司、乌鲁木齐银行股份有限公司、东营银行股份有限公司、富邦华一银行有限公司、江苏南通农村商业银行股份有限公司（大众客户）、江苏淮安农村商业银行股份有限公司（10万元起购）、江苏镇江农村商业银行股份有限公司（20万元起购）、江苏如皋农村商业银行股份有限公司（代发客户）、徐州农村商业银行股份有限公司（代发客户或高净值客户）、枣庄银行股份有限公司。</w:t>
            </w:r>
          </w:p>
          <w:p>
            <w:pPr>
              <w:pStyle w:val="null10"/>
              <w:spacing w:lineRule="exact" w:line="200"/>
            </w:pPr>
            <w:r>
              <w:rPr>
                <w:rFonts w:ascii="方正黑体_GBK" w:hAnsi="方正黑体_GBK" w:cs="宋体" w:eastAsia="方正黑体_GBK"/>
                <w:sz w:val="18"/>
                <w:szCs w:val="18"/>
              </w:rPr>
              <w:t>C份额：杭州银行股份有限公司（私行客户）、汉口银行股份有限公司、郑州银行股份有限公司、苏州银行股份有限公司（公司客户）、天津农村商业银行股份有限公司（军人客户）、宁波通商银行股份有限公司、江苏泰兴农村商业银行股份有限公司、江苏靖江农村商业银行股份有限公司、江苏南通农村商业银行股份有限公司（代发客户）、江苏扬州农村商业银行股份有限公司（专属客户）、江苏兴化农村商业银行股份有限公司、江苏镇江农村商业银行股份有限公司（100万元起购）、江苏紫金农村商业银行股份有限公司（起点金额30万元以上）、江苏如东农村商业银行股份有限公司。</w:t>
            </w:r>
          </w:p>
          <w:p>
            <w:pPr>
              <w:pStyle w:val="null10"/>
              <w:spacing w:lineRule="exact" w:line="200"/>
            </w:pPr>
            <w:r>
              <w:rPr>
                <w:rFonts w:ascii="方正黑体_GBK" w:hAnsi="方正黑体_GBK" w:cs="宋体" w:eastAsia="方正黑体_GBK"/>
                <w:sz w:val="18"/>
                <w:szCs w:val="18"/>
              </w:rPr>
              <w:t>E份额：兰州银行股份有限公司。</w:t>
            </w:r>
          </w:p>
          <w:p>
            <w:pPr>
              <w:pStyle w:val="null10"/>
              <w:spacing w:lineRule="exact" w:line="200"/>
            </w:pPr>
            <w:r>
              <w:rPr>
                <w:rFonts w:ascii="方正黑体_GBK" w:hAnsi="方正黑体_GBK" w:cs="宋体" w:eastAsia="方正黑体_GBK"/>
                <w:sz w:val="18"/>
                <w:szCs w:val="18"/>
              </w:rPr>
              <w:t>F份额：兴业银行股份有限公司（全体客户）。</w:t>
            </w:r>
          </w:p>
          <w:p>
            <w:pPr>
              <w:pStyle w:val="null10"/>
              <w:spacing w:lineRule="exact" w:line="200"/>
            </w:pPr>
            <w:r>
              <w:rPr>
                <w:rFonts w:ascii="方正黑体_GBK" w:hAnsi="方正黑体_GBK" w:cs="宋体" w:eastAsia="方正黑体_GBK"/>
                <w:sz w:val="18"/>
                <w:szCs w:val="18"/>
              </w:rPr>
              <w:t>G份额：兴业银行股份有限公司（新客户），指兴业银行认定的新客户，认定标准以兴业银行为准。</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p>
            <w:pPr>
              <w:pStyle w:val="null10"/>
              <w:spacing w:lineRule="exact" w:line="200"/>
            </w:pPr>
            <w:r>
              <w:rPr>
                <w:rFonts w:ascii="方正黑体_GBK" w:hAnsi="方正黑体_GBK" w:cs="宋体" w:eastAsia="方正黑体_GBK"/>
                <w:sz w:val="18"/>
                <w:b/>
                <w:szCs w:val="18"/>
              </w:rPr>
              <w:t>南京银行股份有限公司（新客或新资金或代发客户）：</w:t>
            </w:r>
            <w:r>
              <w:rPr>
                <w:rFonts w:ascii="方正黑体_GBK" w:hAnsi="方正黑体_GBK" w:cs="宋体" w:eastAsia="方正黑体_GBK"/>
                <w:sz w:val="18"/>
                <w:szCs w:val="18"/>
              </w:rPr>
              <w:t>新客是指2025年理财年日均余额为0的客户。新资金（5万）是指金融资产余额较上月月日均增长5万元及以上的客户。代发是指近90天内有过代发记录的客户（不含跨行代发、批量兑付、批量付息）。</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A份额/B份额/C份额/E份额/F份额/G份额：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A份额/B份额/C份额/E份额/F份额/G份额：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2025年01月22日 09:00—2025年02月05日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2025年02月06日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2025年02月06日—实际到期日（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398天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2026年03月11日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优先投资于环保、节能、清洁能源、绿色交通、绿色建筑等绿色环保产业相关的资产。</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O2O、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A份额：业绩比较基准为年化2.7%-3.2% 。</w:t>
            </w:r>
          </w:p>
          <w:p>
            <w:pPr>
              <w:pStyle w:val="null10"/>
              <w:spacing w:lineRule="exact" w:line="200"/>
            </w:pPr>
            <w:r>
              <w:rPr>
                <w:rFonts w:ascii="方正黑体_GBK" w:hAnsi="方正黑体_GBK" w:cs="宋体" w:eastAsia="方正黑体_GBK"/>
                <w:sz w:val="18"/>
                <w:szCs w:val="18"/>
              </w:rPr>
              <w:t>B份额：业绩比较基准为年化2.8%-3.3% 。</w:t>
            </w:r>
          </w:p>
          <w:p>
            <w:pPr>
              <w:pStyle w:val="null10"/>
              <w:spacing w:lineRule="exact" w:line="200"/>
            </w:pPr>
            <w:r>
              <w:rPr>
                <w:rFonts w:ascii="方正黑体_GBK" w:hAnsi="方正黑体_GBK" w:cs="宋体" w:eastAsia="方正黑体_GBK"/>
                <w:sz w:val="18"/>
                <w:szCs w:val="18"/>
              </w:rPr>
              <w:t>C份额：业绩比较基准为年化2.9%-3.4% 。</w:t>
            </w:r>
          </w:p>
          <w:p>
            <w:pPr>
              <w:pStyle w:val="null10"/>
              <w:spacing w:lineRule="exact" w:line="200"/>
            </w:pPr>
            <w:r>
              <w:rPr>
                <w:rFonts w:ascii="方正黑体_GBK" w:hAnsi="方正黑体_GBK" w:cs="宋体" w:eastAsia="方正黑体_GBK"/>
                <w:sz w:val="18"/>
                <w:szCs w:val="18"/>
              </w:rPr>
              <w:t>E份额：业绩比较基准为年化2.9%-3.4% 。</w:t>
            </w:r>
          </w:p>
          <w:p>
            <w:pPr>
              <w:pStyle w:val="null10"/>
              <w:spacing w:lineRule="exact" w:line="200"/>
            </w:pPr>
            <w:r>
              <w:rPr>
                <w:rFonts w:ascii="方正黑体_GBK" w:hAnsi="方正黑体_GBK" w:cs="宋体" w:eastAsia="方正黑体_GBK"/>
                <w:sz w:val="18"/>
                <w:szCs w:val="18"/>
              </w:rPr>
              <w:t>F份额：业绩比较基准为年化2.8%-3.3% 。</w:t>
            </w:r>
          </w:p>
          <w:p>
            <w:pPr>
              <w:pStyle w:val="null10"/>
              <w:spacing w:lineRule="exact" w:line="200"/>
            </w:pPr>
            <w:r>
              <w:rPr>
                <w:rFonts w:ascii="方正黑体_GBK" w:hAnsi="方正黑体_GBK" w:cs="宋体" w:eastAsia="方正黑体_GBK"/>
                <w:sz w:val="18"/>
                <w:szCs w:val="18"/>
              </w:rPr>
              <w:t>G份额：业绩比较基准为年化2.9%-3.4% 。</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E份额：销售费年化0.05%</w:t>
            </w:r>
          </w:p>
          <w:p>
            <w:pPr>
              <w:pStyle w:val="null10"/>
              <w:spacing w:lineRule="exact" w:line="200"/>
            </w:pPr>
            <w:r>
              <w:rPr>
                <w:rFonts w:ascii="方正黑体_GBK" w:hAnsi="方正黑体_GBK" w:cs="宋体" w:eastAsia="方正黑体_GBK"/>
                <w:sz w:val="18"/>
                <w:b/>
                <w:szCs w:val="18"/>
              </w:rPr>
              <w:t>F份额：销售费年化0.15%</w:t>
            </w:r>
          </w:p>
          <w:p>
            <w:pPr>
              <w:pStyle w:val="null10"/>
              <w:spacing w:lineRule="exact" w:line="200"/>
            </w:pPr>
            <w:r>
              <w:rPr>
                <w:rFonts w:ascii="方正黑体_GBK" w:hAnsi="方正黑体_GBK" w:cs="宋体" w:eastAsia="方正黑体_GBK"/>
                <w:sz w:val="18"/>
                <w:b/>
                <w:szCs w:val="18"/>
              </w:rPr>
              <w:t>G份额：销售费年化0.1%</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A份额：固定管理费年化0.25%</w:t>
            </w:r>
          </w:p>
          <w:p>
            <w:pPr>
              <w:pStyle w:val="null10"/>
              <w:spacing w:lineRule="exact" w:line="200"/>
            </w:pPr>
            <w:r>
              <w:rPr>
                <w:rFonts w:ascii="方正黑体_GBK" w:hAnsi="方正黑体_GBK" w:cs="宋体" w:eastAsia="方正黑体_GBK"/>
                <w:sz w:val="18"/>
                <w:b/>
                <w:szCs w:val="18"/>
              </w:rPr>
              <w:t>B份额：固定管理费年化0.2%</w:t>
            </w:r>
          </w:p>
          <w:p>
            <w:pPr>
              <w:pStyle w:val="null10"/>
              <w:spacing w:lineRule="exact" w:line="200"/>
            </w:pPr>
            <w:r>
              <w:rPr>
                <w:rFonts w:ascii="方正黑体_GBK" w:hAnsi="方正黑体_GBK" w:cs="宋体" w:eastAsia="方正黑体_GBK"/>
                <w:sz w:val="18"/>
                <w:b/>
                <w:szCs w:val="18"/>
              </w:rPr>
              <w:t>C份额：固定管理费年化0.2%</w:t>
            </w:r>
          </w:p>
          <w:p>
            <w:pPr>
              <w:pStyle w:val="null10"/>
              <w:spacing w:lineRule="exact" w:line="200"/>
            </w:pPr>
            <w:r>
              <w:rPr>
                <w:rFonts w:ascii="方正黑体_GBK" w:hAnsi="方正黑体_GBK" w:cs="宋体" w:eastAsia="方正黑体_GBK"/>
                <w:sz w:val="18"/>
                <w:b/>
                <w:szCs w:val="18"/>
              </w:rPr>
              <w:t>E份额：固定管理费年化0.2%</w:t>
            </w:r>
          </w:p>
          <w:p>
            <w:pPr>
              <w:pStyle w:val="null10"/>
              <w:spacing w:lineRule="exact" w:line="200"/>
            </w:pPr>
            <w:r>
              <w:rPr>
                <w:rFonts w:ascii="方正黑体_GBK" w:hAnsi="方正黑体_GBK" w:cs="宋体" w:eastAsia="方正黑体_GBK"/>
                <w:sz w:val="18"/>
                <w:b/>
                <w:szCs w:val="18"/>
              </w:rPr>
              <w:t>F份额：固定管理费年化0.2%</w:t>
            </w:r>
          </w:p>
          <w:p>
            <w:pPr>
              <w:pStyle w:val="null10"/>
              <w:spacing w:lineRule="exact" w:line="200"/>
            </w:pPr>
            <w:r>
              <w:rPr>
                <w:rFonts w:ascii="方正黑体_GBK" w:hAnsi="方正黑体_GBK" w:cs="宋体" w:eastAsia="方正黑体_GBK"/>
                <w:sz w:val="18"/>
                <w:b/>
                <w:szCs w:val="18"/>
              </w:rPr>
              <w:t>G份额：固定管理费年化0.15%</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w:t>
            </w:r>
          </w:p>
          <w:p>
            <w:pPr>
              <w:pStyle w:val="null10"/>
              <w:spacing w:lineRule="exact" w:line="200"/>
            </w:pPr>
            <w:r>
              <w:rPr>
                <w:rFonts w:ascii="方正黑体_GBK" w:hAnsi="方正黑体_GBK" w:cs="宋体" w:eastAsia="方正黑体_GBK"/>
                <w:sz w:val="18"/>
                <w:b/>
                <w:szCs w:val="18"/>
              </w:rPr>
              <w:t>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在2.7%（含）（年化，即产品该份额对应的业绩报酬计提基准）至3.2%（不含）之间的部分，管理人将按超过2.7%部分的50%收取业绩报酬；在3.2%（含）（年化，即产品该份额对应的业绩报酬计提基准）以上的部分，管理人将按超过3.2%部分的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在2.8%（含）（年化，即产品该份额对应的业绩报酬计提基准）至3.3%（不含）之间的部分，管理人将按超过2.8%部分的50%收取业绩报酬；在3.3%（含）（年化，即产品该份额对应的业绩报酬计提基准）以上的部分，管理人将按超过3.3%部分的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在2.9%（含）（年化，即产品该份额对应的业绩报酬计提基准）至3.4%（不含）之间的部分，管理人将按超过2.9%部分的50%收取业绩报酬；在3.4%（含）（年化，即产品该份额对应的业绩报酬计提基准）以上的部分，管理人将按超过3.4%部分的60%收取业绩报酬。</w:t>
            </w:r>
          </w:p>
          <w:p>
            <w:pPr>
              <w:pStyle w:val="null10"/>
              <w:spacing w:lineRule="exact" w:line="200"/>
            </w:pPr>
            <w:r>
              <w:rPr>
                <w:rFonts w:ascii="方正黑体_GBK" w:hAnsi="方正黑体_GBK" w:cs="宋体" w:eastAsia="方正黑体_GBK"/>
                <w:sz w:val="18"/>
                <w:b/>
                <w:szCs w:val="18"/>
              </w:rPr>
              <w:t>E份额：到期兑付时，当期产品投资的实际资产组合收益（扣除销售费、固定管理费、托管费等相关费用）在2.9%（含）（年化，即产品该份额对应的业绩报酬计提基准）至3.4%（不含）之间的部分，管理人将按超过2.9%部分的50%收取业绩报酬；在3.4%（含）（年化，即产品该份额对应的业绩报酬计提基准）以上的部分，管理人将按超过3.4%部分的60%收取业绩报酬。</w:t>
            </w:r>
          </w:p>
          <w:p>
            <w:pPr>
              <w:pStyle w:val="null10"/>
              <w:spacing w:lineRule="exact" w:line="200"/>
            </w:pPr>
            <w:r>
              <w:rPr>
                <w:rFonts w:ascii="方正黑体_GBK" w:hAnsi="方正黑体_GBK" w:cs="宋体" w:eastAsia="方正黑体_GBK"/>
                <w:sz w:val="18"/>
                <w:b/>
                <w:szCs w:val="18"/>
              </w:rPr>
              <w:t>F份额：到期兑付时，当期产品投资的实际资产组合收益（扣除销售费、固定管理费、托管费等相关费用）在2.8%（含）（年化，即产品该份额对应的业绩报酬计提基准）至3.3%（不含）之间的部分，管理人将按超过2.8%部分的50%收取业绩报酬；在3.3%（含）（年化，即产品该份额对应的业绩报酬计提基准）以上的部分，管理人将按超过3.3%部分的60%收取业绩报酬。</w:t>
            </w:r>
          </w:p>
          <w:p>
            <w:pPr>
              <w:pStyle w:val="null10"/>
              <w:spacing w:lineRule="exact" w:line="200"/>
            </w:pPr>
            <w:r>
              <w:rPr>
                <w:rFonts w:ascii="方正黑体_GBK" w:hAnsi="方正黑体_GBK" w:cs="宋体" w:eastAsia="方正黑体_GBK"/>
                <w:sz w:val="18"/>
                <w:b/>
                <w:szCs w:val="18"/>
              </w:rPr>
              <w:t>G份额：到期兑付时，当期产品投资的实际资产组合收益（扣除销售费、固定管理费、托管费等相关费用）在2.9%（含）（年化，即产品该份额对应的业绩报酬计提基准）至3.4%（不含）之间的部分，管理人将按超过2.9%部分的50%收取业绩报酬；在3.4%（含）（年化，即产品该份额对应的业绩报酬计提基准）以上的部分，管理人将按超过3.4%部分的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江苏太仓农村商业银行股份有限公司、青岛银行股份有限公司、杭州银行股份有限公司、汉口银行股份有限公司、嘉兴银行股份有限公司、江苏常熟农村商业银行股份有限公司、江苏苏州农村商业银行股份有限公司、长沙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富邦华一银行有限公司、宁波通商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江苏仪征农村商业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中国对外经济贸易信托有限公司成立于1987年09月30日，注册资本金800000万元人民币。</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w:t>
            </w:r>
            <w:r>
              <w:rPr>
                <w:rFonts w:ascii="方正黑体_GBK" w:hAnsi="方正黑体_GBK" w:cs="宋体" w:eastAsia="方正黑体_GBK"/>
                <w:sz w:val="18"/>
                <w:b/>
                <w:szCs w:val="18"/>
              </w:rPr>
              <w:t>本理财产品计划投资不存在活跃交易市场，并且需要采用估值技术确定公允价值的资产；计划投资上述资产的比例达到理财产品净资产50％以上。</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8a8911c9"/>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f4604d6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f4604d6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f4604d6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f4604d6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f4604d6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f4604d6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f4604d6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f4604d64"/>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南银理财珠联璧合鑫逸稳一年202期封闭式公募人民币理财产品</w:t>
      </w:r>
      <w:r>
        <w:rPr>
          <w:rFonts w:ascii="方正黑体_GBK" w:eastAsia="方正黑体_GBK" w:hint="eastAsia" w:hAnsi="方正黑体_GBK"/>
          <w:vanish w:val="0"/>
          <w:color w:val="3D3D3D"/>
          <w:kern w:val="0"/>
          <w:sz w:val="15"/>
          <w:szCs w:val="15"/>
        </w:rPr>
        <w:t>。</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f4604d64"/>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f4604d6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f4604d6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f4604d6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8b08e7a9"/>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8b08e7a9"/>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8b08e7a9"/>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8b08e7a9"/>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8b08e7a9"/>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8b08e7a9"/>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f4604d6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f4604d6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f4604d6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8b08e7a9"/>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8a8911c9"/>
        <w:keepNext w:val="0"/>
        <w:keepLines w:val="0"/>
        <w:pageBreakBefore w:val="0"/>
        <w:widowControl/>
        <w:suppressLineNumbers w:val="0"/>
        <w:suppressAutoHyphens w:val="0"/>
        <w:spacing w:line="200" w:lineRule="exact"/>
        <w:ind w:firstLineChars="200" w:firstLine="300"/>
        <w:rPr>
          <w:rStyle w:val="8b08e7a9"/>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理财产品应坚持公允价值计量原则，优先采用市值法，符合会计准则和监管规定的范围内的可选择摊余成本法计量。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420"/>
      </w:pPr>
      <w:r>
        <w:rPr>
          <w:rFonts w:ascii="方正黑体_GBK" w:hAnsi="方正黑体_GBK" w:cs="宋体" w:eastAsia="方正黑体_GBK"/>
          <w:sz w:val="15"/>
          <w:szCs w:val="20"/>
        </w:rPr>
        <w:t>估值方法中列示的资产品种不代表管理人的实际投向，本理财产品拟投资范围以“投资范围”章节描述为准。</w:t>
      </w:r>
    </w:p>
    <w:p>
      <w:pPr>
        <w:pStyle w:val="null10"/>
        <w:spacing w:lineRule="exact" w:line="200"/>
        <w:ind w:firstLine="420"/>
      </w:pPr>
      <w:r>
        <w:rPr>
          <w:rFonts w:ascii="方正黑体_GBK" w:hAnsi="方正黑体_GBK" w:cs="宋体" w:eastAsia="方正黑体_GBK"/>
          <w:sz w:val="15"/>
          <w:szCs w:val="20"/>
        </w:rPr>
        <w:t>1.银行存款、回购等货币市场工具</w:t>
      </w:r>
    </w:p>
    <w:p>
      <w:pPr>
        <w:pStyle w:val="null10"/>
        <w:spacing w:lineRule="exact" w:line="200"/>
        <w:ind w:firstLine="420"/>
      </w:pPr>
      <w:r>
        <w:rPr>
          <w:rFonts w:ascii="方正黑体_GBK" w:hAnsi="方正黑体_GBK" w:cs="宋体" w:eastAsia="方正黑体_GBK"/>
          <w:sz w:val="15"/>
          <w:szCs w:val="20"/>
        </w:rPr>
        <w:t>以本金列示，逐日计提利息。</w:t>
      </w:r>
    </w:p>
    <w:p>
      <w:pPr>
        <w:pStyle w:val="null10"/>
        <w:spacing w:lineRule="exact" w:line="200"/>
        <w:ind w:firstLine="420"/>
      </w:pPr>
      <w:r>
        <w:rPr>
          <w:rFonts w:ascii="方正黑体_GBK" w:hAnsi="方正黑体_GBK" w:cs="宋体" w:eastAsia="方正黑体_GBK"/>
          <w:sz w:val="15"/>
          <w:szCs w:val="20"/>
        </w:rPr>
        <w:t>2.债券类资产</w:t>
      </w:r>
    </w:p>
    <w:p>
      <w:pPr>
        <w:pStyle w:val="null10"/>
        <w:spacing w:lineRule="exact" w:line="200"/>
        <w:ind w:firstLine="420"/>
      </w:pPr>
      <w:r>
        <w:rPr>
          <w:rFonts w:ascii="方正黑体_GBK" w:hAnsi="方正黑体_GBK" w:cs="宋体" w:eastAsia="方正黑体_GBK"/>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3.非标准化债权类资产</w:t>
      </w:r>
    </w:p>
    <w:p>
      <w:pPr>
        <w:pStyle w:val="null10"/>
        <w:spacing w:lineRule="exact" w:line="200"/>
        <w:ind w:firstLine="420"/>
      </w:pPr>
      <w:r>
        <w:rPr>
          <w:rFonts w:ascii="方正黑体_GBK" w:hAnsi="方正黑体_GBK" w:cs="宋体" w:eastAsia="方正黑体_GBK"/>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4.证券投资基金、资管计划、信托计划等资产</w:t>
      </w:r>
    </w:p>
    <w:p>
      <w:pPr>
        <w:pStyle w:val="null10"/>
        <w:spacing w:lineRule="exact" w:line="200"/>
        <w:ind w:firstLine="420"/>
      </w:pPr>
      <w:r>
        <w:rPr>
          <w:rFonts w:ascii="方正黑体_GBK" w:hAnsi="方正黑体_GBK" w:cs="宋体" w:eastAsia="方正黑体_GBK"/>
          <w:sz w:val="15"/>
          <w:szCs w:val="20"/>
        </w:rPr>
        <w:t>按照公允价值估值，优先采用市值法估值。管理人将根据监管要求进行穿透管理，资管产品穿透后与理财公司关于同一投资品种的估值原则、政策、技术和方法等一致。</w:t>
      </w:r>
    </w:p>
    <w:p>
      <w:pPr>
        <w:pStyle w:val="null10"/>
        <w:spacing w:lineRule="exact" w:line="200"/>
        <w:ind w:firstLine="420"/>
      </w:pPr>
      <w:r>
        <w:rPr>
          <w:rFonts w:ascii="方正黑体_GBK" w:hAnsi="方正黑体_GBK" w:cs="宋体" w:eastAsia="方正黑体_GBK"/>
          <w:sz w:val="15"/>
          <w:szCs w:val="20"/>
        </w:rPr>
        <w:t>5.股权类及其他资产</w:t>
      </w:r>
    </w:p>
    <w:p>
      <w:pPr>
        <w:pStyle w:val="null10"/>
        <w:spacing w:lineRule="exact" w:line="200"/>
        <w:ind w:firstLine="420"/>
      </w:pPr>
      <w:r>
        <w:rPr>
          <w:rFonts w:ascii="方正黑体_GBK" w:hAnsi="方正黑体_GBK" w:cs="宋体" w:eastAsia="方正黑体_GBK"/>
          <w:sz w:val="15"/>
          <w:szCs w:val="20"/>
        </w:rPr>
        <w:t>按照公允价值估值，优先采用市值法估值。</w:t>
      </w:r>
    </w:p>
    <w:p>
      <w:pPr>
        <w:pStyle w:val="null10"/>
        <w:spacing w:lineRule="exact" w:line="200"/>
      </w:pPr>
      <w:r>
        <w:rPr>
          <w:rFonts w:ascii="方正黑体_GBK" w:hAnsi="方正黑体_GBK" w:cs="宋体" w:eastAsia="方正黑体_GBK"/>
          <w:sz w:val="15"/>
          <w:szCs w:val="20"/>
        </w:rPr>
        <w:t xml:space="preserve">  6.如有新增事项或变更事项，按国家最新规定或监管最新要求进行调整。</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8a8911c9"/>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8a8911c9"/>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8a8911c9"/>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8a8911c9"/>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8a8911c9"/>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8a8911c9"/>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8a8911c9"/>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8a8911c9"/>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8a8911c9"/>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8a8911c9"/>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8a8911c9"/>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8a8911c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8a8911c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8a8911c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8a8911c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8a8911c9"/>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a0b317c8">
    <w:name w:val="Normala0b317c8"/>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224dd014">
    <w:name w:val="heading 1224dd014"/>
    <w:basedOn w:val="a0b317c8"/>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c66e17a2">
    <w:name w:val="heading 2c66e17a2"/>
    <w:basedOn w:val="a0b317c8"/>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708742f4">
    <w:name w:val="heading 3708742f4"/>
    <w:basedOn w:val="a0b317c8"/>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3c1044e0">
    <w:name w:val="Default Paragraph Font3c1044e0"/>
  </w:style>
  <w:style xmlns:r="http://schemas.openxmlformats.org/officeDocument/2006/relationships" w:type="paragraph" w:styleId="06f45a9d">
    <w:name w:val="toc 106f45a9d"/>
    <w:basedOn w:val="a0b317c8"/>
    <w:autoRedefine/>
    <w:next w:val="0"/>
  </w:style>
  <w:style xmlns:r="http://schemas.openxmlformats.org/officeDocument/2006/relationships" w:type="paragraph" w:styleId="35891802">
    <w:name w:val="toc 235891802"/>
    <w:basedOn w:val="a0b317c8"/>
    <w:autoRedefine/>
    <w:next w:val="0"/>
    <w:pPr>
      <w:ind w:left="420"/>
    </w:pPr>
  </w:style>
  <w:style xmlns:r="http://schemas.openxmlformats.org/officeDocument/2006/relationships" w:type="paragraph" w:styleId="18c3aafd">
    <w:name w:val="toc 318c3aafd"/>
    <w:basedOn w:val="a0b317c8"/>
    <w:autoRedefine/>
    <w:next w:val="0"/>
    <w:pPr>
      <w:ind w:left="840"/>
    </w:pPr>
  </w:style>
  <w:style xmlns:r="http://schemas.openxmlformats.org/officeDocument/2006/relationships" w:type="paragraph" w:styleId="aef5ed81">
    <w:name w:val="toc 4aef5ed81"/>
    <w:basedOn w:val="a0b317c8"/>
    <w:autoRedefine/>
    <w:next w:val="0"/>
    <w:pPr>
      <w:ind w:left="1260"/>
    </w:pPr>
  </w:style>
  <w:style xmlns:r="http://schemas.openxmlformats.org/officeDocument/2006/relationships" w:type="paragraph" w:styleId="675e49c9">
    <w:name w:val="toc 5675e49c9"/>
    <w:basedOn w:val="a0b317c8"/>
    <w:autoRedefine/>
    <w:next w:val="0"/>
    <w:pPr>
      <w:ind w:left="1680"/>
    </w:pPr>
  </w:style>
  <w:style xmlns:r="http://schemas.openxmlformats.org/officeDocument/2006/relationships" w:type="paragraph" w:styleId="4474a54b">
    <w:name w:val="header4474a54b"/>
    <w:basedOn w:val="a0b317c8"/>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65f51f2b">
    <w:name w:val="footer65f51f2b"/>
    <w:basedOn w:val="a0b317c8"/>
    <w:pPr>
      <w:tabs>
        <w:tab w:val="center" w:pos="4153"/>
        <w:tab w:val="right" w:pos="8307"/>
      </w:tabs>
      <w:adjustRightInd/>
      <w:snapToGrid w:val="0"/>
      <w:contextualSpacing w:val="0"/>
      <w:jc w:val="left"/>
    </w:pPr>
    <w:rPr>
      <w:sz w:val="18"/>
    </w:rPr>
  </w:style>
  <w:style xmlns:r="http://schemas.openxmlformats.org/officeDocument/2006/relationships" w:type="character" w:styleId="f814a6df">
    <w:name w:val="Strongf814a6df"/>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8a8911c9">
    <w:name w:val="Normal8a8911c9"/>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f8cd6061">
    <w:name w:val="heading 1f8cd6061"/>
    <w:basedOn w:val="8a8911c9"/>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7b2c7144">
    <w:name w:val="heading 27b2c7144"/>
    <w:basedOn w:val="8a8911c9"/>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094fe8fc">
    <w:name w:val="heading 3094fe8fc"/>
    <w:basedOn w:val="8a8911c9"/>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7bf279d">
    <w:name w:val="Default Paragraph Font87bf279d"/>
  </w:style>
  <w:style xmlns:r="http://schemas.openxmlformats.org/officeDocument/2006/relationships" w:type="paragraph" w:styleId="f0ef44c0">
    <w:name w:val="Normal Indentf0ef44c0"/>
    <w:basedOn w:val="8a8911c9"/>
    <w:pPr>
      <w:ind w:firstLineChars="200" w:firstLine="200"/>
    </w:pPr>
  </w:style>
  <w:style xmlns:r="http://schemas.openxmlformats.org/officeDocument/2006/relationships" w:type="paragraph" w:styleId="d9007c75">
    <w:name w:val="toc 5d9007c75"/>
    <w:basedOn w:val="8a8911c9"/>
    <w:next w:val="0"/>
    <w:pPr>
      <w:ind w:left="1680"/>
    </w:pPr>
  </w:style>
  <w:style xmlns:r="http://schemas.openxmlformats.org/officeDocument/2006/relationships" w:type="paragraph" w:styleId="374f7b5e">
    <w:name w:val="toc 3374f7b5e"/>
    <w:basedOn w:val="8a8911c9"/>
    <w:next w:val="0"/>
    <w:pPr>
      <w:ind w:left="840"/>
    </w:pPr>
  </w:style>
  <w:style xmlns:r="http://schemas.openxmlformats.org/officeDocument/2006/relationships" w:type="paragraph" w:styleId="17e0f34b">
    <w:name w:val="footer17e0f34b"/>
    <w:basedOn w:val="8a8911c9"/>
    <w:pPr>
      <w:tabs>
        <w:tab w:val="center" w:pos="4153"/>
        <w:tab w:val="right" w:pos="8307"/>
      </w:tabs>
      <w:adjustRightInd/>
      <w:snapToGrid w:val="0"/>
      <w:contextualSpacing w:val="0"/>
      <w:jc w:val="left"/>
    </w:pPr>
    <w:rPr>
      <w:sz w:val="18"/>
    </w:rPr>
  </w:style>
  <w:style xmlns:r="http://schemas.openxmlformats.org/officeDocument/2006/relationships" w:type="paragraph" w:styleId="8875ed47">
    <w:name w:val="header8875ed47"/>
    <w:basedOn w:val="8a8911c9"/>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82d34e87">
    <w:name w:val="toc 182d34e87"/>
    <w:basedOn w:val="8a8911c9"/>
    <w:next w:val="0"/>
  </w:style>
  <w:style xmlns:r="http://schemas.openxmlformats.org/officeDocument/2006/relationships" w:type="paragraph" w:styleId="2884a281">
    <w:name w:val="toc 42884a281"/>
    <w:basedOn w:val="8a8911c9"/>
    <w:next w:val="0"/>
    <w:pPr>
      <w:ind w:left="1260"/>
    </w:pPr>
  </w:style>
  <w:style xmlns:r="http://schemas.openxmlformats.org/officeDocument/2006/relationships" w:type="paragraph" w:styleId="02a0fc24">
    <w:name w:val="toc 202a0fc24"/>
    <w:basedOn w:val="8a8911c9"/>
    <w:next w:val="0"/>
    <w:pPr>
      <w:ind w:left="420"/>
    </w:pPr>
  </w:style>
  <w:style xmlns:r="http://schemas.openxmlformats.org/officeDocument/2006/relationships" w:type="paragraph" w:styleId="0493900f">
    <w:name w:val="Normal (Web)0493900f"/>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f4604d64">
    <w:name w:val="Normalf4604d64f4604d64"/>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d13a8fac">
    <w:name w:val="heading 1d13a8facd13a8fac"/>
    <w:basedOn w:val="f4604d64"/>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af521d08">
    <w:name w:val="heading 2af521d08af521d08"/>
    <w:basedOn w:val="f4604d64"/>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18b6038d">
    <w:name w:val="heading 318b6038d18b6038d"/>
    <w:basedOn w:val="f4604d64"/>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efa1901e">
    <w:name w:val="Default Paragraph Fontefa1901eefa1901e"/>
  </w:style>
  <w:style xmlns:r="http://schemas.openxmlformats.org/officeDocument/2006/relationships" w:type="paragraph" w:customStyle="1" w:styleId="4db4d3ef">
    <w:name w:val="引文目录14db4d3ef4db4d3ef"/>
    <w:basedOn w:val="f4604d64"/>
    <w:next w:val="0"/>
    <w:pPr>
      <w:ind w:leftChars="200" w:left="200"/>
    </w:pPr>
  </w:style>
  <w:style xmlns:r="http://schemas.openxmlformats.org/officeDocument/2006/relationships" w:type="paragraph" w:styleId="c14f42c8">
    <w:name w:val="toc 5c14f42c8c14f42c8"/>
    <w:basedOn w:val="f4604d64"/>
    <w:next w:val="0"/>
    <w:pPr>
      <w:ind w:left="1680"/>
    </w:pPr>
  </w:style>
  <w:style xmlns:r="http://schemas.openxmlformats.org/officeDocument/2006/relationships" w:type="paragraph" w:styleId="b7cbcab3">
    <w:name w:val="toc 3b7cbcab3b7cbcab3"/>
    <w:basedOn w:val="f4604d64"/>
    <w:next w:val="0"/>
    <w:pPr>
      <w:ind w:left="840"/>
    </w:pPr>
  </w:style>
  <w:style xmlns:r="http://schemas.openxmlformats.org/officeDocument/2006/relationships" w:type="paragraph" w:styleId="f381a036">
    <w:name w:val="footerf381a036f381a036"/>
    <w:basedOn w:val="f4604d64"/>
    <w:pPr>
      <w:tabs>
        <w:tab w:val="center" w:pos="4153"/>
        <w:tab w:val="right" w:pos="8307"/>
      </w:tabs>
      <w:adjustRightInd/>
      <w:snapToGrid w:val="0"/>
      <w:contextualSpacing w:val="0"/>
      <w:jc w:val="left"/>
    </w:pPr>
    <w:rPr>
      <w:sz w:val="18"/>
    </w:rPr>
  </w:style>
  <w:style xmlns:r="http://schemas.openxmlformats.org/officeDocument/2006/relationships" w:type="paragraph" w:styleId="84e7b450">
    <w:name w:val="header84e7b45084e7b450"/>
    <w:basedOn w:val="f4604d64"/>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93cbbe0">
    <w:name w:val="toc 1293cbbe0293cbbe0"/>
    <w:basedOn w:val="f4604d64"/>
    <w:next w:val="0"/>
  </w:style>
  <w:style xmlns:r="http://schemas.openxmlformats.org/officeDocument/2006/relationships" w:type="paragraph" w:styleId="be7b0233">
    <w:name w:val="toc 4be7b0233be7b0233"/>
    <w:basedOn w:val="f4604d64"/>
    <w:next w:val="0"/>
    <w:pPr>
      <w:ind w:left="1260"/>
    </w:pPr>
  </w:style>
  <w:style xmlns:r="http://schemas.openxmlformats.org/officeDocument/2006/relationships" w:type="paragraph" w:styleId="dc179f18">
    <w:name w:val="toc 2dc179f18dc179f18"/>
    <w:basedOn w:val="f4604d64"/>
    <w:next w:val="0"/>
    <w:pPr>
      <w:ind w:left="420"/>
    </w:pPr>
  </w:style>
  <w:style xmlns:r="http://schemas.openxmlformats.org/officeDocument/2006/relationships" w:type="paragraph" w:customStyle="1" w:styleId="8b08e7a9">
    <w:name w:val="列出段落18b08e7a98b08e7a9"/>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