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C57693">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603989A2">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3EF5D5ED">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094708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F5A73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7692D3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南银理财珠联璧合安稳1908一年定开公募人民币理财产品</w:t>
            </w:r>
          </w:p>
        </w:tc>
      </w:tr>
      <w:tr w14:paraId="1C9923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BD570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3CE1BE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定期开放式、固定收益类、公募、净值型</w:t>
            </w:r>
          </w:p>
        </w:tc>
      </w:tr>
      <w:tr w14:paraId="7CA2A7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2DBDC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6B8EB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3B5092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48C662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67124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ZC108691944630</w:t>
            </w:r>
          </w:p>
        </w:tc>
      </w:tr>
      <w:tr w14:paraId="7F4582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223F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58497B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Z7003221000023(投资者可依据该编码在中国理财网www.chinawealth.com.cn查询理财产品相关信息）</w:t>
            </w:r>
          </w:p>
        </w:tc>
      </w:tr>
      <w:tr w14:paraId="0CB725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D9F9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3B269DF6">
            <w:pPr>
              <w:spacing w:line="200" w:lineRule="exact"/>
            </w:pPr>
            <w:r>
              <w:rPr>
                <w:rFonts w:ascii="方正黑体_GBK" w:hAnsi="方正黑体_GBK" w:eastAsia="方正黑体_GBK" w:cs="宋体"/>
                <w:sz w:val="18"/>
                <w:szCs w:val="18"/>
              </w:rPr>
              <w:t>A份额：Z30004</w:t>
            </w:r>
          </w:p>
          <w:p w14:paraId="0F044651">
            <w:pPr>
              <w:spacing w:line="200" w:lineRule="exact"/>
            </w:pPr>
            <w:r>
              <w:rPr>
                <w:rFonts w:ascii="方正黑体_GBK" w:hAnsi="方正黑体_GBK" w:eastAsia="方正黑体_GBK" w:cs="宋体"/>
                <w:sz w:val="18"/>
                <w:szCs w:val="18"/>
              </w:rPr>
              <w:t>B份额：ZB30004</w:t>
            </w:r>
          </w:p>
          <w:p w14:paraId="6722C0AD">
            <w:pPr>
              <w:spacing w:line="200" w:lineRule="exact"/>
            </w:pPr>
            <w:r>
              <w:rPr>
                <w:rFonts w:ascii="方正黑体_GBK" w:hAnsi="方正黑体_GBK" w:eastAsia="方正黑体_GBK" w:cs="宋体"/>
                <w:sz w:val="18"/>
                <w:szCs w:val="18"/>
              </w:rPr>
              <w:t>C份额：ZC30004</w:t>
            </w:r>
          </w:p>
          <w:p w14:paraId="158D89B1">
            <w:pPr>
              <w:spacing w:line="200" w:lineRule="exact"/>
            </w:pPr>
            <w:r>
              <w:rPr>
                <w:rFonts w:ascii="方正黑体_GBK" w:hAnsi="方正黑体_GBK" w:eastAsia="方正黑体_GBK" w:cs="宋体"/>
                <w:sz w:val="18"/>
                <w:szCs w:val="18"/>
              </w:rPr>
              <w:t>D份额：ZD30004</w:t>
            </w:r>
          </w:p>
          <w:p w14:paraId="768DE4EE">
            <w:pPr>
              <w:spacing w:line="200" w:lineRule="exact"/>
            </w:pPr>
            <w:r>
              <w:rPr>
                <w:rFonts w:ascii="方正黑体_GBK" w:hAnsi="方正黑体_GBK" w:eastAsia="方正黑体_GBK" w:cs="宋体"/>
                <w:sz w:val="18"/>
                <w:szCs w:val="18"/>
              </w:rPr>
              <w:t>E份额：ZE30004</w:t>
            </w:r>
          </w:p>
          <w:p w14:paraId="66DE745F">
            <w:pPr>
              <w:spacing w:line="200" w:lineRule="exact"/>
            </w:pPr>
            <w:r>
              <w:rPr>
                <w:rFonts w:ascii="方正黑体_GBK" w:hAnsi="方正黑体_GBK" w:eastAsia="方正黑体_GBK" w:cs="宋体"/>
                <w:sz w:val="18"/>
                <w:szCs w:val="18"/>
              </w:rPr>
              <w:t>F份额：ZF30004</w:t>
            </w:r>
          </w:p>
          <w:p w14:paraId="7CDF5C16">
            <w:pPr>
              <w:spacing w:line="200" w:lineRule="exact"/>
            </w:pPr>
            <w:r>
              <w:rPr>
                <w:rFonts w:ascii="方正黑体_GBK" w:hAnsi="方正黑体_GBK" w:eastAsia="方正黑体_GBK" w:cs="宋体"/>
                <w:sz w:val="18"/>
                <w:szCs w:val="18"/>
              </w:rPr>
              <w:t>G份额：ZG30004</w:t>
            </w:r>
          </w:p>
          <w:p w14:paraId="0A329AF5">
            <w:pPr>
              <w:spacing w:line="200" w:lineRule="exact"/>
            </w:pPr>
            <w:r>
              <w:rPr>
                <w:rFonts w:ascii="方正黑体_GBK" w:hAnsi="方正黑体_GBK" w:eastAsia="方正黑体_GBK" w:cs="宋体"/>
                <w:sz w:val="18"/>
                <w:szCs w:val="18"/>
              </w:rPr>
              <w:t>H份额：ZH30004</w:t>
            </w:r>
          </w:p>
          <w:p w14:paraId="41E332F9">
            <w:pPr>
              <w:spacing w:line="200" w:lineRule="exact"/>
            </w:pPr>
            <w:r>
              <w:rPr>
                <w:rFonts w:ascii="方正黑体_GBK" w:hAnsi="方正黑体_GBK" w:eastAsia="方正黑体_GBK" w:cs="宋体"/>
                <w:sz w:val="18"/>
                <w:szCs w:val="18"/>
              </w:rPr>
              <w:t>J份额：ZJ30004</w:t>
            </w:r>
          </w:p>
          <w:p w14:paraId="1DD4EB8A">
            <w:pPr>
              <w:spacing w:line="200" w:lineRule="exact"/>
            </w:pPr>
            <w:r>
              <w:rPr>
                <w:rFonts w:ascii="方正黑体_GBK" w:hAnsi="方正黑体_GBK" w:eastAsia="方正黑体_GBK" w:cs="宋体"/>
                <w:sz w:val="18"/>
                <w:szCs w:val="18"/>
              </w:rPr>
              <w:t>K份额：ZK30004</w:t>
            </w:r>
          </w:p>
          <w:p w14:paraId="15C6473C">
            <w:pPr>
              <w:spacing w:line="200" w:lineRule="exact"/>
            </w:pPr>
            <w:r>
              <w:rPr>
                <w:rFonts w:ascii="方正黑体_GBK" w:hAnsi="方正黑体_GBK" w:eastAsia="方正黑体_GBK" w:cs="宋体"/>
                <w:sz w:val="18"/>
                <w:szCs w:val="18"/>
              </w:rPr>
              <w:t>M份额：ZM30004</w:t>
            </w:r>
          </w:p>
          <w:p w14:paraId="793825CF">
            <w:pPr>
              <w:spacing w:line="200" w:lineRule="exact"/>
            </w:pPr>
            <w:r>
              <w:rPr>
                <w:rFonts w:ascii="方正黑体_GBK" w:hAnsi="方正黑体_GBK" w:eastAsia="方正黑体_GBK" w:cs="宋体"/>
                <w:sz w:val="18"/>
                <w:szCs w:val="18"/>
              </w:rPr>
              <w:t>N份额：ZN30004</w:t>
            </w:r>
          </w:p>
          <w:p w14:paraId="18A69288">
            <w:pPr>
              <w:spacing w:line="200" w:lineRule="exact"/>
            </w:pPr>
            <w:r>
              <w:rPr>
                <w:rFonts w:ascii="方正黑体_GBK" w:hAnsi="方正黑体_GBK" w:eastAsia="方正黑体_GBK" w:cs="宋体"/>
                <w:sz w:val="18"/>
                <w:szCs w:val="18"/>
              </w:rPr>
              <w:t>O份额：ZO30004</w:t>
            </w:r>
          </w:p>
          <w:p w14:paraId="1A6213D8">
            <w:pPr>
              <w:spacing w:line="200" w:lineRule="exact"/>
            </w:pPr>
            <w:r>
              <w:rPr>
                <w:rFonts w:ascii="方正黑体_GBK" w:hAnsi="方正黑体_GBK" w:eastAsia="方正黑体_GBK" w:cs="宋体"/>
                <w:sz w:val="18"/>
                <w:szCs w:val="18"/>
              </w:rPr>
              <w:t>A2份额：Z31004</w:t>
            </w:r>
          </w:p>
          <w:p w14:paraId="2479671F">
            <w:pPr>
              <w:spacing w:line="200" w:lineRule="exact"/>
            </w:pPr>
            <w:r>
              <w:rPr>
                <w:rFonts w:ascii="方正黑体_GBK" w:hAnsi="方正黑体_GBK" w:eastAsia="方正黑体_GBK" w:cs="宋体"/>
                <w:sz w:val="18"/>
                <w:szCs w:val="18"/>
              </w:rPr>
              <w:t>B2份额：ZB31004</w:t>
            </w:r>
          </w:p>
          <w:p w14:paraId="39394D69">
            <w:pPr>
              <w:spacing w:line="200" w:lineRule="exact"/>
            </w:pPr>
            <w:r>
              <w:rPr>
                <w:rFonts w:ascii="方正黑体_GBK" w:hAnsi="方正黑体_GBK" w:eastAsia="方正黑体_GBK" w:cs="宋体"/>
                <w:sz w:val="18"/>
                <w:szCs w:val="18"/>
              </w:rPr>
              <w:t>C2份额：ZC31004</w:t>
            </w:r>
          </w:p>
          <w:p w14:paraId="561DE516">
            <w:pPr>
              <w:spacing w:line="200" w:lineRule="exact"/>
            </w:pPr>
            <w:r>
              <w:rPr>
                <w:rFonts w:ascii="方正黑体_GBK" w:hAnsi="方正黑体_GBK" w:eastAsia="方正黑体_GBK" w:cs="宋体"/>
                <w:sz w:val="18"/>
                <w:szCs w:val="18"/>
              </w:rPr>
              <w:t>D2份额：ZD31004</w:t>
            </w:r>
          </w:p>
          <w:p w14:paraId="76CF130B">
            <w:pPr>
              <w:spacing w:line="200" w:lineRule="exact"/>
            </w:pPr>
            <w:r>
              <w:rPr>
                <w:rFonts w:ascii="方正黑体_GBK" w:hAnsi="方正黑体_GBK" w:eastAsia="方正黑体_GBK" w:cs="宋体"/>
                <w:sz w:val="18"/>
                <w:szCs w:val="18"/>
              </w:rPr>
              <w:t>E2份额：ZE31004</w:t>
            </w:r>
          </w:p>
          <w:p w14:paraId="5AA2AE7E">
            <w:pPr>
              <w:spacing w:line="200" w:lineRule="exact"/>
            </w:pPr>
            <w:r>
              <w:rPr>
                <w:rFonts w:ascii="方正黑体_GBK" w:hAnsi="方正黑体_GBK" w:eastAsia="方正黑体_GBK" w:cs="宋体"/>
                <w:sz w:val="18"/>
                <w:szCs w:val="18"/>
              </w:rPr>
              <w:t>A3份额：Z32004</w:t>
            </w:r>
          </w:p>
          <w:p w14:paraId="388DB60B">
            <w:pPr>
              <w:spacing w:line="200" w:lineRule="exact"/>
            </w:pPr>
            <w:r>
              <w:rPr>
                <w:rFonts w:ascii="方正黑体_GBK" w:hAnsi="方正黑体_GBK" w:eastAsia="方正黑体_GBK" w:cs="宋体"/>
                <w:sz w:val="18"/>
                <w:szCs w:val="18"/>
              </w:rPr>
              <w:t>B3份额：ZB32004</w:t>
            </w:r>
          </w:p>
          <w:p w14:paraId="61657493">
            <w:pPr>
              <w:spacing w:line="200" w:lineRule="exact"/>
            </w:pPr>
            <w:r>
              <w:rPr>
                <w:rFonts w:ascii="方正黑体_GBK" w:hAnsi="方正黑体_GBK" w:eastAsia="方正黑体_GBK" w:cs="宋体"/>
                <w:sz w:val="18"/>
                <w:szCs w:val="18"/>
              </w:rPr>
              <w:t>C3份额：ZC32004</w:t>
            </w:r>
          </w:p>
          <w:p w14:paraId="0E93393B">
            <w:pPr>
              <w:spacing w:line="200" w:lineRule="exact"/>
            </w:pPr>
            <w:r>
              <w:rPr>
                <w:rFonts w:ascii="方正黑体_GBK" w:hAnsi="方正黑体_GBK" w:eastAsia="方正黑体_GBK" w:cs="宋体"/>
                <w:sz w:val="18"/>
                <w:szCs w:val="18"/>
              </w:rPr>
              <w:t>D3份额：ZD32004</w:t>
            </w:r>
          </w:p>
          <w:p w14:paraId="24AEBCC6">
            <w:pPr>
              <w:spacing w:line="200" w:lineRule="exact"/>
            </w:pPr>
            <w:r>
              <w:rPr>
                <w:rFonts w:ascii="方正黑体_GBK" w:hAnsi="方正黑体_GBK" w:eastAsia="方正黑体_GBK" w:cs="宋体"/>
                <w:sz w:val="18"/>
                <w:szCs w:val="18"/>
              </w:rPr>
              <w:t>E3份额：ZE32004</w:t>
            </w:r>
          </w:p>
          <w:p w14:paraId="7466DD07">
            <w:pPr>
              <w:spacing w:line="200" w:lineRule="exact"/>
            </w:pPr>
            <w:r>
              <w:rPr>
                <w:rFonts w:ascii="方正黑体_GBK" w:hAnsi="方正黑体_GBK" w:eastAsia="方正黑体_GBK" w:cs="宋体"/>
                <w:sz w:val="18"/>
                <w:szCs w:val="18"/>
              </w:rPr>
              <w:t>A4份额：Z33004</w:t>
            </w:r>
          </w:p>
          <w:p w14:paraId="7B8559C7">
            <w:pPr>
              <w:spacing w:line="200" w:lineRule="exact"/>
            </w:pPr>
            <w:r>
              <w:rPr>
                <w:rFonts w:ascii="方正黑体_GBK" w:hAnsi="方正黑体_GBK" w:eastAsia="方正黑体_GBK" w:cs="宋体"/>
                <w:sz w:val="18"/>
                <w:szCs w:val="18"/>
              </w:rPr>
              <w:t>B4份额：ZB33004</w:t>
            </w:r>
          </w:p>
          <w:p w14:paraId="334A99BA">
            <w:pPr>
              <w:spacing w:line="200" w:lineRule="exact"/>
            </w:pPr>
            <w:r>
              <w:rPr>
                <w:rFonts w:ascii="方正黑体_GBK" w:hAnsi="方正黑体_GBK" w:eastAsia="方正黑体_GBK" w:cs="宋体"/>
                <w:sz w:val="18"/>
                <w:szCs w:val="18"/>
              </w:rPr>
              <w:t>C4份额：ZC33004</w:t>
            </w:r>
          </w:p>
          <w:p w14:paraId="04CEFEA3">
            <w:pPr>
              <w:spacing w:line="200" w:lineRule="exact"/>
            </w:pPr>
            <w:r>
              <w:rPr>
                <w:rFonts w:ascii="方正黑体_GBK" w:hAnsi="方正黑体_GBK" w:eastAsia="方正黑体_GBK" w:cs="宋体"/>
                <w:sz w:val="18"/>
                <w:szCs w:val="18"/>
              </w:rPr>
              <w:t>D4份额：ZD33004</w:t>
            </w:r>
          </w:p>
          <w:p w14:paraId="50F8EE4B">
            <w:pPr>
              <w:spacing w:line="200" w:lineRule="exact"/>
            </w:pPr>
            <w:r>
              <w:rPr>
                <w:rFonts w:ascii="方正黑体_GBK" w:hAnsi="方正黑体_GBK" w:eastAsia="方正黑体_GBK" w:cs="宋体"/>
                <w:sz w:val="18"/>
                <w:szCs w:val="18"/>
              </w:rPr>
              <w:t>E4份额：ZE33004</w:t>
            </w:r>
          </w:p>
          <w:p w14:paraId="5FA21A67">
            <w:pPr>
              <w:spacing w:line="200" w:lineRule="exact"/>
            </w:pPr>
            <w:r>
              <w:rPr>
                <w:rFonts w:ascii="方正黑体_GBK" w:hAnsi="方正黑体_GBK" w:eastAsia="方正黑体_GBK" w:cs="宋体"/>
                <w:sz w:val="18"/>
                <w:szCs w:val="18"/>
              </w:rPr>
              <w:t>F2份额：ZF31004</w:t>
            </w:r>
          </w:p>
          <w:p w14:paraId="0AF03DDF">
            <w:pPr>
              <w:spacing w:line="200" w:lineRule="exact"/>
            </w:pPr>
            <w:r>
              <w:rPr>
                <w:rFonts w:ascii="方正黑体_GBK" w:hAnsi="方正黑体_GBK" w:eastAsia="方正黑体_GBK" w:cs="宋体"/>
                <w:sz w:val="18"/>
                <w:szCs w:val="18"/>
              </w:rPr>
              <w:t>F3份额：ZF32004</w:t>
            </w:r>
          </w:p>
          <w:p w14:paraId="7069C1DB">
            <w:pPr>
              <w:spacing w:line="200" w:lineRule="exact"/>
            </w:pPr>
            <w:r>
              <w:rPr>
                <w:rFonts w:ascii="方正黑体_GBK" w:hAnsi="方正黑体_GBK" w:eastAsia="方正黑体_GBK" w:cs="宋体"/>
                <w:sz w:val="18"/>
                <w:szCs w:val="18"/>
              </w:rPr>
              <w:t>G2份额：ZG31004</w:t>
            </w:r>
          </w:p>
          <w:p w14:paraId="1FFF968A">
            <w:pPr>
              <w:spacing w:line="200" w:lineRule="exact"/>
            </w:pPr>
            <w:r>
              <w:rPr>
                <w:rFonts w:ascii="方正黑体_GBK" w:hAnsi="方正黑体_GBK" w:eastAsia="方正黑体_GBK" w:cs="宋体"/>
                <w:sz w:val="18"/>
                <w:szCs w:val="18"/>
              </w:rPr>
              <w:t>G3份额：ZG32004</w:t>
            </w:r>
          </w:p>
          <w:p w14:paraId="14B2A0B6">
            <w:pPr>
              <w:spacing w:line="200" w:lineRule="exact"/>
            </w:pPr>
            <w:r>
              <w:rPr>
                <w:rFonts w:ascii="方正黑体_GBK" w:hAnsi="方正黑体_GBK" w:eastAsia="方正黑体_GBK" w:cs="宋体"/>
                <w:sz w:val="18"/>
                <w:szCs w:val="18"/>
              </w:rPr>
              <w:t>F4份额：ZF33004</w:t>
            </w:r>
          </w:p>
          <w:p w14:paraId="35837C9A">
            <w:pPr>
              <w:spacing w:line="200" w:lineRule="exact"/>
            </w:pPr>
            <w:r>
              <w:rPr>
                <w:rFonts w:ascii="方正黑体_GBK" w:hAnsi="方正黑体_GBK" w:eastAsia="方正黑体_GBK" w:cs="宋体"/>
                <w:sz w:val="18"/>
                <w:szCs w:val="18"/>
              </w:rPr>
              <w:t>G4份额：ZG33004</w:t>
            </w:r>
          </w:p>
          <w:p w14:paraId="24A50ACA">
            <w:pPr>
              <w:spacing w:line="200" w:lineRule="exact"/>
            </w:pPr>
            <w:r>
              <w:rPr>
                <w:rFonts w:ascii="方正黑体_GBK" w:hAnsi="方正黑体_GBK" w:eastAsia="方正黑体_GBK" w:cs="宋体"/>
                <w:sz w:val="18"/>
                <w:szCs w:val="18"/>
              </w:rPr>
              <w:t>H4份额：ZH33004</w:t>
            </w:r>
          </w:p>
          <w:p w14:paraId="39FD4712">
            <w:pPr>
              <w:spacing w:line="200" w:lineRule="exact"/>
            </w:pPr>
            <w:r>
              <w:rPr>
                <w:rFonts w:ascii="方正黑体_GBK" w:hAnsi="方正黑体_GBK" w:eastAsia="方正黑体_GBK" w:cs="宋体"/>
                <w:sz w:val="18"/>
                <w:szCs w:val="18"/>
              </w:rPr>
              <w:t>I2份额：ZI31004</w:t>
            </w:r>
          </w:p>
          <w:p w14:paraId="05178639">
            <w:pPr>
              <w:spacing w:line="200" w:lineRule="exact"/>
            </w:pPr>
            <w:r>
              <w:rPr>
                <w:rFonts w:ascii="方正黑体_GBK" w:hAnsi="方正黑体_GBK" w:eastAsia="方正黑体_GBK" w:cs="宋体"/>
                <w:sz w:val="18"/>
                <w:szCs w:val="18"/>
              </w:rPr>
              <w:t>J2份额：ZJ31004</w:t>
            </w:r>
          </w:p>
          <w:p w14:paraId="12315BAF">
            <w:pPr>
              <w:spacing w:line="200" w:lineRule="exact"/>
            </w:pPr>
            <w:r>
              <w:rPr>
                <w:rFonts w:ascii="方正黑体_GBK" w:hAnsi="方正黑体_GBK" w:eastAsia="方正黑体_GBK" w:cs="宋体"/>
                <w:sz w:val="18"/>
                <w:szCs w:val="18"/>
              </w:rPr>
              <w:t>K2份额：ZK31004</w:t>
            </w:r>
          </w:p>
          <w:p w14:paraId="0BDAEBF2">
            <w:pPr>
              <w:spacing w:line="200" w:lineRule="exact"/>
            </w:pPr>
            <w:r>
              <w:rPr>
                <w:rFonts w:ascii="方正黑体_GBK" w:hAnsi="方正黑体_GBK" w:eastAsia="方正黑体_GBK" w:cs="宋体"/>
                <w:sz w:val="18"/>
                <w:szCs w:val="18"/>
              </w:rPr>
              <w:t>J3份额：ZJ32004</w:t>
            </w:r>
          </w:p>
          <w:p w14:paraId="219EEFA3">
            <w:pPr>
              <w:spacing w:line="200" w:lineRule="exact"/>
            </w:pPr>
            <w:r>
              <w:rPr>
                <w:rFonts w:ascii="方正黑体_GBK" w:hAnsi="方正黑体_GBK" w:eastAsia="方正黑体_GBK" w:cs="宋体"/>
                <w:sz w:val="18"/>
                <w:szCs w:val="18"/>
              </w:rPr>
              <w:t>K3份额：ZK32004</w:t>
            </w:r>
          </w:p>
          <w:p w14:paraId="6CBEC1A7">
            <w:pPr>
              <w:spacing w:line="200" w:lineRule="exact"/>
            </w:pPr>
            <w:r>
              <w:rPr>
                <w:rFonts w:ascii="方正黑体_GBK" w:hAnsi="方正黑体_GBK" w:eastAsia="方正黑体_GBK" w:cs="宋体"/>
                <w:sz w:val="18"/>
                <w:szCs w:val="18"/>
              </w:rPr>
              <w:t>L3份额：ZL32004</w:t>
            </w:r>
          </w:p>
          <w:p w14:paraId="33C8F5BB">
            <w:pPr>
              <w:spacing w:line="200" w:lineRule="exact"/>
            </w:pPr>
            <w:r>
              <w:rPr>
                <w:rFonts w:ascii="方正黑体_GBK" w:hAnsi="方正黑体_GBK" w:eastAsia="方正黑体_GBK" w:cs="宋体"/>
                <w:sz w:val="18"/>
                <w:szCs w:val="18"/>
              </w:rPr>
              <w:t>J4份额：ZJ33004</w:t>
            </w:r>
          </w:p>
          <w:p w14:paraId="3623881C">
            <w:pPr>
              <w:spacing w:line="200" w:lineRule="exact"/>
            </w:pPr>
            <w:r>
              <w:rPr>
                <w:rFonts w:ascii="方正黑体_GBK" w:hAnsi="方正黑体_GBK" w:eastAsia="方正黑体_GBK" w:cs="宋体"/>
                <w:sz w:val="18"/>
                <w:szCs w:val="18"/>
              </w:rPr>
              <w:t>K4份额：ZK33003</w:t>
            </w:r>
          </w:p>
          <w:p w14:paraId="0C8D1EE8">
            <w:pPr>
              <w:spacing w:line="200" w:lineRule="exact"/>
            </w:pPr>
            <w:r>
              <w:rPr>
                <w:rFonts w:ascii="方正黑体_GBK" w:hAnsi="方正黑体_GBK" w:eastAsia="方正黑体_GBK" w:cs="宋体"/>
                <w:sz w:val="18"/>
                <w:szCs w:val="18"/>
              </w:rPr>
              <w:t>I4份额：ZI33004</w:t>
            </w:r>
          </w:p>
          <w:p w14:paraId="17701801">
            <w:pPr>
              <w:spacing w:line="200" w:lineRule="exact"/>
            </w:pPr>
            <w:r>
              <w:rPr>
                <w:rFonts w:ascii="方正黑体_GBK" w:hAnsi="方正黑体_GBK" w:eastAsia="方正黑体_GBK" w:cs="宋体"/>
                <w:sz w:val="18"/>
                <w:szCs w:val="18"/>
              </w:rPr>
              <w:t>M2份额：ZM31004</w:t>
            </w:r>
          </w:p>
          <w:p w14:paraId="4B44CC62">
            <w:pPr>
              <w:spacing w:line="200" w:lineRule="exact"/>
            </w:pPr>
            <w:r>
              <w:rPr>
                <w:rFonts w:ascii="方正黑体_GBK" w:hAnsi="方正黑体_GBK" w:eastAsia="方正黑体_GBK" w:cs="宋体"/>
                <w:sz w:val="18"/>
                <w:szCs w:val="18"/>
              </w:rPr>
              <w:t>M3份额：ZM32004</w:t>
            </w:r>
          </w:p>
          <w:p w14:paraId="3A6FBAB7">
            <w:pPr>
              <w:spacing w:line="200" w:lineRule="exact"/>
            </w:pPr>
            <w:r>
              <w:rPr>
                <w:rFonts w:ascii="方正黑体_GBK" w:hAnsi="方正黑体_GBK" w:eastAsia="方正黑体_GBK" w:cs="宋体"/>
                <w:sz w:val="18"/>
                <w:szCs w:val="18"/>
              </w:rPr>
              <w:t>M4份额：ZM33004</w:t>
            </w:r>
          </w:p>
          <w:p w14:paraId="697635B7">
            <w:pPr>
              <w:spacing w:line="200" w:lineRule="exact"/>
            </w:pPr>
            <w:r>
              <w:rPr>
                <w:rFonts w:ascii="方正黑体_GBK" w:hAnsi="方正黑体_GBK" w:eastAsia="方正黑体_GBK" w:cs="宋体"/>
                <w:sz w:val="18"/>
                <w:szCs w:val="18"/>
              </w:rPr>
              <w:t>O2份额：ZO31004</w:t>
            </w:r>
          </w:p>
          <w:p w14:paraId="6C494CF1">
            <w:pPr>
              <w:spacing w:line="200" w:lineRule="exact"/>
            </w:pPr>
            <w:r>
              <w:rPr>
                <w:rFonts w:ascii="方正黑体_GBK" w:hAnsi="方正黑体_GBK" w:eastAsia="方正黑体_GBK" w:cs="宋体"/>
                <w:sz w:val="18"/>
                <w:szCs w:val="18"/>
              </w:rPr>
              <w:t>O3份额：ZO32004</w:t>
            </w:r>
          </w:p>
          <w:p w14:paraId="3F85D69C">
            <w:pPr>
              <w:spacing w:line="200" w:lineRule="exact"/>
            </w:pPr>
            <w:r>
              <w:rPr>
                <w:rFonts w:ascii="方正黑体_GBK" w:hAnsi="方正黑体_GBK" w:eastAsia="方正黑体_GBK" w:cs="宋体"/>
                <w:sz w:val="18"/>
                <w:szCs w:val="18"/>
              </w:rPr>
              <w:t>O4份额：ZO33004</w:t>
            </w:r>
          </w:p>
          <w:p w14:paraId="68DE3556">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180DB2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5C9CD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5F26254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sz w:val="18"/>
                <w:szCs w:val="18"/>
              </w:rPr>
              <w:t>10年</w:t>
            </w:r>
            <w:r>
              <w:rPr>
                <w:rFonts w:hint="eastAsia" w:ascii="方正黑体_GBK" w:hAnsi="方正黑体_GBK" w:eastAsia="方正黑体_GBK" w:cs="宋体"/>
                <w:kern w:val="0"/>
                <w:sz w:val="18"/>
                <w:szCs w:val="18"/>
                <w:lang w:val="en-US" w:eastAsia="zh-CN"/>
              </w:rPr>
              <w:t>（管理人有权提前终止或延期终止）</w:t>
            </w:r>
          </w:p>
        </w:tc>
      </w:tr>
      <w:tr w14:paraId="0B303D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5241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2A190128">
            <w:pPr>
              <w:spacing w:line="200" w:lineRule="exact"/>
            </w:pPr>
            <w:r>
              <w:rPr>
                <w:rFonts w:ascii="方正黑体_GBK" w:hAnsi="方正黑体_GBK" w:eastAsia="方正黑体_GBK" w:cs="宋体"/>
                <w:sz w:val="18"/>
                <w:szCs w:val="18"/>
              </w:rPr>
              <w:t>全国</w:t>
            </w:r>
          </w:p>
        </w:tc>
      </w:tr>
      <w:tr w14:paraId="4C0EF3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7635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34E0D42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50B9D7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75B0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2ADF3280">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14:paraId="638A5D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C615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4FFF95FB">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D81F31C">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28EE91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BFC9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4A7F8A9F">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743EEB2C">
            <w:pPr>
              <w:spacing w:line="200" w:lineRule="exact"/>
            </w:pPr>
            <w:r>
              <w:rPr>
                <w:rFonts w:ascii="方正黑体_GBK" w:hAnsi="方正黑体_GBK" w:eastAsia="方正黑体_GBK" w:cs="宋体"/>
                <w:sz w:val="18"/>
                <w:szCs w:val="18"/>
              </w:rPr>
              <w:t>A份额：南京银行股份有限公司、南银理财有限责任公司、江苏常熟农村商业银行股份有限公司、日照银行股份有限公司、秦皇岛银行股份有限公司、齐鲁银行股份有限公司、深圳前海微众银行股份有限公司、九江银行股份有限公司、互金平台、无锡锡商银行股份有限公司、江苏扬州农村商业银行股份有限公司、江苏如皋农村商业银行股份有限公司、江苏江阴农村商业银行股份有限公司。</w:t>
            </w:r>
          </w:p>
          <w:p w14:paraId="69B5C786">
            <w:pPr>
              <w:spacing w:line="200" w:lineRule="exact"/>
            </w:pPr>
            <w:r>
              <w:rPr>
                <w:rFonts w:ascii="方正黑体_GBK" w:hAnsi="方正黑体_GBK" w:eastAsia="方正黑体_GBK" w:cs="宋体"/>
                <w:sz w:val="18"/>
                <w:szCs w:val="18"/>
              </w:rPr>
              <w:t>B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仪征农村商业银行股份有限公司、江苏沭阳农村商业银行股份有限公司客户。</w:t>
            </w:r>
          </w:p>
          <w:p w14:paraId="527CC358">
            <w:pPr>
              <w:spacing w:line="200" w:lineRule="exact"/>
            </w:pPr>
            <w:r>
              <w:rPr>
                <w:rFonts w:ascii="方正黑体_GBK" w:hAnsi="方正黑体_GBK" w:eastAsia="方正黑体_GBK" w:cs="宋体"/>
                <w:sz w:val="18"/>
                <w:szCs w:val="18"/>
              </w:rPr>
              <w:t>C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14:paraId="6D7246B7">
            <w:pPr>
              <w:spacing w:line="200" w:lineRule="exact"/>
            </w:pPr>
            <w:r>
              <w:rPr>
                <w:rFonts w:ascii="方正黑体_GBK" w:hAnsi="方正黑体_GBK" w:eastAsia="方正黑体_GBK" w:cs="宋体"/>
                <w:sz w:val="18"/>
                <w:szCs w:val="18"/>
              </w:rPr>
              <w:t>D份额：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客户。</w:t>
            </w:r>
          </w:p>
          <w:p w14:paraId="6BBE6E79">
            <w:pPr>
              <w:spacing w:line="200" w:lineRule="exact"/>
            </w:pPr>
            <w:r>
              <w:rPr>
                <w:rFonts w:ascii="方正黑体_GBK" w:hAnsi="方正黑体_GBK" w:eastAsia="方正黑体_GBK" w:cs="宋体"/>
                <w:sz w:val="18"/>
                <w:szCs w:val="18"/>
              </w:rPr>
              <w:t>E份额：天津农村商业银行股份有限公司（特邀客户）、云南红塔银行股份有限公司（财富300万客户）、甘肃银行股份有限公司（教师节特供）、江苏镇江农村商业银行股份有限公司（100万元起购）、江苏句容农村商业银行股份有限公司、江苏沛县农村商业银行股份有限公司（高端客户专属）客户。</w:t>
            </w:r>
          </w:p>
          <w:p w14:paraId="7BBB0FE0">
            <w:pPr>
              <w:spacing w:line="200" w:lineRule="exact"/>
            </w:pPr>
            <w:r>
              <w:rPr>
                <w:rFonts w:ascii="方正黑体_GBK" w:hAnsi="方正黑体_GBK" w:eastAsia="方正黑体_GBK" w:cs="宋体"/>
                <w:sz w:val="18"/>
                <w:szCs w:val="18"/>
              </w:rPr>
              <w:t>F份额：南京银行私行客户、钻石客户、新晋私行客户、新晋钻石户及南京银行认定的其他符合标准的客户。</w:t>
            </w:r>
          </w:p>
          <w:p w14:paraId="0BB7D95A">
            <w:pPr>
              <w:spacing w:line="200" w:lineRule="exact"/>
            </w:pPr>
            <w:r>
              <w:rPr>
                <w:rFonts w:ascii="方正黑体_GBK" w:hAnsi="方正黑体_GBK" w:eastAsia="方正黑体_GBK" w:cs="宋体"/>
                <w:sz w:val="18"/>
                <w:szCs w:val="18"/>
              </w:rPr>
              <w:t>G份额：成都银行股份有限公司客户。</w:t>
            </w:r>
          </w:p>
          <w:p w14:paraId="2E3D4DF3">
            <w:pPr>
              <w:spacing w:line="200" w:lineRule="exact"/>
            </w:pPr>
            <w:r>
              <w:rPr>
                <w:rFonts w:ascii="方正黑体_GBK" w:hAnsi="方正黑体_GBK" w:eastAsia="方正黑体_GBK" w:cs="宋体"/>
                <w:sz w:val="18"/>
                <w:szCs w:val="18"/>
              </w:rPr>
              <w:t>H份额：南京银行股份有限公司代发客户。</w:t>
            </w:r>
          </w:p>
          <w:p w14:paraId="1A83732A">
            <w:pPr>
              <w:spacing w:line="200" w:lineRule="exact"/>
            </w:pPr>
            <w:r>
              <w:rPr>
                <w:rFonts w:ascii="方正黑体_GBK" w:hAnsi="方正黑体_GBK" w:eastAsia="方正黑体_GBK" w:cs="宋体"/>
                <w:sz w:val="18"/>
                <w:szCs w:val="18"/>
              </w:rPr>
              <w:t>J份额：兴业银行股份有限公司客户。</w:t>
            </w:r>
          </w:p>
          <w:p w14:paraId="1F78EB41">
            <w:pPr>
              <w:spacing w:line="200" w:lineRule="exact"/>
            </w:pPr>
            <w:r>
              <w:rPr>
                <w:rFonts w:ascii="方正黑体_GBK" w:hAnsi="方正黑体_GBK" w:eastAsia="方正黑体_GBK" w:cs="宋体"/>
                <w:sz w:val="18"/>
                <w:szCs w:val="18"/>
              </w:rPr>
              <w:t>K份额：交通银行股份有限公司客户。</w:t>
            </w:r>
          </w:p>
          <w:p w14:paraId="444E7243">
            <w:pPr>
              <w:spacing w:line="200" w:lineRule="exact"/>
            </w:pPr>
            <w:r>
              <w:rPr>
                <w:rFonts w:ascii="方正黑体_GBK" w:hAnsi="方正黑体_GBK" w:eastAsia="方正黑体_GBK" w:cs="宋体"/>
                <w:sz w:val="18"/>
                <w:szCs w:val="18"/>
              </w:rPr>
              <w:t>M份额：苏州银行股份有限公司、嘉兴银行股份有限公司、宁波通商银行股份有限公司客户。</w:t>
            </w:r>
          </w:p>
          <w:p w14:paraId="1061D695">
            <w:pPr>
              <w:spacing w:line="200" w:lineRule="exact"/>
            </w:pPr>
            <w:r>
              <w:rPr>
                <w:rFonts w:ascii="方正黑体_GBK" w:hAnsi="方正黑体_GBK" w:eastAsia="方正黑体_GBK" w:cs="宋体"/>
                <w:sz w:val="18"/>
                <w:szCs w:val="18"/>
              </w:rPr>
              <w:t>N份额：苏州银行股份有限公司（代发与新资金专属）客户。</w:t>
            </w:r>
          </w:p>
          <w:p w14:paraId="42EA117F">
            <w:pPr>
              <w:spacing w:line="200" w:lineRule="exact"/>
            </w:pPr>
            <w:r>
              <w:rPr>
                <w:rFonts w:ascii="方正黑体_GBK" w:hAnsi="方正黑体_GBK" w:eastAsia="方正黑体_GBK" w:cs="宋体"/>
                <w:sz w:val="18"/>
                <w:szCs w:val="18"/>
              </w:rPr>
              <w:t>O份额：广发银行股份有限公司所有个人客户。</w:t>
            </w:r>
          </w:p>
          <w:p w14:paraId="07AFE7BE">
            <w:pPr>
              <w:spacing w:line="200" w:lineRule="exact"/>
            </w:pPr>
            <w:r>
              <w:rPr>
                <w:rFonts w:ascii="方正黑体_GBK" w:hAnsi="方正黑体_GBK" w:eastAsia="方正黑体_GBK" w:cs="宋体"/>
                <w:sz w:val="18"/>
                <w:szCs w:val="18"/>
              </w:rPr>
              <w:t>A2份额：南京银行股份有限公司、九江银行股份有限公司、江苏江阴农村商业银行股份有限公司客户。</w:t>
            </w:r>
          </w:p>
          <w:p w14:paraId="50BF113F">
            <w:pPr>
              <w:spacing w:line="200" w:lineRule="exact"/>
            </w:pPr>
            <w:r>
              <w:rPr>
                <w:rFonts w:ascii="方正黑体_GBK" w:hAnsi="方正黑体_GBK" w:eastAsia="方正黑体_GBK" w:cs="宋体"/>
                <w:sz w:val="18"/>
                <w:szCs w:val="18"/>
              </w:rPr>
              <w:t>B2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仪征农村商业银行股份有限公司、江苏沭阳农村商业银行股份有限公司客户。</w:t>
            </w:r>
          </w:p>
          <w:p w14:paraId="49C6111A">
            <w:pPr>
              <w:spacing w:line="200" w:lineRule="exact"/>
            </w:pPr>
            <w:r>
              <w:rPr>
                <w:rFonts w:ascii="方正黑体_GBK" w:hAnsi="方正黑体_GBK" w:eastAsia="方正黑体_GBK" w:cs="宋体"/>
                <w:sz w:val="18"/>
                <w:szCs w:val="18"/>
              </w:rPr>
              <w:t>C2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14:paraId="545039A6">
            <w:pPr>
              <w:spacing w:line="200" w:lineRule="exact"/>
            </w:pPr>
            <w:r>
              <w:rPr>
                <w:rFonts w:ascii="方正黑体_GBK" w:hAnsi="方正黑体_GBK" w:eastAsia="方正黑体_GBK" w:cs="宋体"/>
                <w:sz w:val="18"/>
                <w:szCs w:val="18"/>
              </w:rPr>
              <w:t>D2份额：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客户。</w:t>
            </w:r>
          </w:p>
          <w:p w14:paraId="532E2DB7">
            <w:pPr>
              <w:spacing w:line="200" w:lineRule="exact"/>
            </w:pPr>
            <w:r>
              <w:rPr>
                <w:rFonts w:ascii="方正黑体_GBK" w:hAnsi="方正黑体_GBK" w:eastAsia="方正黑体_GBK" w:cs="宋体"/>
                <w:sz w:val="18"/>
                <w:szCs w:val="18"/>
              </w:rPr>
              <w:t>E2份额：天津农村商业银行股份有限公司（特邀客户）、云南红塔银行股份有限公司（财富300万客户）、甘肃银行股份有限公司（教师节特供）、江苏镇江农村商业银行股份有限公司（100万元起购）、江苏句容农村商业银行股份有限公司、江苏沛县农村商业银行股份有限公司（高端客户专属）客户。</w:t>
            </w:r>
          </w:p>
          <w:p w14:paraId="70E3DF02">
            <w:pPr>
              <w:spacing w:line="200" w:lineRule="exact"/>
            </w:pPr>
            <w:r>
              <w:rPr>
                <w:rFonts w:ascii="方正黑体_GBK" w:hAnsi="方正黑体_GBK" w:eastAsia="方正黑体_GBK" w:cs="宋体"/>
                <w:sz w:val="18"/>
                <w:szCs w:val="18"/>
              </w:rPr>
              <w:t>A3份额：南京银行股份有限公司、九江银行股份有限公司、江苏江阴农村商业银行股份有限公司客户。</w:t>
            </w:r>
          </w:p>
          <w:p w14:paraId="0D1C2142">
            <w:pPr>
              <w:spacing w:line="200" w:lineRule="exact"/>
            </w:pPr>
            <w:r>
              <w:rPr>
                <w:rFonts w:ascii="方正黑体_GBK" w:hAnsi="方正黑体_GBK" w:eastAsia="方正黑体_GBK" w:cs="宋体"/>
                <w:sz w:val="18"/>
                <w:szCs w:val="18"/>
              </w:rPr>
              <w:t>B3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仪征农村商业银行股份有限公司、江苏沭阳农村商业银行股份有限公司客户。</w:t>
            </w:r>
          </w:p>
          <w:p w14:paraId="433A12F7">
            <w:pPr>
              <w:spacing w:line="200" w:lineRule="exact"/>
            </w:pPr>
            <w:r>
              <w:rPr>
                <w:rFonts w:ascii="方正黑体_GBK" w:hAnsi="方正黑体_GBK" w:eastAsia="方正黑体_GBK" w:cs="宋体"/>
                <w:sz w:val="18"/>
                <w:szCs w:val="18"/>
              </w:rPr>
              <w:t>C3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14:paraId="6161764F">
            <w:pPr>
              <w:spacing w:line="200" w:lineRule="exact"/>
            </w:pPr>
            <w:r>
              <w:rPr>
                <w:rFonts w:ascii="方正黑体_GBK" w:hAnsi="方正黑体_GBK" w:eastAsia="方正黑体_GBK" w:cs="宋体"/>
                <w:sz w:val="18"/>
                <w:szCs w:val="18"/>
              </w:rPr>
              <w:t>D3份额：南京银行股份有限公司（新客、新资金（20万））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客户。</w:t>
            </w:r>
          </w:p>
          <w:p w14:paraId="707AF746">
            <w:pPr>
              <w:spacing w:line="200" w:lineRule="exact"/>
            </w:pPr>
            <w:r>
              <w:rPr>
                <w:rFonts w:ascii="方正黑体_GBK" w:hAnsi="方正黑体_GBK" w:eastAsia="方正黑体_GBK" w:cs="宋体"/>
                <w:sz w:val="18"/>
                <w:szCs w:val="18"/>
              </w:rPr>
              <w:t>E3份额：天津农村商业银行股份有限公司（特邀客户）、云南红塔银行股份有限公司（财富300万客户）、甘肃银行股份有限公司（教师节特供）、江苏镇江农村商业银行股份有限公司（100万元起购）、江苏句容农村商业银行股份有限公司、江苏沛县农村商业银行股份有限公司（高端客户专属）客户。</w:t>
            </w:r>
          </w:p>
          <w:p w14:paraId="13847216">
            <w:pPr>
              <w:spacing w:line="200" w:lineRule="exact"/>
            </w:pPr>
            <w:r>
              <w:rPr>
                <w:rFonts w:ascii="方正黑体_GBK" w:hAnsi="方正黑体_GBK" w:eastAsia="方正黑体_GBK" w:cs="宋体"/>
                <w:sz w:val="18"/>
                <w:szCs w:val="18"/>
              </w:rPr>
              <w:t>A4份额：南京银行股份有限公司、九江银行股份有限公司、江苏江阴农村商业银行股份有限公司客户。</w:t>
            </w:r>
          </w:p>
          <w:p w14:paraId="24A4342D">
            <w:pPr>
              <w:spacing w:line="200" w:lineRule="exact"/>
            </w:pPr>
            <w:r>
              <w:rPr>
                <w:rFonts w:ascii="方正黑体_GBK" w:hAnsi="方正黑体_GBK" w:eastAsia="方正黑体_GBK" w:cs="宋体"/>
                <w:sz w:val="18"/>
                <w:szCs w:val="18"/>
              </w:rPr>
              <w:t>B4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仪征农村商业银行股份有限公司、江苏沭阳农村商业银行股份有限公司客户。</w:t>
            </w:r>
          </w:p>
          <w:p w14:paraId="4537634E">
            <w:pPr>
              <w:spacing w:line="200" w:lineRule="exact"/>
            </w:pPr>
            <w:r>
              <w:rPr>
                <w:rFonts w:ascii="方正黑体_GBK" w:hAnsi="方正黑体_GBK" w:eastAsia="方正黑体_GBK" w:cs="宋体"/>
                <w:sz w:val="18"/>
                <w:szCs w:val="18"/>
              </w:rPr>
              <w:t>C4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14:paraId="5F226955">
            <w:pPr>
              <w:spacing w:line="200" w:lineRule="exact"/>
            </w:pPr>
            <w:r>
              <w:rPr>
                <w:rFonts w:ascii="方正黑体_GBK" w:hAnsi="方正黑体_GBK" w:eastAsia="方正黑体_GBK" w:cs="宋体"/>
                <w:sz w:val="18"/>
                <w:szCs w:val="18"/>
              </w:rPr>
              <w:t>D4份额：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客户。</w:t>
            </w:r>
          </w:p>
          <w:p w14:paraId="051C8CCF">
            <w:pPr>
              <w:spacing w:line="200" w:lineRule="exact"/>
            </w:pPr>
            <w:r>
              <w:rPr>
                <w:rFonts w:ascii="方正黑体_GBK" w:hAnsi="方正黑体_GBK" w:eastAsia="方正黑体_GBK" w:cs="宋体"/>
                <w:sz w:val="18"/>
                <w:szCs w:val="18"/>
              </w:rPr>
              <w:t>E4份额：天津农村商业银行股份有限公司（特邀客户）、云南红塔银行股份有限公司（财富300万客户）、甘肃银行股份有限公司（教师节特供）、江苏镇江农村商业银行股份有限公司（100万元起购）、江苏句容农村商业银行股份有限公司、江苏沛县农村商业银行股份有限公司（高端客户专属）客户。</w:t>
            </w:r>
          </w:p>
          <w:p w14:paraId="49D6D452">
            <w:pPr>
              <w:spacing w:line="200" w:lineRule="exact"/>
            </w:pPr>
            <w:r>
              <w:rPr>
                <w:rFonts w:ascii="方正黑体_GBK" w:hAnsi="方正黑体_GBK" w:eastAsia="方正黑体_GBK" w:cs="宋体"/>
                <w:sz w:val="18"/>
                <w:szCs w:val="18"/>
              </w:rPr>
              <w:t>F2份额：南京银行私行客户、钻石客户、新晋私行客户、新晋钻石户及南京银行认定的其他符合标准的客户。</w:t>
            </w:r>
          </w:p>
          <w:p w14:paraId="7BD93467">
            <w:pPr>
              <w:spacing w:line="200" w:lineRule="exact"/>
            </w:pPr>
            <w:r>
              <w:rPr>
                <w:rFonts w:ascii="方正黑体_GBK" w:hAnsi="方正黑体_GBK" w:eastAsia="方正黑体_GBK" w:cs="宋体"/>
                <w:sz w:val="18"/>
                <w:szCs w:val="18"/>
              </w:rPr>
              <w:t>F3份额：南京银行私行客户、钻石客户、新晋私行客户、新晋钻石户及南京银行认定的其他符合标准的客户。</w:t>
            </w:r>
          </w:p>
          <w:p w14:paraId="5D4B1FE4">
            <w:pPr>
              <w:spacing w:line="200" w:lineRule="exact"/>
            </w:pPr>
            <w:r>
              <w:rPr>
                <w:rFonts w:ascii="方正黑体_GBK" w:hAnsi="方正黑体_GBK" w:eastAsia="方正黑体_GBK" w:cs="宋体"/>
                <w:sz w:val="18"/>
                <w:szCs w:val="18"/>
              </w:rPr>
              <w:t>G2份额：成都银行股份有限公司客户。</w:t>
            </w:r>
          </w:p>
          <w:p w14:paraId="0E06BEB8">
            <w:pPr>
              <w:spacing w:line="200" w:lineRule="exact"/>
            </w:pPr>
            <w:r>
              <w:rPr>
                <w:rFonts w:ascii="方正黑体_GBK" w:hAnsi="方正黑体_GBK" w:eastAsia="方正黑体_GBK" w:cs="宋体"/>
                <w:sz w:val="18"/>
                <w:szCs w:val="18"/>
              </w:rPr>
              <w:t>G3份额：成都银行股份有限公司客户。</w:t>
            </w:r>
          </w:p>
          <w:p w14:paraId="28327380">
            <w:pPr>
              <w:spacing w:line="200" w:lineRule="exact"/>
            </w:pPr>
            <w:r>
              <w:rPr>
                <w:rFonts w:ascii="方正黑体_GBK" w:hAnsi="方正黑体_GBK" w:eastAsia="方正黑体_GBK" w:cs="宋体"/>
                <w:sz w:val="18"/>
                <w:szCs w:val="18"/>
              </w:rPr>
              <w:t>F4份额：南京银行私行客户、钻石客户、新晋私行客户、新晋钻石户及南京银行认定的其他符合标准的客户。</w:t>
            </w:r>
          </w:p>
          <w:p w14:paraId="78E4A915">
            <w:pPr>
              <w:spacing w:line="200" w:lineRule="exact"/>
            </w:pPr>
            <w:r>
              <w:rPr>
                <w:rFonts w:ascii="方正黑体_GBK" w:hAnsi="方正黑体_GBK" w:eastAsia="方正黑体_GBK" w:cs="宋体"/>
                <w:sz w:val="18"/>
                <w:szCs w:val="18"/>
              </w:rPr>
              <w:t>G4份额：成都银行股份有限公司客户。</w:t>
            </w:r>
          </w:p>
          <w:p w14:paraId="369E8ED0">
            <w:pPr>
              <w:spacing w:line="200" w:lineRule="exact"/>
            </w:pPr>
            <w:r>
              <w:rPr>
                <w:rFonts w:ascii="方正黑体_GBK" w:hAnsi="方正黑体_GBK" w:eastAsia="方正黑体_GBK" w:cs="宋体"/>
                <w:sz w:val="18"/>
                <w:szCs w:val="18"/>
              </w:rPr>
              <w:t>H4份额：南京银行股份有限公司代发客户。</w:t>
            </w:r>
          </w:p>
          <w:p w14:paraId="79233137">
            <w:pPr>
              <w:spacing w:line="200" w:lineRule="exact"/>
            </w:pPr>
            <w:r>
              <w:rPr>
                <w:rFonts w:ascii="方正黑体_GBK" w:hAnsi="方正黑体_GBK" w:eastAsia="方正黑体_GBK" w:cs="宋体"/>
                <w:sz w:val="18"/>
                <w:szCs w:val="18"/>
              </w:rPr>
              <w:t>I2份额：南京银行股份有限公司（特定分行新客、新资金（5万）、代发）客户。</w:t>
            </w:r>
          </w:p>
          <w:p w14:paraId="16A1F321">
            <w:pPr>
              <w:spacing w:line="200" w:lineRule="exact"/>
            </w:pPr>
            <w:r>
              <w:rPr>
                <w:rFonts w:ascii="方正黑体_GBK" w:hAnsi="方正黑体_GBK" w:eastAsia="方正黑体_GBK" w:cs="宋体"/>
                <w:sz w:val="18"/>
                <w:szCs w:val="18"/>
              </w:rPr>
              <w:t>J2份额：兴业银行股份有限公司客户。</w:t>
            </w:r>
          </w:p>
          <w:p w14:paraId="7AE22C15">
            <w:pPr>
              <w:spacing w:line="200" w:lineRule="exact"/>
            </w:pPr>
            <w:r>
              <w:rPr>
                <w:rFonts w:ascii="方正黑体_GBK" w:hAnsi="方正黑体_GBK" w:eastAsia="方正黑体_GBK" w:cs="宋体"/>
                <w:sz w:val="18"/>
                <w:szCs w:val="18"/>
              </w:rPr>
              <w:t>K2份额：交通银行股份有限公司客户。</w:t>
            </w:r>
          </w:p>
          <w:p w14:paraId="4AACCAFF">
            <w:pPr>
              <w:spacing w:line="200" w:lineRule="exact"/>
            </w:pPr>
            <w:r>
              <w:rPr>
                <w:rFonts w:ascii="方正黑体_GBK" w:hAnsi="方正黑体_GBK" w:eastAsia="方正黑体_GBK" w:cs="宋体"/>
                <w:sz w:val="18"/>
                <w:szCs w:val="18"/>
              </w:rPr>
              <w:t>J3份额：兴业银行股份有限公司客户。</w:t>
            </w:r>
          </w:p>
          <w:p w14:paraId="7A5FBD99">
            <w:pPr>
              <w:spacing w:line="200" w:lineRule="exact"/>
            </w:pPr>
            <w:r>
              <w:rPr>
                <w:rFonts w:ascii="方正黑体_GBK" w:hAnsi="方正黑体_GBK" w:eastAsia="方正黑体_GBK" w:cs="宋体"/>
                <w:sz w:val="18"/>
                <w:szCs w:val="18"/>
              </w:rPr>
              <w:t>K3份额：交通银行股份有限公司客户。</w:t>
            </w:r>
          </w:p>
          <w:p w14:paraId="4B0B175F">
            <w:pPr>
              <w:spacing w:line="200" w:lineRule="exact"/>
            </w:pPr>
            <w:r>
              <w:rPr>
                <w:rFonts w:ascii="方正黑体_GBK" w:hAnsi="方正黑体_GBK" w:eastAsia="方正黑体_GBK" w:cs="宋体"/>
                <w:sz w:val="18"/>
                <w:szCs w:val="18"/>
              </w:rPr>
              <w:t>L3份额：兴业银行股份有限公司南京分行客户。</w:t>
            </w:r>
          </w:p>
          <w:p w14:paraId="6C4C550D">
            <w:pPr>
              <w:spacing w:line="200" w:lineRule="exact"/>
            </w:pPr>
            <w:r>
              <w:rPr>
                <w:rFonts w:ascii="方正黑体_GBK" w:hAnsi="方正黑体_GBK" w:eastAsia="方正黑体_GBK" w:cs="宋体"/>
                <w:sz w:val="18"/>
                <w:szCs w:val="18"/>
              </w:rPr>
              <w:t>J4份额：兴业银行股份有限公司客户。</w:t>
            </w:r>
          </w:p>
          <w:p w14:paraId="28A5199D">
            <w:pPr>
              <w:spacing w:line="200" w:lineRule="exact"/>
            </w:pPr>
            <w:r>
              <w:rPr>
                <w:rFonts w:ascii="方正黑体_GBK" w:hAnsi="方正黑体_GBK" w:eastAsia="方正黑体_GBK" w:cs="宋体"/>
                <w:sz w:val="18"/>
                <w:szCs w:val="18"/>
              </w:rPr>
              <w:t>K4份额：交通银行股份有限公司客户。</w:t>
            </w:r>
          </w:p>
          <w:p w14:paraId="6C498CAB">
            <w:pPr>
              <w:spacing w:line="200" w:lineRule="exact"/>
            </w:pPr>
            <w:r>
              <w:rPr>
                <w:rFonts w:ascii="方正黑体_GBK" w:hAnsi="方正黑体_GBK" w:eastAsia="方正黑体_GBK" w:cs="宋体"/>
                <w:sz w:val="18"/>
                <w:szCs w:val="18"/>
              </w:rPr>
              <w:t>I4份额：南京银行股份有限公司（特定分行新客、新资金（5万）、代发）客户。</w:t>
            </w:r>
          </w:p>
          <w:p w14:paraId="49965077">
            <w:pPr>
              <w:spacing w:line="200" w:lineRule="exact"/>
            </w:pPr>
            <w:r>
              <w:rPr>
                <w:rFonts w:ascii="方正黑体_GBK" w:hAnsi="方正黑体_GBK" w:eastAsia="方正黑体_GBK" w:cs="宋体"/>
                <w:sz w:val="18"/>
                <w:szCs w:val="18"/>
              </w:rPr>
              <w:t>M2份额：苏州银行股份有限公司、嘉兴银行股份有限公司、宁波通商银行股份有限公司客户。</w:t>
            </w:r>
          </w:p>
          <w:p w14:paraId="44C18510">
            <w:pPr>
              <w:spacing w:line="200" w:lineRule="exact"/>
            </w:pPr>
            <w:r>
              <w:rPr>
                <w:rFonts w:ascii="方正黑体_GBK" w:hAnsi="方正黑体_GBK" w:eastAsia="方正黑体_GBK" w:cs="宋体"/>
                <w:sz w:val="18"/>
                <w:szCs w:val="18"/>
              </w:rPr>
              <w:t>M3份额：苏州银行股份有限公司、嘉兴银行股份有限公司、宁波通商银行股份有限公司客户。</w:t>
            </w:r>
          </w:p>
          <w:p w14:paraId="38F0C1FD">
            <w:pPr>
              <w:spacing w:line="200" w:lineRule="exact"/>
            </w:pPr>
            <w:r>
              <w:rPr>
                <w:rFonts w:ascii="方正黑体_GBK" w:hAnsi="方正黑体_GBK" w:eastAsia="方正黑体_GBK" w:cs="宋体"/>
                <w:sz w:val="18"/>
                <w:szCs w:val="18"/>
              </w:rPr>
              <w:t>M4份额：苏州银行股份有限公司、嘉兴银行股份有限公司、宁波通商银行股份有限公司客户。</w:t>
            </w:r>
          </w:p>
          <w:p w14:paraId="281C661D">
            <w:pPr>
              <w:spacing w:line="200" w:lineRule="exact"/>
            </w:pPr>
            <w:r>
              <w:rPr>
                <w:rFonts w:ascii="方正黑体_GBK" w:hAnsi="方正黑体_GBK" w:eastAsia="方正黑体_GBK" w:cs="宋体"/>
                <w:sz w:val="18"/>
                <w:szCs w:val="18"/>
              </w:rPr>
              <w:t>O2份额：广发银行股份有限公司所有个人客户。</w:t>
            </w:r>
          </w:p>
          <w:p w14:paraId="4237643F">
            <w:pPr>
              <w:spacing w:line="200" w:lineRule="exact"/>
            </w:pPr>
            <w:r>
              <w:rPr>
                <w:rFonts w:ascii="方正黑体_GBK" w:hAnsi="方正黑体_GBK" w:eastAsia="方正黑体_GBK" w:cs="宋体"/>
                <w:sz w:val="18"/>
                <w:szCs w:val="18"/>
              </w:rPr>
              <w:t>O3份额：广发银行股份有限公司所有个人客户。</w:t>
            </w:r>
          </w:p>
          <w:p w14:paraId="32C29D0C">
            <w:pPr>
              <w:spacing w:line="200" w:lineRule="exact"/>
            </w:pPr>
            <w:r>
              <w:rPr>
                <w:rFonts w:ascii="方正黑体_GBK" w:hAnsi="方正黑体_GBK" w:eastAsia="方正黑体_GBK" w:cs="宋体"/>
                <w:sz w:val="18"/>
                <w:szCs w:val="18"/>
              </w:rPr>
              <w:t>O4份额：广发银行股份有限公司所有个人客户。</w:t>
            </w:r>
          </w:p>
          <w:p w14:paraId="7E54891F">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6D67A0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68DB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C65B42D">
            <w:pPr>
              <w:spacing w:line="200" w:lineRule="exact"/>
            </w:pPr>
            <w:r>
              <w:rPr>
                <w:rFonts w:ascii="方正黑体_GBK" w:hAnsi="方正黑体_GBK" w:eastAsia="方正黑体_GBK" w:cs="宋体"/>
                <w:sz w:val="18"/>
                <w:szCs w:val="18"/>
              </w:rPr>
              <w:t>A份额/B份额/C份额/D份额/E份额/F份额/G份额/H份额/J份额/K份额/M份额/N份额/A2份额/B2份额/C2份额/D2份额/E2份额/A3份额/B3份额/C3份额/D3份额/E3份额/A4份额/B4份额/C4份额/D4份额/E4份额/F2份额/F3份额/G2份额/G3份额/F4份额/G4份额/H4份额/I2份额/J2份额/K2份额/J3份额/K3份额/L3份额/J4份额/K4份额/I4份额/M2份额/M3份额/M4份额/O4份额：</w:t>
            </w:r>
          </w:p>
          <w:p w14:paraId="3E531B94">
            <w:pPr>
              <w:spacing w:line="200" w:lineRule="exact"/>
            </w:pPr>
            <w:r>
              <w:rPr>
                <w:rFonts w:ascii="方正黑体_GBK" w:hAnsi="方正黑体_GBK" w:eastAsia="方正黑体_GBK" w:cs="宋体"/>
                <w:sz w:val="18"/>
                <w:szCs w:val="18"/>
              </w:rPr>
              <w:t>个人投资者投资起点金额1元人民币，以1元的整数倍递增；</w:t>
            </w:r>
          </w:p>
          <w:p w14:paraId="6EFFEB33">
            <w:pPr>
              <w:spacing w:line="200" w:lineRule="exact"/>
            </w:pPr>
            <w:r>
              <w:rPr>
                <w:rFonts w:ascii="方正黑体_GBK" w:hAnsi="方正黑体_GBK" w:eastAsia="方正黑体_GBK" w:cs="宋体"/>
                <w:sz w:val="18"/>
                <w:szCs w:val="18"/>
              </w:rPr>
              <w:t>机构投资者投资起点金额1元人民币，以1元的整数倍递增；</w:t>
            </w:r>
          </w:p>
          <w:p w14:paraId="15C3E485">
            <w:pPr>
              <w:spacing w:line="200" w:lineRule="exact"/>
            </w:pPr>
            <w:r>
              <w:rPr>
                <w:rFonts w:ascii="方正黑体_GBK" w:hAnsi="方正黑体_GBK" w:eastAsia="方正黑体_GBK" w:cs="宋体"/>
                <w:sz w:val="18"/>
                <w:szCs w:val="18"/>
              </w:rPr>
              <w:t>O份额/O2份额/O3份额：</w:t>
            </w:r>
          </w:p>
          <w:p w14:paraId="46147189">
            <w:pPr>
              <w:spacing w:line="200" w:lineRule="exact"/>
            </w:pPr>
            <w:r>
              <w:rPr>
                <w:rFonts w:ascii="方正黑体_GBK" w:hAnsi="方正黑体_GBK" w:eastAsia="方正黑体_GBK" w:cs="宋体"/>
                <w:sz w:val="18"/>
                <w:szCs w:val="18"/>
              </w:rPr>
              <w:t>个人投资者投资起点金额1元人民币，以1元的整数倍递增；</w:t>
            </w:r>
          </w:p>
          <w:p w14:paraId="0983DEA8">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62552C8C">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41BDD0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86F3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41CC8703">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0F380B40">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5241CB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30DC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25126183">
            <w:pPr>
              <w:spacing w:line="200" w:lineRule="exact"/>
            </w:pPr>
            <w:r>
              <w:rPr>
                <w:rFonts w:ascii="方正黑体_GBK" w:hAnsi="方正黑体_GBK" w:eastAsia="方正黑体_GBK" w:cs="宋体"/>
                <w:color w:val="000000"/>
                <w:sz w:val="18"/>
                <w:szCs w:val="18"/>
              </w:rPr>
              <w:t>2019年08月07日 09:00—2019年08月14日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468474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10132D">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19B8FF5">
            <w:pPr>
              <w:spacing w:line="200" w:lineRule="exact"/>
            </w:pPr>
            <w:r>
              <w:rPr>
                <w:rFonts w:ascii="方正黑体_GBK" w:hAnsi="方正黑体_GBK" w:eastAsia="方正黑体_GBK" w:cs="宋体"/>
                <w:sz w:val="18"/>
                <w:szCs w:val="18"/>
              </w:rPr>
              <w:t>认购份额=确认认购金额/1。（认购份额以去尾法保留两位小数）</w:t>
            </w:r>
          </w:p>
        </w:tc>
      </w:tr>
      <w:tr w14:paraId="1A37F0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1418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理财封闭期</w:t>
            </w:r>
          </w:p>
        </w:tc>
        <w:tc>
          <w:tcPr>
            <w:tcW w:w="5543" w:type="dxa"/>
            <w:tcBorders>
              <w:top w:val="single" w:color="auto" w:sz="4" w:space="0"/>
              <w:left w:val="nil"/>
              <w:bottom w:val="single" w:color="auto" w:sz="4" w:space="0"/>
              <w:right w:val="single" w:color="auto" w:sz="4" w:space="0"/>
              <w:tl2br w:val="nil"/>
              <w:tr2bl w:val="nil"/>
            </w:tcBorders>
            <w:vAlign w:val="center"/>
          </w:tcPr>
          <w:p w14:paraId="05BE679B">
            <w:pPr>
              <w:spacing w:line="200" w:lineRule="exact"/>
            </w:pPr>
            <w:r>
              <w:rPr>
                <w:rFonts w:ascii="方正黑体_GBK" w:hAnsi="方正黑体_GBK" w:eastAsia="方正黑体_GBK" w:cs="宋体"/>
                <w:sz w:val="18"/>
                <w:szCs w:val="18"/>
              </w:rPr>
              <w:t>本理财产品每期封闭期为一年，当期封闭期起止时间以公告为准。</w:t>
            </w:r>
          </w:p>
        </w:tc>
      </w:tr>
      <w:tr w14:paraId="452D1A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06853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923839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431950E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23FF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8CBFF2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2019年08月15日</w:t>
            </w:r>
          </w:p>
        </w:tc>
      </w:tr>
      <w:tr w14:paraId="087730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3FCE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6AD3F693">
            <w:pPr>
              <w:spacing w:line="200" w:lineRule="exact"/>
            </w:pPr>
            <w:r>
              <w:rPr>
                <w:rFonts w:ascii="方正黑体_GBK" w:hAnsi="方正黑体_GBK" w:eastAsia="方正黑体_GBK" w:cs="宋体"/>
                <w:sz w:val="18"/>
                <w:szCs w:val="18"/>
              </w:rPr>
              <w:t>2019年08月15日—实际到期日（若本理财产品未被提前终止或延期终止，则实际到期日即为名义到期日，存续期限10年；若本理财产品被提前终止或延期终止，则实际到期日为提前终止日或延期终止日。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eastAsia="方正黑体_GBK" w:cs="宋体"/>
                <w:b/>
                <w:sz w:val="18"/>
                <w:szCs w:val="18"/>
              </w:rPr>
              <w:t>理财产品管理人有权根据市场变化情况调整产品存续期，届时管理人将调整相关日期并进行信息披露。）</w:t>
            </w:r>
          </w:p>
        </w:tc>
      </w:tr>
      <w:tr w14:paraId="6C1B65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EAE7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33A44A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2029年12月28日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618597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ADDC2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872F57E">
            <w:pPr>
              <w:spacing w:line="200" w:lineRule="exact"/>
            </w:pPr>
            <w:r>
              <w:rPr>
                <w:rFonts w:ascii="方正黑体_GBK" w:hAnsi="方正黑体_GBK" w:eastAsia="方正黑体_GBK" w:cs="宋体"/>
                <w:sz w:val="18"/>
                <w:szCs w:val="18"/>
              </w:rPr>
              <w:t>本理财产品存续期内按每一年开放申购，如遇节假日调整，申购开放日和申购确认日以公告为准。</w:t>
            </w:r>
          </w:p>
        </w:tc>
      </w:tr>
      <w:tr w14:paraId="404549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D0722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868ECEB">
            <w:pPr>
              <w:spacing w:line="200" w:lineRule="exact"/>
            </w:pPr>
            <w:r>
              <w:rPr>
                <w:rFonts w:ascii="方正黑体_GBK" w:hAnsi="方正黑体_GBK" w:eastAsia="方正黑体_GBK"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14:paraId="30F7EB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864F7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申购/赎回规则</w:t>
            </w:r>
          </w:p>
        </w:tc>
        <w:tc>
          <w:tcPr>
            <w:tcW w:w="5543" w:type="dxa"/>
            <w:tcBorders>
              <w:top w:val="single" w:color="auto" w:sz="4" w:space="0"/>
              <w:left w:val="nil"/>
              <w:bottom w:val="single" w:color="auto" w:sz="4" w:space="0"/>
              <w:right w:val="single" w:color="auto" w:sz="4" w:space="0"/>
              <w:tl2br w:val="nil"/>
              <w:tr2bl w:val="nil"/>
            </w:tcBorders>
            <w:vAlign w:val="center"/>
          </w:tcPr>
          <w:p w14:paraId="669F0747">
            <w:pPr>
              <w:spacing w:line="200" w:lineRule="exact"/>
            </w:pPr>
            <w:r>
              <w:rPr>
                <w:rFonts w:ascii="方正黑体_GBK" w:hAnsi="方正黑体_GBK" w:eastAsia="方正黑体_GBK" w:cs="宋体"/>
                <w:color w:val="000000"/>
                <w:sz w:val="18"/>
                <w:szCs w:val="18"/>
                <w:shd w:val="clear" w:fill="FFFFFF"/>
              </w:rPr>
              <w:t>A份额/F份额：本次开放期为2025年9月18日9：00至2025年9月24日17：00,下一个开放期为2026年11月5日9：00至2026年11月11日17：00，投资者可以提交或撤销申购/赎回申请。</w:t>
            </w:r>
            <w:r>
              <w:rPr>
                <w:rFonts w:ascii="方正黑体_GBK" w:hAnsi="方正黑体_GBK" w:eastAsia="方正黑体_GBK"/>
              </w:rPr>
              <w:br w:type="textWrapping"/>
            </w:r>
            <w:r>
              <w:rPr>
                <w:rFonts w:ascii="方正黑体_GBK" w:hAnsi="方正黑体_GBK" w:eastAsia="方正黑体_GBK" w:cs="宋体"/>
                <w:color w:val="000000"/>
                <w:sz w:val="18"/>
                <w:szCs w:val="18"/>
                <w:shd w:val="clear" w:fill="FFFFFF"/>
              </w:rPr>
              <w:t>B份额/C份额/D份额/E份额/G份额/H份额/J份额/K份额/M份额/N份额/O份额：本次开放期为2025年9月18日9：00至2025年9月24日17：00，投资者可以提交或撤销认/申购申请；确认成功的份额均将于下一个开放期（2026年11月5日9：00至2026年11月11日17：00）由系统自动发起赎回申请。</w:t>
            </w:r>
            <w:r>
              <w:rPr>
                <w:rFonts w:ascii="方正黑体_GBK" w:hAnsi="方正黑体_GBK" w:eastAsia="方正黑体_GBK"/>
              </w:rPr>
              <w:br w:type="textWrapping"/>
            </w:r>
            <w:r>
              <w:rPr>
                <w:rFonts w:ascii="方正黑体_GBK" w:hAnsi="方正黑体_GBK" w:eastAsia="方正黑体_GBK" w:cs="宋体"/>
                <w:color w:val="000000"/>
                <w:sz w:val="18"/>
                <w:szCs w:val="18"/>
                <w:shd w:val="clear" w:fill="FFFFFF"/>
              </w:rPr>
              <w:t>A2份额/F2份额：本次开放期为2025年9月25日9：00至2025年10月9日17：00,下一个赎回开放期为2026年11月5日9：00至2026年11月11日17：00，投资者可以提交或撤销赎回申请，下一个申购开放期为2026年11月12日9：00至2026年11月18日17：00，投资者可以提交或撤销申购申请。</w:t>
            </w:r>
            <w:r>
              <w:rPr>
                <w:rFonts w:ascii="方正黑体_GBK" w:hAnsi="方正黑体_GBK" w:eastAsia="方正黑体_GBK"/>
              </w:rPr>
              <w:br w:type="textWrapping"/>
            </w:r>
            <w:r>
              <w:rPr>
                <w:rFonts w:ascii="方正黑体_GBK" w:hAnsi="方正黑体_GBK" w:eastAsia="方正黑体_GBK" w:cs="宋体"/>
                <w:color w:val="000000"/>
                <w:sz w:val="18"/>
                <w:szCs w:val="18"/>
                <w:shd w:val="clear" w:fill="FFFFFF"/>
              </w:rPr>
              <w:t>B2份额/C2份额/D2份额/E2份额/G2份额/I2份额/J2份额/K2份额/M2份额/O2份额：本次开放期为2025年9月25日9：00至2025年10月9日17：00，投资者可以提交或撤销认/申购申请；确认成功的份额均将于下一个开放期（2026年11月5日9：00至2026年11月11日17：00）由系统自动发起赎回申请。</w:t>
            </w:r>
            <w:r>
              <w:rPr>
                <w:rFonts w:ascii="方正黑体_GBK" w:hAnsi="方正黑体_GBK" w:eastAsia="方正黑体_GBK"/>
              </w:rPr>
              <w:br w:type="textWrapping"/>
            </w:r>
            <w:r>
              <w:rPr>
                <w:rFonts w:ascii="方正黑体_GBK" w:hAnsi="方正黑体_GBK" w:eastAsia="方正黑体_GBK" w:cs="宋体"/>
                <w:color w:val="000000"/>
                <w:sz w:val="18"/>
                <w:szCs w:val="18"/>
                <w:shd w:val="clear" w:fill="FFFFFF"/>
              </w:rPr>
              <w:t>A3份额/F3份额：本次开放期为2025年10月10日9：00至2025年10月15日17：00,下一个赎回开放期为2026年11月5日9：00至2026年11月11日17：00，投资者可以提交或撤销赎回申请，下一个申购开放期为2026年11月19日9：00至2026年11月25日17：00，投资者可以提交或撤销申购申请。</w:t>
            </w:r>
            <w:r>
              <w:rPr>
                <w:rFonts w:ascii="方正黑体_GBK" w:hAnsi="方正黑体_GBK" w:eastAsia="方正黑体_GBK"/>
              </w:rPr>
              <w:br w:type="textWrapping"/>
            </w:r>
            <w:r>
              <w:rPr>
                <w:rFonts w:ascii="方正黑体_GBK" w:hAnsi="方正黑体_GBK" w:eastAsia="方正黑体_GBK" w:cs="宋体"/>
                <w:color w:val="000000"/>
                <w:sz w:val="18"/>
                <w:szCs w:val="18"/>
                <w:shd w:val="clear" w:fill="FFFFFF"/>
              </w:rPr>
              <w:t>B3份额/C3份额/D3份额/E3份额/G3份额/J3份额/K3份额/L3份额/M3份额/O3份额：本次开放期为2025年10月10日9：00至2025年10月15日17：00，投资者可以提交或撤销认/申购申请；确认成功的份额均将于下一个开放期（2026年11月5日9：00至2026年11月11日17：00）由系统自动发起赎回申请。</w:t>
            </w:r>
            <w:r>
              <w:rPr>
                <w:rFonts w:ascii="方正黑体_GBK" w:hAnsi="方正黑体_GBK" w:eastAsia="方正黑体_GBK"/>
              </w:rPr>
              <w:br w:type="textWrapping"/>
            </w:r>
            <w:r>
              <w:rPr>
                <w:rFonts w:ascii="方正黑体_GBK" w:hAnsi="方正黑体_GBK" w:eastAsia="方正黑体_GBK" w:cs="宋体"/>
                <w:color w:val="000000"/>
                <w:sz w:val="18"/>
                <w:szCs w:val="18"/>
                <w:shd w:val="clear" w:fill="FFFFFF"/>
              </w:rPr>
              <w:t>A4份额/F4份额：本次开放期为2025年10月16日9：00至2025年10月22日17：00,下一个赎回开放期为2026年11月5日9：00至2026年11月11日17：00，投资者可以提交或撤销赎回申请，下一个申购开放期为2026年11月26日9：00至2026年12月2日17：00，投资者可以提交或撤销申购申请。</w:t>
            </w:r>
            <w:r>
              <w:rPr>
                <w:rFonts w:ascii="方正黑体_GBK" w:hAnsi="方正黑体_GBK" w:eastAsia="方正黑体_GBK"/>
              </w:rPr>
              <w:br w:type="textWrapping"/>
            </w:r>
            <w:r>
              <w:rPr>
                <w:rFonts w:ascii="方正黑体_GBK" w:hAnsi="方正黑体_GBK" w:eastAsia="方正黑体_GBK" w:cs="宋体"/>
                <w:color w:val="000000"/>
                <w:sz w:val="18"/>
                <w:szCs w:val="18"/>
                <w:shd w:val="clear" w:fill="FFFFFF"/>
              </w:rPr>
              <w:t>B4份额/C4份额/D4份额/E4份额/G4份额/H4份额/I4份额/J4份额/K4份额/M4份额/O4份额：本次开放期为2025年10月16日9：00至2025年10月22日17：00，投资者可以提交或撤销认/申购申请；确认成功的份额均将于下一个开放期（2026年11月5日9：00至2026年11月11日17：00）由系统自动发起赎回申请。</w:t>
            </w:r>
            <w:r>
              <w:rPr>
                <w:rFonts w:ascii="方正黑体_GBK" w:hAnsi="方正黑体_GBK" w:eastAsia="方正黑体_GBK"/>
              </w:rPr>
              <w:br w:type="textWrapping"/>
            </w:r>
            <w:r>
              <w:rPr>
                <w:rFonts w:ascii="方正黑体_GBK" w:hAnsi="方正黑体_GBK" w:eastAsia="方正黑体_GBK" w:cs="宋体"/>
                <w:color w:val="000000"/>
                <w:sz w:val="18"/>
                <w:szCs w:val="18"/>
                <w:shd w:val="clear" w:fill="FFFFFF"/>
              </w:rPr>
              <w:t>产品开放期如有调整以管理人公告为准。</w:t>
            </w:r>
            <w:r>
              <w:rPr>
                <w:rFonts w:ascii="方正黑体_GBK" w:hAnsi="方正黑体_GBK" w:eastAsia="方正黑体_GBK"/>
              </w:rPr>
              <w:br w:type="textWrapping"/>
            </w:r>
            <w:r>
              <w:rPr>
                <w:rFonts w:ascii="方正黑体_GBK" w:hAnsi="方正黑体_GBK" w:eastAsia="方正黑体_GBK" w:cs="宋体"/>
                <w:color w:val="000000"/>
                <w:sz w:val="18"/>
                <w:szCs w:val="18"/>
                <w:shd w:val="clear" w:fill="FFFFFF"/>
              </w:rPr>
              <w:t>在销售机构支持的前提下，认购/申购/赎回开放期末日17:00前可以撤销申请。</w:t>
            </w:r>
            <w:r>
              <w:rPr>
                <w:rFonts w:ascii="方正黑体_GBK" w:hAnsi="方正黑体_GBK" w:eastAsia="方正黑体_GBK"/>
              </w:rPr>
              <w:br w:type="textWrapping"/>
            </w:r>
            <w:r>
              <w:rPr>
                <w:rFonts w:ascii="方正黑体_GBK" w:hAnsi="方正黑体_GBK" w:eastAsia="方正黑体_GBK" w:cs="宋体"/>
                <w:color w:val="000000"/>
                <w:sz w:val="18"/>
                <w:szCs w:val="18"/>
                <w:shd w:val="clear" w:fill="FFFFFF"/>
              </w:rPr>
              <w:t>代销机构可根据其销售需要在管理人设定的申购/赎回时间范围内对申购/赎回时间进行重新设定，投资者通过代销机构购买本理财产品的，以该代销机构最终披露的时间为准。</w:t>
            </w:r>
          </w:p>
        </w:tc>
      </w:tr>
      <w:tr w14:paraId="7A0C2B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F35FF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34DA299">
            <w:pPr>
              <w:spacing w:line="200" w:lineRule="exact"/>
            </w:pPr>
            <w:r>
              <w:rPr>
                <w:rFonts w:ascii="方正黑体_GBK" w:hAnsi="方正黑体_GBK" w:eastAsia="方正黑体_GBK" w:cs="宋体"/>
                <w:sz w:val="18"/>
                <w:szCs w:val="18"/>
              </w:rPr>
              <w:t>申购份额=确认申购金额/S。S为申购确认日理财产品单位净值（已扣除相关费用）。申购份额以去尾法保留两位小数。</w:t>
            </w:r>
          </w:p>
        </w:tc>
      </w:tr>
      <w:tr w14:paraId="1E7E5A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3E11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503635A">
            <w:pPr>
              <w:spacing w:line="200" w:lineRule="exact"/>
            </w:pPr>
            <w:r>
              <w:rPr>
                <w:rFonts w:ascii="方正黑体_GBK" w:hAnsi="方正黑体_GBK" w:eastAsia="方正黑体_GBK" w:cs="宋体"/>
                <w:sz w:val="18"/>
                <w:szCs w:val="18"/>
              </w:rPr>
              <w:t>赎回金额=确认赎回份额×R。 R为赎回确认日理财产品单位净值（已扣除相关费用，赎回金额以去尾法保留两位小数）</w:t>
            </w:r>
          </w:p>
        </w:tc>
      </w:tr>
      <w:tr w14:paraId="3AAEE9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6C5AA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9D4A47B">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194055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2CAA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052CC1EB">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6C3137FD">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274EF0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2AD3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1B0FB318">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14:paraId="17F08106">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14:paraId="3FC5CEB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86B4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585484CC">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6E3F9230">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25455467">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23C3325">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26439C8F">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388EF00C">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6E5F5331">
            <w:pPr>
              <w:spacing w:line="200" w:lineRule="exact"/>
              <w:jc w:val="lef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0E9627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F2EE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34087648">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5D39740E">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49AB78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A2F2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134045EA">
            <w:pPr>
              <w:spacing w:line="200" w:lineRule="exact"/>
            </w:pPr>
            <w:r>
              <w:rPr>
                <w:rFonts w:ascii="方正黑体_GBK" w:hAnsi="方正黑体_GBK" w:eastAsia="方正黑体_GBK"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14:paraId="7E64B5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810C2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6537801C">
            <w:pPr>
              <w:spacing w:line="200" w:lineRule="exact"/>
            </w:pPr>
            <w:r>
              <w:rPr>
                <w:rFonts w:ascii="方正黑体_GBK" w:hAnsi="方正黑体_GBK" w:eastAsia="方正黑体_GBK" w:cs="宋体"/>
                <w:b/>
                <w:sz w:val="18"/>
                <w:szCs w:val="18"/>
              </w:rPr>
              <w:t>本理财产品拟投资以下备选非标准化债权类资产：</w:t>
            </w:r>
          </w:p>
          <w:p w14:paraId="4C5C1A6F">
            <w:pPr>
              <w:spacing w:line="200" w:lineRule="exact"/>
            </w:pPr>
            <w:r>
              <w:rPr>
                <w:rFonts w:ascii="方正黑体_GBK" w:hAnsi="方正黑体_GBK" w:eastAsia="方正黑体_GBK" w:cs="宋体"/>
                <w:sz w:val="18"/>
                <w:szCs w:val="18"/>
              </w:rPr>
              <w:t>1.    信托贷款：资产类型为信托公司设立的固定收益类信托计划，底层资产为向融资人绍兴市柯桥区建设集团有限公司发放信托贷款，资产到期日不超过理财产品最近一次开放日。融资人评级为AA+(评级机构为上海新世纪资信评估投资服务有限公司)，融资人第一大股东为绍兴市柯桥区国有资产投资经营集团有限公司，持股比例为100%。经营范围包括:城市基础设施建设;交通道路建设;旧城改造;重大公益性项目的投资、开发、建设;城市综合开发;土地综合开发利用;房地产开发、经营;自有房屋租赁;物业管理;广告经营;物流工程开发;实业投资。(依法须经批准的项目,经相关部门批准后方可开展经营活动)</w:t>
            </w:r>
          </w:p>
          <w:p w14:paraId="76AFAE87">
            <w:pPr>
              <w:spacing w:line="200" w:lineRule="exact"/>
            </w:pPr>
            <w:r>
              <w:rPr>
                <w:rFonts w:ascii="方正黑体_GBK" w:hAnsi="方正黑体_GBK" w:eastAsia="方正黑体_GBK" w:cs="宋体"/>
                <w:sz w:val="18"/>
                <w:szCs w:val="18"/>
              </w:rPr>
              <w:t>2.    信托贷款：资产类型为信托公司设立的固定收益类信托计划，底层资产为向融资人常州滨江产城建设发展有限公司发放信托贷款，资产到期日不超过理财产品最近一次开放日。融资人无外部评级，融资人第一大股东为常州滨江投资发展集团有限公司，持股比例为100%。经营范围包括:许可项目：建设工程施工(依法须经批准的项目，经相关部门批准后方可开展经营活动，具体经营项目以审批结果为准)一般项目：环境保护专用设备销售；新能源原动设备销售；技术服务、技术开发、技术咨询、技术交流、技术转让、技术推广；环保咨询服务；化工产品销售(不含许可类化工产品)；工程管理服务；建筑材料销售；建筑装饰材料销售；有色金属合金销售；五金产品零售；住房租赁；非居住房地产租赁；土地整治服务；以自有资金从事投资活动(除依法须经批准的项目外，凭营业执照依法自主开展经营活动)</w:t>
            </w:r>
          </w:p>
          <w:p w14:paraId="4A2CCE3B">
            <w:pPr>
              <w:spacing w:line="200" w:lineRule="exact"/>
            </w:pPr>
            <w:r>
              <w:rPr>
                <w:rFonts w:ascii="方正黑体_GBK" w:hAnsi="方正黑体_GBK" w:eastAsia="方正黑体_GBK" w:cs="宋体"/>
                <w:sz w:val="18"/>
                <w:szCs w:val="18"/>
              </w:rPr>
              <w:t>3.    信托贷款：资产类型为信托公司设立的固定收益类信托计划，底层资产为向融资人江苏龙城国有控股集团有限公司发放信托贷款，资产到期日不超过理财产品最近一次开放日。融资人评级为AA+(评级机构为中诚信国际信用评级有限责任公司)，融资人第一大股东为常州市人民政府，持股比例为100%。经营范围包括:许可项目:建设工程施工(依法须经批准的项目,经相关部门批准后方可开展经营活动,具体经营项目以审批结果为准)一般项目:自有资金投资的资产管理服务;市政设施管理;园林绿化工程施工;城市绿化管理;物业管理;城乡市容管理;停车场服务;建筑材料销售;租赁服务(不含许可类租赁服务);城市公园管理;森林公园管理;森林经营和管护;园区管理服务;电子产品销售;普通货物仓储服务(不含危险化学品等需许可审批的项目);土地整治服务;水环境污染防治服务;科技中介服务;自然生态系统保护管理;工程管理服务;以自有资金从事投资活动(除依法须经批准的项目外,凭营业执照依法自主开展经营活动)</w:t>
            </w:r>
          </w:p>
          <w:p w14:paraId="3A82BE89">
            <w:pPr>
              <w:spacing w:line="200" w:lineRule="exact"/>
            </w:pPr>
            <w:r>
              <w:rPr>
                <w:rFonts w:ascii="方正黑体_GBK" w:hAnsi="方正黑体_GBK" w:eastAsia="方正黑体_GBK" w:cs="宋体"/>
                <w:sz w:val="18"/>
                <w:szCs w:val="18"/>
              </w:rPr>
              <w:t>4.    信托贷款：资产类型为信托公司设立的固定收益类信托计划，底层资产为向融资人常州市武进建设资产经营有限公司发放信托贷款，资产到期日不超过理财产品最近一次开放日。融资人无外部评级，融资人第一大股东为江苏武进经济发展集团有限公司，持股比例为100%。经营范围包括:一般项目：以自有资金从事投资活动；企业管理；物业管理(除依法须经批准的项目外，凭营业执照依法自主开展经营活动)</w:t>
            </w:r>
          </w:p>
          <w:p w14:paraId="1229844A">
            <w:pPr>
              <w:spacing w:line="200" w:lineRule="exact"/>
            </w:pPr>
            <w:r>
              <w:rPr>
                <w:rFonts w:ascii="方正黑体_GBK" w:hAnsi="方正黑体_GBK" w:eastAsia="方正黑体_GBK" w:cs="宋体"/>
                <w:sz w:val="18"/>
                <w:szCs w:val="18"/>
              </w:rPr>
              <w:t>5.    信托贷款：资产类型为信托公司设立的固定收益类信托计划，底层资产为向融资人靖江市城市建设投资发展(集团)有限公司发放信托贷款，资产到期日不超过理财产品最近一次开放日。融资人评级为AA+(评级机构为中证鹏元资信评估股份有限公司)，融资人第一大股东为靖江市人民政府国有资产监督管理办公室，持股比例为100%。经营范围包括:许可项目：住宅室内装饰装修；建设工程质量检测；建设工程施工；建设工程勘察；建设工程设计；房地产开发经营；城市生活垃圾经营性服务；建筑物拆除作业(爆破作业除外)；道路货物运输(不含危险货物)；水产养殖；发电业务、输电业务、供(配)电业务；供电业务；输电、供电、受电电力设施的安装、维修和试验；网络文化经营；互联网直播技术服务(依法须经批准的项目，经相关部门批准后方可开展经营活动，具体经营项目以审批结果为准)一般项目：对外承包工程；工程造价咨询业务；物业管理；信息咨询服务(不含许可类信息咨询服务)；以自有资金从事投资活动；城市绿化管理；工程管理服务；工程和技术研究和试验发展；园林绿化工程施工；房屋拆迁服务；住房租赁；非居住房地产租赁；金属结构销售；市政设施管理；建筑砌块制造；土地调查评估服务；建筑材料销售；金属制品销售；环境卫生公共设施安装服务；农业专业及辅助性活动；土地整治服务；树木种植经营；生态恢复及生态保护服务；休闲观光活动；光伏设备及元器件销售；光伏发电设备租赁；太阳能发电技术服务；太阳能热利用产品销售；太阳能热发电产品销售；太阳能热利用装备销售；太阳能热发电装备销售；养老服务；谷物种植；谷物销售；蔬菜种植；新鲜蔬菜批发；新鲜蔬菜零售；水果种植；新鲜水果批发；新鲜水果零售；粮食收购；花卉种植；礼品花卉销售；食用农产品初加工；食用农产品批发；食用农产品零售；粮油仓储服务；农作物栽培服务；科技推广和应用服务；农村民间工艺及制品、休闲农业和乡村旅游资源的开发经营；市场营销策划；组织文化艺术交流活动；会议及展览服务；广告制作；广告发布；广告设计、代理；农林牧渔业废弃物综合利用；城乡市容管理；园区管理服务；农村生活垃圾经营性服务；土石方工程施工；煤炭及制品销售；货物进出口；进出口代理；充电桩销售；充电控制设备租赁；集中式快速充电站；停车场服务；电动汽车充电基础设施运营；总质量4.5吨及以下普通货运车辆道路货物运输(除网络货运和危险货物)；互联网数据服务；物联网应用服务；人工智能公共服务平台技术咨询服务；人工智能基础资源与技术平台；信息系统集成服务；技术服务、技术开发、技术咨询、技术交流、技术转让、技术推广；软件开发；电子产品销售；通用设备修理；专用设备修理；电气设备修理；计算机软硬件及辅助设备批发；计算机软硬件及辅助设备零售；信息技术咨询服务；网络技术服务；物联网技术服务；云计算装备技术服务；5G通信技术服务；技术推广服务；家用电器销售；机械设备销售；智能基础制造装备制造；智能基础制造装备销售；人工智能基础软件开发；人工智能理论与算法软件开发；人工智能应用软件开发；人工智能公共数据平台；人工智能通用应用系统；智能控制系统集成；智能仪器仪表制造；智能仪器仪表销售；机械设备租赁；储能技术服务；租赁服务(不含许可类租赁服务)；合同能源管理；热力生产和供应(除依法须经批准的项目外，凭营业执照依法自主开展经营活动)</w:t>
            </w:r>
          </w:p>
          <w:p w14:paraId="283F02ED">
            <w:pPr>
              <w:spacing w:line="200" w:lineRule="exact"/>
            </w:pPr>
            <w:r>
              <w:rPr>
                <w:rFonts w:ascii="方正黑体_GBK" w:hAnsi="方正黑体_GBK" w:eastAsia="方正黑体_GBK" w:cs="宋体"/>
                <w:sz w:val="18"/>
                <w:szCs w:val="18"/>
              </w:rPr>
              <w:t>6.    信托贷款：资产类型为信托公司设立的固定收益类信托计划，底层资产为向融资人泰州市华融城镇建设有限公司发放信托贷款，资产到期日不超过理财产品最近一次开放日。融资人无外部评级，融资人第一大股东为江苏创鸿资产管理有限公司，持股比例为100%。经营范围包括:许可项目：建设工程施工；水产苗种生产(依法须经批准的项目，经相关部门批准后方可开展经营活动，具体经营项目以审批结果为准)  一般项目：建筑装饰材料销售；金属材料销售；农业园艺服务；城市绿化管理；园林绿化工程施工；工程管理服务；农村生活垃圾经营性服务；物业管理；以自有资金从事投资活动；创业投资(限投资未上市企业)；自有资金投资的资产管理服务；树木种植经营；农业科学研究和试验发展；水果种植；新鲜水果零售；花卉种植；蔬菜种植；新鲜蔬菜零售；礼品花卉销售；中草药种植；建筑材料销售；中草药收购；水产品零售；谷物种植；谷物销售；食用农产品批发；食用农产品零售(除依法须经批准的项目外，凭营业执照依法自主开展经营活动)</w:t>
            </w:r>
          </w:p>
          <w:p w14:paraId="2BC7E3BF">
            <w:pPr>
              <w:spacing w:line="200" w:lineRule="exact"/>
            </w:pPr>
            <w:r>
              <w:rPr>
                <w:rFonts w:ascii="方正黑体_GBK" w:hAnsi="方正黑体_GBK" w:eastAsia="方正黑体_GBK" w:cs="宋体"/>
                <w:sz w:val="18"/>
                <w:szCs w:val="18"/>
              </w:rPr>
              <w:t>7.    信托贷款：资产类型为信托公司设立的固定收益类信托计划，底层资产为向融资人泰州国控投资集团有限公司发放信托贷款，资产到期日不超过理财产品最近一次开放日。融资人评级为AAA(评级机构为中诚信国际信用评级有限责任公司)，融资人第一大股东为泰州市政府国有资产监督管理委员会，持股比例为100%。经营范围包括:许可项目:房地产开发经营;城市生活垃圾经营性服务;非银行金融业务;金融资产管理服务;发电业务、输电业务、供(配)电业务;输电、供电、受电电力设施的安装、维修和试验;城市建筑垃圾处置(清运)(依法须经批准的项目,经相关部门批准后方可开展经营活动,具体经营项目以审批结果为准)一般项目:机动车充电销售;停车场服务;储能技术服务;集中式快速充电站;电动汽车充电基础设施运营;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养老服务(社区养老服务);养老服务(居家养老服务);养老服务(机构养老服务);从事国际集装箱船、普通货船运输;船舶港口服务;集装箱租赁服务;煤炭及制品销售;石油制品销售(不含危险化学品);有色金属合金销售;金属矿石销售;城乡市容管理;生态恢复及生态保护服务;土壤污染治理与修复服务;大气环境污染防治服务;建筑材料销售;机械设备租赁(除依法须经批准的项目外,凭营业执照依法自主开展经营活动)</w:t>
            </w:r>
          </w:p>
          <w:p w14:paraId="050A2C6D">
            <w:pPr>
              <w:spacing w:line="200" w:lineRule="exact"/>
            </w:pPr>
            <w:r>
              <w:rPr>
                <w:rFonts w:ascii="方正黑体_GBK" w:hAnsi="方正黑体_GBK" w:eastAsia="方正黑体_GBK" w:cs="宋体"/>
                <w:sz w:val="18"/>
                <w:szCs w:val="18"/>
              </w:rPr>
              <w:t>8.    信托贷款：资产类型为信托公司设立的固定收益类信托计划，底层资产为向融资人扬州新材料国资控股集团有限公司发放信托贷款，资产到期日不超过理财产品最近一次开放日。融资人评级为AA+(评级机构为中证鹏元资信评估股份有限公司)，融资人第一大股东为扬州市兴仪投资控股集团有限公司，持股比例为62%。经营范围包括:许可项目：建设工程施工；房地产开发经营(依法须经批准的项目，经相关部门批准后方可开展经营活动，具体经营项目以审批结果为准)  一般项目：以自有资金从事投资活动；市政设施管理；土地整治服务；城市绿化管理；物业管理；工程管理服务；房屋拆迁服务；住房租赁；非居住房地产租赁；金属材料销售；建筑装饰材料销售；广告设计、代理；广告制作；广告发布；停车场服务；信息咨询服务(不含许可类信息咨询服务)(除依法须经批准的项目外，凭营业执照依法自主开展经营活动)</w:t>
            </w:r>
          </w:p>
          <w:p w14:paraId="60B4A6E5">
            <w:pPr>
              <w:spacing w:line="200" w:lineRule="exact"/>
            </w:pPr>
            <w:r>
              <w:rPr>
                <w:rFonts w:ascii="方正黑体_GBK" w:hAnsi="方正黑体_GBK" w:eastAsia="方正黑体_GBK" w:cs="宋体"/>
                <w:sz w:val="18"/>
                <w:szCs w:val="18"/>
              </w:rPr>
              <w:t>9.    信托贷款：资产类型为信托公司设立的固定收益类信托计划，底层资产为向融资人扬州科佳建设工程有限公司发放信托贷款，资产到期日不超过理财产品最近一次开放日。融资人无外部评级，融资人第一大股东为扬州科丰高新产业投资开发集团有限公司，持股比例为100%。经营范围包括:建筑工程、机电安装工程、市政公用工程、水利水电工程、公路工程、景观工程、园林绿化工程、楼宇亮化工程设计、咨询、施工、维护、总承包，地基与基础工程、装潢装饰工程、钢结构工程、消防设施工程、城市及道路工程、园林古建筑工程设计、施工、专业承包，消防设施维护保养，起重设备安装工程专业承包。(依法须经批准的项目，经相关部门批准后方可开展经营活动)</w:t>
            </w:r>
          </w:p>
          <w:p w14:paraId="4AEB25C4">
            <w:pPr>
              <w:spacing w:line="200" w:lineRule="exact"/>
            </w:pPr>
            <w:r>
              <w:rPr>
                <w:rFonts w:ascii="方正黑体_GBK" w:hAnsi="方正黑体_GBK" w:eastAsia="方正黑体_GBK" w:cs="宋体"/>
                <w:sz w:val="18"/>
                <w:szCs w:val="18"/>
              </w:rPr>
              <w:t>10.  信托贷款：资产类型为信托公司设立的固定收益类信托计划，底层资产为向融资人扬州江淮建设发展有限公司发放信托贷款，资产到期日不超过理财产品最近一次开放日。融资人评级为AA+(评级机构为中证鹏元资信评估股份有限公司)，融资人第一大股东为扬州市国联控股集团有限公司，持股比例为100%。经营范围包括:城镇化建设投资,旅游景区项目投资、开发,历史文化街区整合及开发,文化艺术交流服务,会展服务,商务信息咨询,对城中村改造项目、棚户区改造项目、农村基础设施项目及农业项目的投资。(依法须经批准的项目,经相关部门批准后方可开展经营活动)一般项目:建筑材料销售;林业产品销售(除依法须经批准的项目外,凭营业执照依法自主开展经营活动)</w:t>
            </w:r>
          </w:p>
          <w:p w14:paraId="48C562A6">
            <w:pPr>
              <w:spacing w:line="200" w:lineRule="exact"/>
            </w:pPr>
            <w:r>
              <w:rPr>
                <w:rFonts w:ascii="方正黑体_GBK" w:hAnsi="方正黑体_GBK" w:eastAsia="方正黑体_GBK" w:cs="宋体"/>
                <w:sz w:val="18"/>
                <w:szCs w:val="18"/>
              </w:rPr>
              <w:t>11.  信托贷款：资产类型为信托公司设立的固定收益类信托计划，底层资产为向融资人扬州高发产业投资发展集团有限公司发放信托贷款，资产到期日不超过理财产品最近一次开放日。融资人评级为AA+(评级机构为中证鹏元资信评估股份有限公司)，融资人第一大股东为扬州高新国控集团有限公司，持股比例为100%。经营范围包括:投资咨询、投资管理、财务管理、基础设施建设、土地整理服务。(不含需前置审批项目)(依法须经批准的项目，经相关部门批准后方可开展经营活动)一般项目：电子元器件与机电组件设备销售；仪器仪表制造；木材销售；机械设备租赁；城市绿化管理；电子元器件与机电组件设备制造(除依法须经批准的项目外，凭营业执照依法自主开展经营活动)</w:t>
            </w:r>
          </w:p>
          <w:p w14:paraId="0661243C">
            <w:pPr>
              <w:spacing w:line="200" w:lineRule="exact"/>
            </w:pPr>
            <w:r>
              <w:rPr>
                <w:rFonts w:ascii="方正黑体_GBK" w:hAnsi="方正黑体_GBK" w:eastAsia="方正黑体_GBK" w:cs="宋体"/>
                <w:sz w:val="18"/>
                <w:szCs w:val="18"/>
              </w:rPr>
              <w:t>12.  信托贷款：资产类型为信托公司设立的固定收益类信托计划，底层资产为向融资人江苏金北翼产业发展集团有限公司发放信托贷款，资产到期日不超过理财产品最近一次开放日。融资人无外部评级，融资人第一大股东为启东市财政局（启东市人民政府国有资产监督管理办公室），持股比例为100%。经营范围包括:一般项目：股权投资；以自有资金从事投资活动；园区管理服务；创业空间服务；企业管理咨询；企业总部管理；非居住房地产租赁；住房租赁；土地使用权租赁；会议及展览服务；供应链管理服务；物业管理；酒店管理；停车场服务；工程管理服务；科技中介服务；市政设施管理；土地整治服务；体育场地设施经营(不含高危险性体育运动)；技术服务、技术开发、技术咨询、技术交流、技术转让、技术推广；社会经济咨询服务；软件开发；通信设备制造(除依法须经批准的项目外，凭营业执照依法自主开展经营活动)</w:t>
            </w:r>
          </w:p>
          <w:p w14:paraId="518E60C7">
            <w:pPr>
              <w:spacing w:line="200" w:lineRule="exact"/>
            </w:pPr>
            <w:r>
              <w:rPr>
                <w:rFonts w:ascii="方正黑体_GBK" w:hAnsi="方正黑体_GBK" w:eastAsia="方正黑体_GBK" w:cs="宋体"/>
                <w:sz w:val="18"/>
                <w:szCs w:val="18"/>
              </w:rPr>
              <w:t>13.  信托贷款：资产类型为信托公司设立的固定收益类信托计划，底层资产为向融资人启东安瑞达开发建设有限公司发放信托贷款，资产到期日不超过理财产品最近一次开放日。融资人无外部评级，融资人第一大股东为启东市财政局（启东市人民政府国有资产监督管理办公室），持股比例为100%。经营范围包括:项目投资与管理，房屋建筑工程、市政工程、港口与航道工程、隧道工程、桥梁工程、公路工程施工，市政设施管理。(依法须经批准的项目，经相关部门批准后方可开展经营活动)一般项目：建筑材料销售；住房租赁(除依法须经批准的项目外，凭营业执照依法自主开展经营活动)</w:t>
            </w:r>
          </w:p>
          <w:p w14:paraId="7228C057">
            <w:pPr>
              <w:spacing w:line="200" w:lineRule="exact"/>
            </w:pPr>
            <w:r>
              <w:rPr>
                <w:rFonts w:ascii="方正黑体_GBK" w:hAnsi="方正黑体_GBK" w:eastAsia="方正黑体_GBK" w:cs="宋体"/>
                <w:sz w:val="18"/>
                <w:szCs w:val="18"/>
              </w:rPr>
              <w:t>14.  信托贷款：资产类型为信托公司设立的固定收益类信托计划，底层资产为向融资人江苏开晟产业发展集团有限公司发放信托贷款，资产到期日不超过理财产品最近一次开放日。融资人评级为AA+(评级机构为联合资信评估股份有限公司)，融资人第一大股东为海安经济技术开发区管理委员会，持股比例为100%。经营范围包括:许可项目:建设工程施工;房地产开发经营(依法须经批准的项目,经相关部门批准后方可开展经营活动,具体经营项目以审批结果为准)一般项目:土地整治服务;物业管理;企业管理;土地使用权租赁;非居住房地产租赁;住房租赁(除依法须经批准的项目外,凭营业执照依法自主开展经营活动)</w:t>
            </w:r>
          </w:p>
          <w:p w14:paraId="1FF343EC">
            <w:pPr>
              <w:spacing w:line="200" w:lineRule="exact"/>
            </w:pPr>
            <w:r>
              <w:rPr>
                <w:rFonts w:ascii="方正黑体_GBK" w:hAnsi="方正黑体_GBK" w:eastAsia="方正黑体_GBK" w:cs="宋体"/>
                <w:sz w:val="18"/>
                <w:szCs w:val="18"/>
              </w:rPr>
              <w:t>15.  信托贷款：资产类型为信托公司设立的固定收益类信托计划，底层资产为向融资人淮安兴业控股有限公司发放信托贷款，资产到期日不超过理财产品最近一次开放日。融资人无外部评级，融资人第一大股东为淮安新城投资开发集团有限公司，持股比例为94.28%。经营范围包括:动产、不动产投资和租赁；市政道路建设；物业服务；园林绿化建设及养护；五金交电、日用百货、建筑材料及花卉苗木销售；商业旅游开发和公共设施建设；水环境整治。(依法须经批准的项目，经相关部门批准后方可开展经营活动)  许可项目：建设工程施工(依法须经批准的项目，经相关部门批准后方可开展经营活动，具体经营项目以审批结果为准)  一般项目：停车场服务；工程管理服务；汽车拖车、求援、清障服务(除依法须经批准的项目外，凭营业执照依法自主开展经营活动)</w:t>
            </w:r>
          </w:p>
          <w:p w14:paraId="68B2FA02">
            <w:pPr>
              <w:spacing w:line="200" w:lineRule="exact"/>
            </w:pPr>
            <w:r>
              <w:rPr>
                <w:rFonts w:ascii="方正黑体_GBK" w:hAnsi="方正黑体_GBK" w:eastAsia="方正黑体_GBK" w:cs="宋体"/>
                <w:sz w:val="18"/>
                <w:szCs w:val="18"/>
              </w:rPr>
              <w:t>16.  信托贷款：资产类型为信托公司设立的固定收益类信托计划，底层资产为向融资人阜宁县城发控股集团有限公司发放信托贷款，资产到期日不超过理财产品最近一次开放日。融资人评级为AA+(评级机构为大公国际资信评估有限公司)，融资人第一大股东为阜宁县人民政府国有资产监督管理办公室，持股比例为100%。经营范围包括:许可项目:建设工程施工;建设工程监理;第三类医疗器械经营(依法须经批准的项目,经相关部门批准后方可开展经营活动,具体经营项目以审批结果为准)一般项目:非居住房地产租赁;礼品花卉销售;树木种植经营;建筑材料销售;第一类医疗器械销售;第二类医疗器械销售;水果种植;市政设施管理;土地整治服务;以自有资金从事投资活动(除依法须经批准的项目外,凭营业执照依法自主开展经营活动)</w:t>
            </w:r>
          </w:p>
          <w:p w14:paraId="0D3A0FD6">
            <w:pPr>
              <w:spacing w:line="200" w:lineRule="exact"/>
            </w:pPr>
            <w:r>
              <w:rPr>
                <w:rFonts w:ascii="方正黑体_GBK" w:hAnsi="方正黑体_GBK" w:eastAsia="方正黑体_GBK" w:cs="宋体"/>
                <w:sz w:val="18"/>
                <w:szCs w:val="18"/>
              </w:rPr>
              <w:t>17.  信托贷款：资产类型为信托公司设立的固定收益类信托计划，底层资产为向融资人盐城盛州投资控股集团有限公司发放信托贷款，资产到期日不超过理财产品最近一次开放日。融资人无外部评级，融资人第一大股东为盐城市盐都区政府国有资产监督管理办公室，持股比例为100%。经营范围包括: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p w14:paraId="7C3BC748">
            <w:pPr>
              <w:spacing w:line="200" w:lineRule="exact"/>
            </w:pPr>
            <w:r>
              <w:rPr>
                <w:rFonts w:ascii="方正黑体_GBK" w:hAnsi="方正黑体_GBK" w:eastAsia="方正黑体_GBK" w:cs="宋体"/>
                <w:sz w:val="18"/>
                <w:szCs w:val="18"/>
              </w:rPr>
              <w:t>18.  信托贷款：资产类型为信托公司设立的固定收益类信托计划，底层资产为向融资人盐城市大纵湖湖区资源开发有限公司发放信托贷款，资产到期日不超过理财产品最近一次开放日。融资人评级为AA(评级机构为中证鹏元资信评估股份有限公司)，融资人第一大股东为盐城市城镇化建设投资集团有限公司，持股比例为100%。经营范围包括:大纵湖湖区资源开发、利用，旅游资源开发、经营管理、景区管理服务，酒店管理服务，湖区供水、污水管网建设、维护，实业投资，投资项目管理，湖区养殖业的推广，基础设施开发、建设，政府授权的国有资产的经营与管理，土地开发经营，物业管理，房屋拆除，市政公用工程、建筑装修装饰工程、园林绿化工程设计、施工，城市及道路照明工程、水利水电工程、土石方工程施工，水电安装（除供受电设施），空调安装，土地整理，市政设施管理、维护，畜禽粪污收集处理，谷物种植及技术推广，不再分装的农作物包装种子零售，建筑材料、钢材销售，农产品（除种子）、花卉、树木、草皮、种植、销售。（依法须经批准的项目，经相关部门批准后方可开展经营活动）许可项目：水产养殖；餐饮服务；草种生产经营；食品销售；住宿服务；酒吧服务（不含演艺娱乐活动）；营业性演出；演出经纪；歌舞娱乐活动；水路普通货物运输；道路旅客运输经营；洗浴服务；生活美容服务；烟草制品零售（依法须经批准的项目，经相关部门批准后方可开展经营活动，具体经营项目以审批结果为准）一般项目：游览景区管理；玩具、动漫及游艺用品销售；日用品销售；餐饮管理；企业管理；物业管理；生态保护区管理服务；停车场服务；花卉种植；园艺产品种植；广告设计、代理；广告制作；票务代理服务；市场营销策划；企业形象策划；项目策划与公关服务；体育赛事策划；组织文化艺术交流活动；会议及展览服务；教育咨询服务（不含涉许可审批的教育培训活动）；以自有资金从事投资活动；旅游开发项目策划咨询；园区管理服务；游乐园服务；船舶租赁；工艺美术品及收藏品零售（象牙及其制品除外）；非居住房地产租赁；组织体育表演活动；体育竞赛组织；棋牌室服务；工艺美术品及收藏品批发（象牙及其制品除外）；健身休闲活动；体育健康服务；洗染服务；家政服务；体育场地设施经营（不含高危险性体育运动）；工艺美术品及礼仪用品销售（象牙及其制品除外）；纺织、服装及家庭用品批发；服装服饰零售；农副产品销售；食品销售（仅销售预包装食品）；小微型客车租赁经营服务（除依法须经批准的项目外，凭营业执照依法自主开展经营活动）</w:t>
            </w:r>
          </w:p>
          <w:p w14:paraId="37240B6D">
            <w:pPr>
              <w:spacing w:line="200" w:lineRule="exact"/>
            </w:pPr>
            <w:r>
              <w:rPr>
                <w:rFonts w:ascii="方正黑体_GBK" w:hAnsi="方正黑体_GBK" w:eastAsia="方正黑体_GBK" w:cs="宋体"/>
                <w:sz w:val="18"/>
                <w:szCs w:val="18"/>
              </w:rPr>
              <w:t>19.  信托贷款：资产类型为信托公司设立的固定收益类信托计划，底层资产为向融资人盐城市水务集团有限公司发放信托贷款，资产到期日不超过理财产品最近一次开放日。融资人无外部评级，融资人第一大股东为盐城市市政公用投资有限公司，持股比例为100%。经营范围包括: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现制现售饮用水(依法须经批准的项目，经相关部门批准后方可开展经营活动，具体经营项目以审批结果为准)</w:t>
            </w:r>
          </w:p>
          <w:p w14:paraId="17CD76C3">
            <w:pPr>
              <w:spacing w:line="200" w:lineRule="exact"/>
            </w:pPr>
            <w:r>
              <w:rPr>
                <w:rFonts w:ascii="方正黑体_GBK" w:hAnsi="方正黑体_GBK" w:eastAsia="方正黑体_GBK" w:cs="宋体"/>
                <w:sz w:val="18"/>
                <w:szCs w:val="18"/>
              </w:rPr>
              <w:t>20.  信托贷款：资产类型为信托公司设立的固定收益类信托计划，底层资产为向融资人盐城市城镇化建设投资集团有限公司发放信托贷款，资产到期日不超过理财产品最近一次开放日。融资人评级为AA+(评级机构为东方金诚国际信用评估有限公司)，融资人第一大股东为盐城市人民政府，持股比例为100%。经营范围包括:城镇化重点投资项目的建设、运营、管理,实业投资,政府授权的国有资产和国有股权的经营、管理,政府委托的经营性资产、准经营资产的经营和非经营性资产的管理,政府委托的土地收储、整理与开发,政府委托的资产收益管理、资产重组,基础设施的建设、改造、管理,政府委托的棚户区改造、开发、经营、管理,政府委托的养老产业、农业项目、河道疏浚、新能源产业、电子商务、云计算、智能化产业,物流产业,市政公用工程、桥梁工程、园林绿化工程、水利水电工程、公用事业项目的投资管理,房地产开发与经营,房屋租赁,物业管理,建筑装饰装潢材料销售,市场营销策划,信息咨询服务,会展服务,旅游文化、教育、酒店项目的投资开发和经营管理。医护人员防护用品零售;医护人员防护用品批发;卫生用品和一次性使用医疗用品销售;医用口罩零售;医用口罩批发(依法须经批准的项目,经相关部门批准后方可开展经营活动)。</w:t>
            </w:r>
          </w:p>
          <w:p w14:paraId="02B406CD">
            <w:pPr>
              <w:spacing w:line="200" w:lineRule="exact"/>
            </w:pPr>
            <w:r>
              <w:rPr>
                <w:rFonts w:ascii="方正黑体_GBK" w:hAnsi="方正黑体_GBK" w:eastAsia="方正黑体_GBK" w:cs="宋体"/>
                <w:sz w:val="18"/>
                <w:szCs w:val="18"/>
              </w:rPr>
              <w:t>21.  信托贷款：资产类型为信托公司设立的固定收益类信托计划，底层资产为向融资人盐城高新区投资集团有限公司发放信托贷款，资产到期日不超过理财产品最近一次开放日。融资人评级为AA+(评级机构为中诚信国际信用评级有限责任公司)，融资人第一大股东为盐城高新产业控股集团有限公司，持股比例为100%。经营范围包括:授权范围内的国有资产经营管理;高新技术产业投资和运营;园区基础配套设施及市政公用设施投资、建设、运营;土地开发经营;房屋租赁;物业管理;建筑材料、电子产品批发、零售。(依法须经批准的项目,经相关部门批准后方可开展经营活动)许可项目:建设工程施工;建设工程设计(依法须经批准的项目,经相关部门批准后方可开展经营活动,具体经营项目以审批结果为准)一般项目:城市绿化管理;树木种植经营;工程管理服务;林业产品销售(除依法须经批准的项目外,凭营业执照依法自主开展经营活动)</w:t>
            </w:r>
          </w:p>
          <w:p w14:paraId="0D29DFEB">
            <w:pPr>
              <w:spacing w:line="200" w:lineRule="exact"/>
            </w:pPr>
            <w:r>
              <w:rPr>
                <w:rFonts w:ascii="方正黑体_GBK" w:hAnsi="方正黑体_GBK" w:eastAsia="方正黑体_GBK" w:cs="宋体"/>
                <w:sz w:val="18"/>
                <w:szCs w:val="18"/>
              </w:rPr>
              <w:t>22.  信托贷款：资产类型为信托公司设立的固定收益类信托计划，底层资产为向融资人盐城市城镇化建设投资集团有限公司发放信托贷款，资产到期日不超过理财产品最近一次开放日。融资人评级为AA+(评级机构为东方金诚国际信用评估有限公司)，融资人第一大股东为盐城市人民政府，持股比例为100%。经营范围包括:城镇化重点投资项目的建设、运营、管理,实业投资,政府授权的国有资产和国有股权的经营、管理,政府委托的经营性资产、准经营资产的经营和非经营性资产的管理,政府委托的土地收储、整理与开发,政府委托的资产收益管理、资产重组,基础设施的建设、改造、管理,政府委托的棚户区改造、开发、经营、管理,政府委托的养老产业、农业项目、河道疏浚、新能源产业、电子商务、云计算、智能化产业,物流产业,市政公用工程、桥梁工程、园林绿化工程、水利水电工程、公用事业项目的投资管理,房地产开发与经营,房屋租赁,物业管理,建筑装饰装潢材料销售,市场营销策划,信息咨询服务,会展服务,旅游文化、教育、酒店项目的投资开发和经营管理。医护人员防护用品零售;医护人员防护用品批发;卫生用品和一次性使用医疗用品销售;医用口罩零售;医用口罩批发(依法须经批准的项目,经相关部门批准后方可开展经营活动)。</w:t>
            </w:r>
          </w:p>
          <w:p w14:paraId="339B4475">
            <w:pPr>
              <w:spacing w:line="200" w:lineRule="exact"/>
            </w:pPr>
            <w:r>
              <w:rPr>
                <w:rFonts w:ascii="方正黑体_GBK" w:hAnsi="方正黑体_GBK" w:eastAsia="方正黑体_GBK" w:cs="宋体"/>
                <w:sz w:val="18"/>
                <w:szCs w:val="18"/>
              </w:rPr>
              <w:t>23.  信托贷款：资产类型为信托公司设立的固定收益类信托计划，底层资产为向融资人江苏苏海控股集团有限公司发放信托贷款，资产到期日不超过理财产品最近一次开放日。融资人评级为AA+(评级机构为大公国际资信评估有限公司)，融资人第一大股东为连云港市赣榆区人民政府，持股比例为100%。经营范围包括:许可项目：各类工程建设活动；保税物流中心经营；道路货物运输站经营；城市配送运输服务(不含危险货物)；矿产资源(非煤矿山)开采；自来水生产与供应(依法须经批准的项目，经相关部门批准后方可开展经营活动，具体经营项目以审批结果为准)  一般项目：国内货物运输代理；国内贸易代理；销售代理；园区管理服务；工程管理服务；园林绿化工程施工；城市绿化管理；市政设施管理；公共事业管理服务；建筑材料销售；铁路运输辅助活动；热力生产和供应；普通货物仓储服务(不含危险化学品等需许可审批的项目)；污水处理及其再生利用；船舶港口服务；水污染治理；水环境污染防治服务；供暖服务；土石方工程施工；对外承包工程；水产品批发；水产品零售；非金属矿及制品销售；农副产品销售(除依法须经批准的项目外，凭营业执照依法自主开展经营活动)</w:t>
            </w:r>
          </w:p>
          <w:p w14:paraId="066326C1">
            <w:pPr>
              <w:spacing w:line="200" w:lineRule="exact"/>
            </w:pPr>
            <w:r>
              <w:rPr>
                <w:rFonts w:ascii="方正黑体_GBK" w:hAnsi="方正黑体_GBK" w:eastAsia="方正黑体_GBK" w:cs="宋体"/>
                <w:sz w:val="18"/>
                <w:szCs w:val="18"/>
              </w:rPr>
              <w:t>24.  信托贷款：资产类型为信托公司设立的固定收益类信托计划，底层资产为向融资人南京吉山国有资产运营集团有限公司发放信托贷款，资产到期日不超过理财产品最近一次开放日。融资人无外部评级，融资人第一大股东为南京江宁经济技术开发集团有限公司，持股比例为100%。经营范围包括:许可项目：建设工程施工(依法须经批准的项目，经相关部门批准后方可开展经营活动，具体经营项目以审批结果为准)一般项目：创业空间服务；园区管理服务；市政设施管理；以自有资金从事投资活动；停车场服务；创业投资(限投资未上市企业)；会议及展览服务；土地整治服务；建筑材料销售；园林绿化工程施工；城市绿化管理；商业综合体管理服务；物业管理；住房租赁；租赁服务(不含许可类租赁服务)；酒店管理；工程管理服务；供应链管理服务(除依法须经批准的项目外，凭营业执照依法自主开展经营活动)</w:t>
            </w:r>
          </w:p>
          <w:p w14:paraId="6A174691">
            <w:pPr>
              <w:spacing w:line="200" w:lineRule="exact"/>
              <w:jc w:val="left"/>
            </w:pPr>
            <w:r>
              <w:rPr>
                <w:rFonts w:ascii="方正黑体_GBK" w:hAnsi="方正黑体_GBK" w:eastAsia="方正黑体_GBK" w:cs="宋体"/>
                <w:sz w:val="18"/>
                <w:szCs w:val="18"/>
              </w:rPr>
              <w:t>25.  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14:paraId="63D2EADF">
            <w:pPr>
              <w:spacing w:line="200" w:lineRule="exact"/>
              <w:jc w:val="left"/>
            </w:pPr>
            <w:r>
              <w:rPr>
                <w:rFonts w:ascii="方正黑体_GBK" w:hAnsi="方正黑体_GBK" w:eastAsia="方正黑体_GBK" w:cs="宋体"/>
                <w:sz w:val="18"/>
                <w:szCs w:val="18"/>
              </w:rPr>
              <w:t>26.  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14:paraId="717A6BB4">
            <w:pPr>
              <w:spacing w:line="200" w:lineRule="exact"/>
              <w:jc w:val="left"/>
            </w:pPr>
            <w:r>
              <w:rPr>
                <w:rFonts w:ascii="方正黑体_GBK" w:hAnsi="方正黑体_GBK" w:eastAsia="方正黑体_GBK" w:cs="宋体"/>
                <w:sz w:val="18"/>
                <w:szCs w:val="18"/>
              </w:rPr>
              <w:t>27.  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14:paraId="7EF65D3B">
            <w:pPr>
              <w:spacing w:line="200" w:lineRule="exact"/>
              <w:jc w:val="left"/>
            </w:pPr>
            <w:r>
              <w:rPr>
                <w:rFonts w:ascii="方正黑体_GBK" w:hAnsi="方正黑体_GBK" w:eastAsia="方正黑体_GBK" w:cs="宋体"/>
                <w:sz w:val="18"/>
                <w:szCs w:val="18"/>
              </w:rPr>
              <w:t>28.  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14:paraId="0BB607AA">
            <w:pPr>
              <w:spacing w:line="200" w:lineRule="exact"/>
              <w:jc w:val="left"/>
            </w:pPr>
            <w:r>
              <w:rPr>
                <w:rFonts w:ascii="方正黑体_GBK" w:hAnsi="方正黑体_GBK" w:eastAsia="方正黑体_GBK" w:cs="宋体"/>
                <w:sz w:val="18"/>
                <w:szCs w:val="18"/>
              </w:rPr>
              <w:t>29.  资产支持计划：资产类型为保险资产管理公司设立的资产支持计划，底层资产为抖音及信托公司双重审核、信托公司自主风控后发放的“放心借”贷款资产，资产到期日不超过理财产品最近一次开放日，仅投资优先级。</w:t>
            </w:r>
          </w:p>
          <w:p w14:paraId="43FF9BCD">
            <w:pPr>
              <w:spacing w:line="200" w:lineRule="exact"/>
              <w:jc w:val="left"/>
            </w:pPr>
            <w:r>
              <w:rPr>
                <w:rFonts w:ascii="方正黑体_GBK" w:hAnsi="方正黑体_GBK" w:eastAsia="方正黑体_GBK" w:cs="宋体"/>
                <w:sz w:val="18"/>
                <w:szCs w:val="18"/>
              </w:rPr>
              <w:t>30.  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14:paraId="3199A5C5">
            <w:pPr>
              <w:spacing w:line="200" w:lineRule="exact"/>
              <w:jc w:val="left"/>
            </w:pPr>
            <w:r>
              <w:rPr>
                <w:rFonts w:ascii="方正黑体_GBK" w:hAnsi="方正黑体_GBK" w:eastAsia="方正黑体_GBK" w:cs="宋体"/>
                <w:sz w:val="18"/>
                <w:szCs w:val="18"/>
              </w:rPr>
              <w:t>31.  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14:paraId="02325255">
            <w:pPr>
              <w:spacing w:line="200" w:lineRule="exact"/>
              <w:jc w:val="left"/>
            </w:pPr>
            <w:r>
              <w:rPr>
                <w:rFonts w:ascii="方正黑体_GBK" w:hAnsi="方正黑体_GBK" w:eastAsia="方正黑体_GBK" w:cs="宋体"/>
                <w:sz w:val="18"/>
                <w:szCs w:val="18"/>
              </w:rPr>
              <w:t>32.  信托贷款：资产类型为信托公司设立的资金信托计划，底层资产为京东及信托公司双重审核、信托公司自主风控后发放的“白条”个人消费贷款债权，资产到期日不超过理财产品最近一次开放日。</w:t>
            </w:r>
          </w:p>
          <w:p w14:paraId="33142652">
            <w:pPr>
              <w:spacing w:line="200" w:lineRule="exact"/>
              <w:jc w:val="left"/>
            </w:pPr>
            <w:r>
              <w:rPr>
                <w:rFonts w:ascii="方正黑体_GBK" w:hAnsi="方正黑体_GBK" w:eastAsia="方正黑体_GBK" w:cs="宋体"/>
                <w:sz w:val="18"/>
                <w:szCs w:val="18"/>
              </w:rPr>
              <w:t>33.  信托贷款：资产类型为信托公司设立的资金信托计划，底层资产为京东及信托公司双重审核、信托公司自主风控后发放的“金条”个人消费贷款债权，资产到期日不超过理财产品最近一次开放日。</w:t>
            </w:r>
          </w:p>
          <w:p w14:paraId="1F65BB22">
            <w:pPr>
              <w:spacing w:line="200" w:lineRule="exact"/>
              <w:jc w:val="left"/>
            </w:pPr>
            <w:r>
              <w:rPr>
                <w:rFonts w:ascii="方正黑体_GBK" w:hAnsi="方正黑体_GBK" w:eastAsia="方正黑体_GBK" w:cs="宋体"/>
                <w:sz w:val="18"/>
                <w:szCs w:val="18"/>
              </w:rPr>
              <w:t>34.  信托贷款：资产类型为信托公司设立的资金信托计划，底层资产为京东及信托公司双重审核、信托公司自主风控后发放的“白条取现”个人消费贷款债权，资产到期日不超过理财产品最近一次开放日。</w:t>
            </w:r>
          </w:p>
          <w:p w14:paraId="595FE48B">
            <w:pPr>
              <w:spacing w:line="200" w:lineRule="exact"/>
              <w:jc w:val="left"/>
            </w:pPr>
            <w:r>
              <w:rPr>
                <w:rFonts w:ascii="方正黑体_GBK" w:hAnsi="方正黑体_GBK" w:eastAsia="方正黑体_GBK" w:cs="宋体"/>
                <w:sz w:val="18"/>
                <w:szCs w:val="18"/>
              </w:rPr>
              <w:t>35.  信托贷款：资产类型为信托公司设立的资金信托计划，底层资产为抖音及信托公司双重审核、信托公司自主风控后发放的“月付”个人消费贷款债权，资产到期日不超过理财产品最近一次开放日。</w:t>
            </w:r>
          </w:p>
          <w:p w14:paraId="1A7E7D33">
            <w:pPr>
              <w:spacing w:line="200" w:lineRule="exact"/>
              <w:jc w:val="left"/>
            </w:pPr>
            <w:r>
              <w:rPr>
                <w:rFonts w:ascii="方正黑体_GBK" w:hAnsi="方正黑体_GBK" w:eastAsia="方正黑体_GBK" w:cs="宋体"/>
                <w:sz w:val="18"/>
                <w:szCs w:val="18"/>
              </w:rPr>
              <w:t>36.  信托贷款：资产类型为信托公司设立的资金信托计划，底层资产为抖音及信托公司双重审核、信托公司自主风控后发放的“放心借”贷款资产，资产到期日不超过理财产品最近一次开放日。</w:t>
            </w:r>
          </w:p>
          <w:p w14:paraId="2DAFAD43">
            <w:pPr>
              <w:spacing w:line="200" w:lineRule="exact"/>
              <w:jc w:val="left"/>
            </w:pPr>
            <w:r>
              <w:rPr>
                <w:rFonts w:ascii="方正黑体_GBK" w:hAnsi="方正黑体_GBK" w:eastAsia="方正黑体_GBK" w:cs="宋体"/>
                <w:sz w:val="18"/>
                <w:szCs w:val="18"/>
              </w:rPr>
              <w:t>37.  信托贷款：资产类型为信托公司设立的资金信托计划，底层资产为蚂蚁及信托公司双重审核、信托公司自主风控后发放的“花呗”个人消费贷款债权，资产到期日不超过理财产品最近一次开放日。</w:t>
            </w:r>
          </w:p>
          <w:p w14:paraId="507CF0C6">
            <w:pPr>
              <w:spacing w:line="200" w:lineRule="exact"/>
              <w:jc w:val="left"/>
            </w:pPr>
            <w:r>
              <w:rPr>
                <w:rFonts w:ascii="方正黑体_GBK" w:hAnsi="方正黑体_GBK" w:eastAsia="方正黑体_GBK" w:cs="宋体"/>
                <w:sz w:val="18"/>
                <w:szCs w:val="18"/>
              </w:rPr>
              <w:t>38.  信托贷款：资产类型为信托公司设立的资金信托计划，底层资产为蚂蚁及信托公司双重审核、信托公司自主风控后发放的“借呗”个人消费贷款债权，资产到期日不超过理财产品最近一次开放日。</w:t>
            </w:r>
          </w:p>
          <w:p w14:paraId="47859386">
            <w:pPr>
              <w:spacing w:line="200" w:lineRule="exact"/>
              <w:jc w:val="left"/>
            </w:pPr>
            <w:r>
              <w:rPr>
                <w:rFonts w:ascii="方正黑体_GBK" w:hAnsi="方正黑体_GBK" w:eastAsia="方正黑体_GBK" w:cs="宋体"/>
                <w:sz w:val="18"/>
                <w:szCs w:val="18"/>
              </w:rPr>
              <w:t>39.  信托贷款：资产类型为信托公司设立的资金信托计划，底层资产为微信及信托公司双重审核、信托公司自主风控后发放的“分付”个人消费贷款债权，资产到期日不超过理财产品最近一次开放日。</w:t>
            </w:r>
          </w:p>
          <w:p w14:paraId="7712746D">
            <w:pPr>
              <w:spacing w:line="200" w:lineRule="exact"/>
              <w:jc w:val="left"/>
            </w:pPr>
            <w:r>
              <w:rPr>
                <w:rFonts w:ascii="方正黑体_GBK" w:hAnsi="方正黑体_GBK" w:eastAsia="方正黑体_GBK" w:cs="宋体"/>
                <w:sz w:val="18"/>
                <w:szCs w:val="18"/>
              </w:rPr>
              <w:t>40.  信托贷款：资产类型为信托公司设立的资金信托计划，底层资产为度小满及信托公司双重审核、信托公司自主风控后发放的“满易贷”个人消费贷款债权，资产到期日不超过理财产品最近一次开放日。</w:t>
            </w:r>
          </w:p>
          <w:p w14:paraId="6513205C">
            <w:pPr>
              <w:spacing w:line="200" w:lineRule="exact"/>
              <w:jc w:val="left"/>
            </w:pPr>
            <w:r>
              <w:rPr>
                <w:rFonts w:ascii="方正黑体_GBK" w:hAnsi="方正黑体_GBK" w:eastAsia="方正黑体_GBK" w:cs="宋体"/>
                <w:sz w:val="18"/>
                <w:szCs w:val="18"/>
              </w:rPr>
              <w:t>41.  券商收益凭证：资产类型为证券公司发行的收益凭证，资产到期日不超过理财产品最近一次开放日，融资人为华宝证券股份有限公司，融资人评级为AA+（评级机构为联合资信评估股份有限公司）。</w:t>
            </w:r>
          </w:p>
          <w:p w14:paraId="34130155">
            <w:pPr>
              <w:spacing w:line="200" w:lineRule="exact"/>
              <w:jc w:val="left"/>
            </w:pPr>
            <w:r>
              <w:rPr>
                <w:rFonts w:ascii="方正黑体_GBK" w:hAnsi="方正黑体_GBK" w:eastAsia="方正黑体_GBK" w:cs="宋体"/>
                <w:sz w:val="18"/>
                <w:szCs w:val="18"/>
              </w:rPr>
              <w:t>42.  券商收益凭证：资产类型为证券公司发行的收益凭证，资产到期日不超过理财产品最近一次开放日，融资人为上海证券有限责任公司，融资人评级为AAA（评级机构为上海新世纪资信评估投资服务有限公司）。</w:t>
            </w:r>
          </w:p>
          <w:p w14:paraId="699F6B95">
            <w:pPr>
              <w:spacing w:line="200" w:lineRule="exact"/>
              <w:jc w:val="left"/>
            </w:pPr>
            <w:r>
              <w:rPr>
                <w:rFonts w:ascii="方正黑体_GBK" w:hAnsi="方正黑体_GBK" w:eastAsia="方正黑体_GBK" w:cs="宋体"/>
                <w:sz w:val="18"/>
                <w:szCs w:val="18"/>
              </w:rPr>
              <w:t>43.  券商收益凭证：资产类型为证券公司发行的收益凭证，资产到期日不超过理财产品最近一次开放日，融资人为山西证券股份有限公司，融资人评级为AAA（评级机构为中诚信国际信用评级有限责任公司）。</w:t>
            </w:r>
          </w:p>
          <w:p w14:paraId="2C2C18CB">
            <w:pPr>
              <w:spacing w:line="200" w:lineRule="exact"/>
              <w:jc w:val="left"/>
            </w:pPr>
            <w:r>
              <w:rPr>
                <w:rFonts w:ascii="方正黑体_GBK" w:hAnsi="方正黑体_GBK" w:eastAsia="方正黑体_GBK" w:cs="宋体"/>
                <w:sz w:val="18"/>
                <w:szCs w:val="18"/>
              </w:rPr>
              <w:t>44.  券商收益凭证：资产类型为证券公司发行的收益凭证，资产到期日不超过理财产品最近一次开放日，融资人为中银国际证券股份有限公司，融资人评级为AAA（评级机构为中诚信国际信用评级有限责任公司）。</w:t>
            </w:r>
          </w:p>
          <w:p w14:paraId="32FAC2CA">
            <w:pPr>
              <w:spacing w:line="200" w:lineRule="exact"/>
              <w:jc w:val="left"/>
            </w:pPr>
            <w:r>
              <w:rPr>
                <w:rFonts w:ascii="方正黑体_GBK" w:hAnsi="方正黑体_GBK" w:eastAsia="方正黑体_GBK" w:cs="宋体"/>
                <w:sz w:val="18"/>
                <w:szCs w:val="18"/>
              </w:rPr>
              <w:t>45.  券商收益凭证：资产类型为证券公司发行的收益凭证，资产到期日不超过理财产品最近一次开放日，融资人为首创证券股份有限公司，融资人评级为AAA（评级机构为中诚信国际信用评级有限责任公司）。</w:t>
            </w:r>
          </w:p>
          <w:p w14:paraId="01D87F24">
            <w:pPr>
              <w:spacing w:line="200" w:lineRule="exact"/>
              <w:jc w:val="left"/>
            </w:pPr>
            <w:r>
              <w:rPr>
                <w:rFonts w:ascii="方正黑体_GBK" w:hAnsi="方正黑体_GBK" w:eastAsia="方正黑体_GBK" w:cs="宋体"/>
                <w:sz w:val="18"/>
                <w:szCs w:val="18"/>
              </w:rPr>
              <w:t>46.  同业借款：资产类型为南银理财有限责任公司向持牌金融机构发放的同业借款，资产到期日不超过理财产品最近一次开放日，融资人为中国中信金融资产管理股份有限公司。</w:t>
            </w:r>
          </w:p>
          <w:p w14:paraId="1BC926A3">
            <w:pPr>
              <w:spacing w:line="200" w:lineRule="exact"/>
              <w:jc w:val="left"/>
            </w:pPr>
            <w:r>
              <w:rPr>
                <w:rFonts w:ascii="方正黑体_GBK" w:hAnsi="方正黑体_GBK" w:eastAsia="方正黑体_GBK" w:cs="宋体"/>
                <w:sz w:val="18"/>
                <w:szCs w:val="18"/>
              </w:rPr>
              <w:t>47.  同业借款：资产类型为南银理财有限责任公司向持牌金融机构发放的同业借款，资产到期日不超过理财产品最近一次开放日，融资人为中国东方资产管理股份有限公司。</w:t>
            </w:r>
          </w:p>
          <w:p w14:paraId="1447F9A7">
            <w:pPr>
              <w:spacing w:line="200" w:lineRule="exact"/>
              <w:jc w:val="left"/>
            </w:pPr>
            <w:r>
              <w:rPr>
                <w:rFonts w:ascii="方正黑体_GBK" w:hAnsi="方正黑体_GBK" w:eastAsia="方正黑体_GBK" w:cs="宋体"/>
                <w:sz w:val="18"/>
                <w:szCs w:val="18"/>
              </w:rPr>
              <w:t>48.  同业借款：资产类型为南银理财有限责任公司向持牌金融机构发放的同业借款，资产到期日不超过理财产品最近一次开放日，融资人为中国信达资产管理股份有限公司。</w:t>
            </w:r>
          </w:p>
          <w:p w14:paraId="4069DDD4">
            <w:pPr>
              <w:spacing w:line="200" w:lineRule="exact"/>
              <w:jc w:val="left"/>
            </w:pPr>
            <w:r>
              <w:rPr>
                <w:rFonts w:ascii="方正黑体_GBK" w:hAnsi="方正黑体_GBK" w:eastAsia="方正黑体_GBK" w:cs="宋体"/>
                <w:sz w:val="18"/>
                <w:szCs w:val="18"/>
              </w:rPr>
              <w:t>49.  同业借款：资产类型为南银理财有限责任公司向持牌金融机构发放的同业借款，资产到期日不超过理财产品最近一次开放日，融资人为中国长城资产管理股份有限公司。</w:t>
            </w:r>
          </w:p>
          <w:p w14:paraId="21830175">
            <w:pPr>
              <w:spacing w:line="200" w:lineRule="exact"/>
            </w:pPr>
            <w:r>
              <w:rPr>
                <w:rFonts w:ascii="方正黑体_GBK" w:hAnsi="方正黑体_GBK" w:eastAsia="方正黑体_GBK" w:cs="宋体"/>
                <w:b/>
                <w:sz w:val="18"/>
                <w:szCs w:val="18"/>
              </w:rPr>
              <w:t>以上资产剩余期限均不超过产品期限。</w:t>
            </w:r>
            <w:r>
              <w:rPr>
                <w:rFonts w:ascii="方正黑体_GBK" w:hAnsi="方正黑体_GBK" w:eastAsia="方正黑体_GBK"/>
              </w:rPr>
              <w:br w:type="textWrapping"/>
            </w:r>
            <w:r>
              <w:rPr>
                <w:rFonts w:ascii="方正黑体_GBK" w:hAnsi="方正黑体_GBK" w:eastAsia="方正黑体_GBK" w:cs="宋体"/>
                <w:b/>
                <w:sz w:val="18"/>
                <w:szCs w:val="18"/>
              </w:rPr>
              <w:t>若本理财产品投资上述备选非标准化债权类资产以外的非标准化债权类资产，管理人将选择优质企业作为融资人，且资产项目已履行内部严格的审批流程，融资人业务经营正常，项目还款来源明确，并在本理财产品的定期报告中进行信息披露。</w:t>
            </w:r>
          </w:p>
        </w:tc>
      </w:tr>
      <w:tr w14:paraId="1EDB23E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FD6C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617B3DE1">
            <w:pPr>
              <w:spacing w:line="200" w:lineRule="exact"/>
            </w:pPr>
            <w:r>
              <w:rPr>
                <w:rFonts w:ascii="方正黑体_GBK" w:hAnsi="方正黑体_GBK" w:eastAsia="方正黑体_GBK" w:cs="宋体"/>
                <w:sz w:val="18"/>
                <w:szCs w:val="18"/>
              </w:rPr>
              <w:t>A份额：业绩比较基准为年化2.6%-3% 。</w:t>
            </w:r>
          </w:p>
          <w:p w14:paraId="42F59228">
            <w:pPr>
              <w:spacing w:line="200" w:lineRule="exact"/>
            </w:pPr>
            <w:r>
              <w:rPr>
                <w:rFonts w:ascii="方正黑体_GBK" w:hAnsi="方正黑体_GBK" w:eastAsia="方正黑体_GBK" w:cs="宋体"/>
                <w:sz w:val="18"/>
                <w:szCs w:val="18"/>
              </w:rPr>
              <w:t>B份额：业绩比较基准为年化2.6%-3% 。</w:t>
            </w:r>
          </w:p>
          <w:p w14:paraId="676AA333">
            <w:pPr>
              <w:spacing w:line="200" w:lineRule="exact"/>
            </w:pPr>
            <w:r>
              <w:rPr>
                <w:rFonts w:ascii="方正黑体_GBK" w:hAnsi="方正黑体_GBK" w:eastAsia="方正黑体_GBK" w:cs="宋体"/>
                <w:sz w:val="18"/>
                <w:szCs w:val="18"/>
              </w:rPr>
              <w:t>C份额：业绩比较基准为年化2.65%-3.05% 。</w:t>
            </w:r>
          </w:p>
          <w:p w14:paraId="0D435547">
            <w:pPr>
              <w:spacing w:line="200" w:lineRule="exact"/>
            </w:pPr>
            <w:r>
              <w:rPr>
                <w:rFonts w:ascii="方正黑体_GBK" w:hAnsi="方正黑体_GBK" w:eastAsia="方正黑体_GBK" w:cs="宋体"/>
                <w:sz w:val="18"/>
                <w:szCs w:val="18"/>
              </w:rPr>
              <w:t>D份额：业绩比较基准为年化2.7%-3.1% 。</w:t>
            </w:r>
          </w:p>
          <w:p w14:paraId="1EFE152C">
            <w:pPr>
              <w:spacing w:line="200" w:lineRule="exact"/>
            </w:pPr>
            <w:r>
              <w:rPr>
                <w:rFonts w:ascii="方正黑体_GBK" w:hAnsi="方正黑体_GBK" w:eastAsia="方正黑体_GBK" w:cs="宋体"/>
                <w:sz w:val="18"/>
                <w:szCs w:val="18"/>
              </w:rPr>
              <w:t>E份额：业绩比较基准为年化2.8%-3.2% 。</w:t>
            </w:r>
          </w:p>
          <w:p w14:paraId="3780538D">
            <w:pPr>
              <w:spacing w:line="200" w:lineRule="exact"/>
            </w:pPr>
            <w:r>
              <w:rPr>
                <w:rFonts w:ascii="方正黑体_GBK" w:hAnsi="方正黑体_GBK" w:eastAsia="方正黑体_GBK" w:cs="宋体"/>
                <w:sz w:val="18"/>
                <w:szCs w:val="18"/>
              </w:rPr>
              <w:t>F份额：业绩比较基准为年化2.7%-3.1% 。</w:t>
            </w:r>
          </w:p>
          <w:p w14:paraId="2BE324BC">
            <w:pPr>
              <w:spacing w:line="200" w:lineRule="exact"/>
            </w:pPr>
            <w:r>
              <w:rPr>
                <w:rFonts w:ascii="方正黑体_GBK" w:hAnsi="方正黑体_GBK" w:eastAsia="方正黑体_GBK" w:cs="宋体"/>
                <w:sz w:val="18"/>
                <w:szCs w:val="18"/>
              </w:rPr>
              <w:t>G份额：业绩比较基准为年化2.75%-3.15% 。</w:t>
            </w:r>
          </w:p>
          <w:p w14:paraId="3F1A3C4C">
            <w:pPr>
              <w:spacing w:line="200" w:lineRule="exact"/>
            </w:pPr>
            <w:r>
              <w:rPr>
                <w:rFonts w:ascii="方正黑体_GBK" w:hAnsi="方正黑体_GBK" w:eastAsia="方正黑体_GBK" w:cs="宋体"/>
                <w:sz w:val="18"/>
                <w:szCs w:val="18"/>
              </w:rPr>
              <w:t>H份额：业绩比较基准为年化2.8%-3.2% 。</w:t>
            </w:r>
          </w:p>
          <w:p w14:paraId="0A5DCB84">
            <w:pPr>
              <w:spacing w:line="200" w:lineRule="exact"/>
            </w:pPr>
            <w:r>
              <w:rPr>
                <w:rFonts w:ascii="方正黑体_GBK" w:hAnsi="方正黑体_GBK" w:eastAsia="方正黑体_GBK" w:cs="宋体"/>
                <w:sz w:val="18"/>
                <w:szCs w:val="18"/>
              </w:rPr>
              <w:t>J份额：业绩比较基准为年化2.6%-3% 。</w:t>
            </w:r>
          </w:p>
          <w:p w14:paraId="66AB3FDB">
            <w:pPr>
              <w:spacing w:line="200" w:lineRule="exact"/>
            </w:pPr>
            <w:r>
              <w:rPr>
                <w:rFonts w:ascii="方正黑体_GBK" w:hAnsi="方正黑体_GBK" w:eastAsia="方正黑体_GBK" w:cs="宋体"/>
                <w:sz w:val="18"/>
                <w:szCs w:val="18"/>
              </w:rPr>
              <w:t>K份额：业绩比较基准为年化2.6%-3% 。</w:t>
            </w:r>
          </w:p>
          <w:p w14:paraId="3D038EC5">
            <w:pPr>
              <w:spacing w:line="200" w:lineRule="exact"/>
            </w:pPr>
            <w:r>
              <w:rPr>
                <w:rFonts w:ascii="方正黑体_GBK" w:hAnsi="方正黑体_GBK" w:eastAsia="方正黑体_GBK" w:cs="宋体"/>
                <w:sz w:val="18"/>
                <w:szCs w:val="18"/>
              </w:rPr>
              <w:t>M份额：业绩比较基准为年化2.6%-3% 。</w:t>
            </w:r>
          </w:p>
          <w:p w14:paraId="6254E8BE">
            <w:pPr>
              <w:spacing w:line="200" w:lineRule="exact"/>
            </w:pPr>
            <w:r>
              <w:rPr>
                <w:rFonts w:ascii="方正黑体_GBK" w:hAnsi="方正黑体_GBK" w:eastAsia="方正黑体_GBK" w:cs="宋体"/>
                <w:sz w:val="18"/>
                <w:szCs w:val="18"/>
              </w:rPr>
              <w:t>N份额：业绩比较基准为年化2.85%-3.25% 。</w:t>
            </w:r>
          </w:p>
          <w:p w14:paraId="4155BBA7">
            <w:pPr>
              <w:spacing w:line="200" w:lineRule="exact"/>
            </w:pPr>
            <w:r>
              <w:rPr>
                <w:rFonts w:ascii="方正黑体_GBK" w:hAnsi="方正黑体_GBK" w:eastAsia="方正黑体_GBK" w:cs="宋体"/>
                <w:sz w:val="18"/>
                <w:szCs w:val="18"/>
              </w:rPr>
              <w:t>O份额：业绩比较基准为年化2.7%-3.1% 。</w:t>
            </w:r>
          </w:p>
          <w:p w14:paraId="44C36197">
            <w:pPr>
              <w:spacing w:line="200" w:lineRule="exact"/>
            </w:pPr>
            <w:r>
              <w:rPr>
                <w:rFonts w:ascii="方正黑体_GBK" w:hAnsi="方正黑体_GBK" w:eastAsia="方正黑体_GBK" w:cs="宋体"/>
                <w:sz w:val="18"/>
                <w:szCs w:val="18"/>
              </w:rPr>
              <w:t>A2份额：业绩比较基准为年化2.6%-3% 。</w:t>
            </w:r>
          </w:p>
          <w:p w14:paraId="64427CCD">
            <w:pPr>
              <w:spacing w:line="200" w:lineRule="exact"/>
            </w:pPr>
            <w:r>
              <w:rPr>
                <w:rFonts w:ascii="方正黑体_GBK" w:hAnsi="方正黑体_GBK" w:eastAsia="方正黑体_GBK" w:cs="宋体"/>
                <w:sz w:val="18"/>
                <w:szCs w:val="18"/>
              </w:rPr>
              <w:t>B2份额：业绩比较基准为年化2.6%-3% 。</w:t>
            </w:r>
          </w:p>
          <w:p w14:paraId="4BBDA032">
            <w:pPr>
              <w:spacing w:line="200" w:lineRule="exact"/>
            </w:pPr>
            <w:r>
              <w:rPr>
                <w:rFonts w:ascii="方正黑体_GBK" w:hAnsi="方正黑体_GBK" w:eastAsia="方正黑体_GBK" w:cs="宋体"/>
                <w:sz w:val="18"/>
                <w:szCs w:val="18"/>
              </w:rPr>
              <w:t>C2份额：业绩比较基准为年化2.65%-3.05% 。</w:t>
            </w:r>
          </w:p>
          <w:p w14:paraId="70CABBC6">
            <w:pPr>
              <w:spacing w:line="200" w:lineRule="exact"/>
            </w:pPr>
            <w:r>
              <w:rPr>
                <w:rFonts w:ascii="方正黑体_GBK" w:hAnsi="方正黑体_GBK" w:eastAsia="方正黑体_GBK" w:cs="宋体"/>
                <w:sz w:val="18"/>
                <w:szCs w:val="18"/>
              </w:rPr>
              <w:t>D2份额：业绩比较基准为年化2.7%-3.1% 。</w:t>
            </w:r>
          </w:p>
          <w:p w14:paraId="182B8E37">
            <w:pPr>
              <w:spacing w:line="200" w:lineRule="exact"/>
            </w:pPr>
            <w:r>
              <w:rPr>
                <w:rFonts w:ascii="方正黑体_GBK" w:hAnsi="方正黑体_GBK" w:eastAsia="方正黑体_GBK" w:cs="宋体"/>
                <w:sz w:val="18"/>
                <w:szCs w:val="18"/>
              </w:rPr>
              <w:t>E2份额：业绩比较基准为年化2.8%-3.2% 。</w:t>
            </w:r>
          </w:p>
          <w:p w14:paraId="15D25AA2">
            <w:pPr>
              <w:spacing w:line="200" w:lineRule="exact"/>
            </w:pPr>
            <w:r>
              <w:rPr>
                <w:rFonts w:ascii="方正黑体_GBK" w:hAnsi="方正黑体_GBK" w:eastAsia="方正黑体_GBK" w:cs="宋体"/>
                <w:sz w:val="18"/>
                <w:szCs w:val="18"/>
              </w:rPr>
              <w:t>A3份额：业绩比较基准为年化2.6%-3% 。</w:t>
            </w:r>
          </w:p>
          <w:p w14:paraId="5758DC69">
            <w:pPr>
              <w:spacing w:line="200" w:lineRule="exact"/>
            </w:pPr>
            <w:r>
              <w:rPr>
                <w:rFonts w:ascii="方正黑体_GBK" w:hAnsi="方正黑体_GBK" w:eastAsia="方正黑体_GBK" w:cs="宋体"/>
                <w:sz w:val="18"/>
                <w:szCs w:val="18"/>
              </w:rPr>
              <w:t>B3份额：业绩比较基准为年化2.6%-3% 。</w:t>
            </w:r>
          </w:p>
          <w:p w14:paraId="6CB9E881">
            <w:pPr>
              <w:spacing w:line="200" w:lineRule="exact"/>
            </w:pPr>
            <w:r>
              <w:rPr>
                <w:rFonts w:ascii="方正黑体_GBK" w:hAnsi="方正黑体_GBK" w:eastAsia="方正黑体_GBK" w:cs="宋体"/>
                <w:sz w:val="18"/>
                <w:szCs w:val="18"/>
              </w:rPr>
              <w:t>C3份额：业绩比较基准为年化2.65%-3.05% 。</w:t>
            </w:r>
          </w:p>
          <w:p w14:paraId="2F62E6F0">
            <w:pPr>
              <w:spacing w:line="200" w:lineRule="exact"/>
            </w:pPr>
            <w:r>
              <w:rPr>
                <w:rFonts w:ascii="方正黑体_GBK" w:hAnsi="方正黑体_GBK" w:eastAsia="方正黑体_GBK" w:cs="宋体"/>
                <w:sz w:val="18"/>
                <w:szCs w:val="18"/>
              </w:rPr>
              <w:t>D3份额：业绩比较基准为年化2.7%-3.1% 。</w:t>
            </w:r>
          </w:p>
          <w:p w14:paraId="027C1C03">
            <w:pPr>
              <w:spacing w:line="200" w:lineRule="exact"/>
            </w:pPr>
            <w:r>
              <w:rPr>
                <w:rFonts w:ascii="方正黑体_GBK" w:hAnsi="方正黑体_GBK" w:eastAsia="方正黑体_GBK" w:cs="宋体"/>
                <w:sz w:val="18"/>
                <w:szCs w:val="18"/>
              </w:rPr>
              <w:t>E3份额：业绩比较基准为年化2.8%-3.2% 。</w:t>
            </w:r>
          </w:p>
          <w:p w14:paraId="2D38BA53">
            <w:pPr>
              <w:spacing w:line="200" w:lineRule="exact"/>
            </w:pPr>
            <w:r>
              <w:rPr>
                <w:rFonts w:ascii="方正黑体_GBK" w:hAnsi="方正黑体_GBK" w:eastAsia="方正黑体_GBK" w:cs="宋体"/>
                <w:sz w:val="18"/>
                <w:szCs w:val="18"/>
              </w:rPr>
              <w:t>A4份额：业绩比较基准为年化2.6%-3% 。</w:t>
            </w:r>
          </w:p>
          <w:p w14:paraId="1789395C">
            <w:pPr>
              <w:spacing w:line="200" w:lineRule="exact"/>
            </w:pPr>
            <w:r>
              <w:rPr>
                <w:rFonts w:ascii="方正黑体_GBK" w:hAnsi="方正黑体_GBK" w:eastAsia="方正黑体_GBK" w:cs="宋体"/>
                <w:sz w:val="18"/>
                <w:szCs w:val="18"/>
              </w:rPr>
              <w:t>B4份额：业绩比较基准为年化2.6%-3% 。</w:t>
            </w:r>
          </w:p>
          <w:p w14:paraId="71D44602">
            <w:pPr>
              <w:spacing w:line="200" w:lineRule="exact"/>
            </w:pPr>
            <w:r>
              <w:rPr>
                <w:rFonts w:ascii="方正黑体_GBK" w:hAnsi="方正黑体_GBK" w:eastAsia="方正黑体_GBK" w:cs="宋体"/>
                <w:sz w:val="18"/>
                <w:szCs w:val="18"/>
              </w:rPr>
              <w:t>C4份额：业绩比较基准为年化2.65%-3.05% 。</w:t>
            </w:r>
          </w:p>
          <w:p w14:paraId="7DD8E233">
            <w:pPr>
              <w:spacing w:line="200" w:lineRule="exact"/>
            </w:pPr>
            <w:r>
              <w:rPr>
                <w:rFonts w:ascii="方正黑体_GBK" w:hAnsi="方正黑体_GBK" w:eastAsia="方正黑体_GBK" w:cs="宋体"/>
                <w:sz w:val="18"/>
                <w:szCs w:val="18"/>
              </w:rPr>
              <w:t>D4份额：业绩比较基准为年化2.7%-3.1% 。</w:t>
            </w:r>
          </w:p>
          <w:p w14:paraId="55CE4780">
            <w:pPr>
              <w:spacing w:line="200" w:lineRule="exact"/>
            </w:pPr>
            <w:r>
              <w:rPr>
                <w:rFonts w:ascii="方正黑体_GBK" w:hAnsi="方正黑体_GBK" w:eastAsia="方正黑体_GBK" w:cs="宋体"/>
                <w:sz w:val="18"/>
                <w:szCs w:val="18"/>
              </w:rPr>
              <w:t>E4份额：业绩比较基准为年化2.8%-3.2% 。</w:t>
            </w:r>
          </w:p>
          <w:p w14:paraId="2E3BEDB5">
            <w:pPr>
              <w:spacing w:line="200" w:lineRule="exact"/>
            </w:pPr>
            <w:r>
              <w:rPr>
                <w:rFonts w:ascii="方正黑体_GBK" w:hAnsi="方正黑体_GBK" w:eastAsia="方正黑体_GBK" w:cs="宋体"/>
                <w:sz w:val="18"/>
                <w:szCs w:val="18"/>
              </w:rPr>
              <w:t>F2份额：业绩比较基准为年化2.7%-3.1% 。</w:t>
            </w:r>
          </w:p>
          <w:p w14:paraId="3E023585">
            <w:pPr>
              <w:spacing w:line="200" w:lineRule="exact"/>
            </w:pPr>
            <w:r>
              <w:rPr>
                <w:rFonts w:ascii="方正黑体_GBK" w:hAnsi="方正黑体_GBK" w:eastAsia="方正黑体_GBK" w:cs="宋体"/>
                <w:sz w:val="18"/>
                <w:szCs w:val="18"/>
              </w:rPr>
              <w:t>F3份额：业绩比较基准为年化2.7%-3.1% 。</w:t>
            </w:r>
          </w:p>
          <w:p w14:paraId="4413D0F8">
            <w:pPr>
              <w:spacing w:line="200" w:lineRule="exact"/>
            </w:pPr>
            <w:r>
              <w:rPr>
                <w:rFonts w:ascii="方正黑体_GBK" w:hAnsi="方正黑体_GBK" w:eastAsia="方正黑体_GBK" w:cs="宋体"/>
                <w:sz w:val="18"/>
                <w:szCs w:val="18"/>
              </w:rPr>
              <w:t>G2份额：业绩比较基准为年化2.75%-3.15% 。</w:t>
            </w:r>
          </w:p>
          <w:p w14:paraId="2CE2D8C0">
            <w:pPr>
              <w:spacing w:line="200" w:lineRule="exact"/>
            </w:pPr>
            <w:r>
              <w:rPr>
                <w:rFonts w:ascii="方正黑体_GBK" w:hAnsi="方正黑体_GBK" w:eastAsia="方正黑体_GBK" w:cs="宋体"/>
                <w:sz w:val="18"/>
                <w:szCs w:val="18"/>
              </w:rPr>
              <w:t>G3份额：业绩比较基准为年化2.75%-3.15% 。</w:t>
            </w:r>
          </w:p>
          <w:p w14:paraId="39F4DC8B">
            <w:pPr>
              <w:spacing w:line="200" w:lineRule="exact"/>
            </w:pPr>
            <w:r>
              <w:rPr>
                <w:rFonts w:ascii="方正黑体_GBK" w:hAnsi="方正黑体_GBK" w:eastAsia="方正黑体_GBK" w:cs="宋体"/>
                <w:sz w:val="18"/>
                <w:szCs w:val="18"/>
              </w:rPr>
              <w:t>F4份额：业绩比较基准为年化2.7%-3.1% 。</w:t>
            </w:r>
          </w:p>
          <w:p w14:paraId="2C02977D">
            <w:pPr>
              <w:spacing w:line="200" w:lineRule="exact"/>
            </w:pPr>
            <w:r>
              <w:rPr>
                <w:rFonts w:ascii="方正黑体_GBK" w:hAnsi="方正黑体_GBK" w:eastAsia="方正黑体_GBK" w:cs="宋体"/>
                <w:sz w:val="18"/>
                <w:szCs w:val="18"/>
              </w:rPr>
              <w:t>G4份额：业绩比较基准为年化2.75%-3.15% 。</w:t>
            </w:r>
          </w:p>
          <w:p w14:paraId="5ACEC647">
            <w:pPr>
              <w:spacing w:line="200" w:lineRule="exact"/>
            </w:pPr>
            <w:r>
              <w:rPr>
                <w:rFonts w:ascii="方正黑体_GBK" w:hAnsi="方正黑体_GBK" w:eastAsia="方正黑体_GBK" w:cs="宋体"/>
                <w:sz w:val="18"/>
                <w:szCs w:val="18"/>
              </w:rPr>
              <w:t>H4份额：业绩比较基准为年化2.8%-3.2% 。</w:t>
            </w:r>
          </w:p>
          <w:p w14:paraId="09307C30">
            <w:pPr>
              <w:spacing w:line="200" w:lineRule="exact"/>
            </w:pPr>
            <w:r>
              <w:rPr>
                <w:rFonts w:ascii="方正黑体_GBK" w:hAnsi="方正黑体_GBK" w:eastAsia="方正黑体_GBK" w:cs="宋体"/>
                <w:sz w:val="18"/>
                <w:szCs w:val="18"/>
              </w:rPr>
              <w:t>I2份额：业绩比较基准为年化2.8%-3.2% 。</w:t>
            </w:r>
          </w:p>
          <w:p w14:paraId="6A07A778">
            <w:pPr>
              <w:spacing w:line="200" w:lineRule="exact"/>
            </w:pPr>
            <w:r>
              <w:rPr>
                <w:rFonts w:ascii="方正黑体_GBK" w:hAnsi="方正黑体_GBK" w:eastAsia="方正黑体_GBK" w:cs="宋体"/>
                <w:sz w:val="18"/>
                <w:szCs w:val="18"/>
              </w:rPr>
              <w:t>J2份额：业绩比较基准为年化2.6%-3% 。</w:t>
            </w:r>
          </w:p>
          <w:p w14:paraId="3E8E5C78">
            <w:pPr>
              <w:spacing w:line="200" w:lineRule="exact"/>
            </w:pPr>
            <w:r>
              <w:rPr>
                <w:rFonts w:ascii="方正黑体_GBK" w:hAnsi="方正黑体_GBK" w:eastAsia="方正黑体_GBK" w:cs="宋体"/>
                <w:sz w:val="18"/>
                <w:szCs w:val="18"/>
              </w:rPr>
              <w:t>K2份额：业绩比较基准为年化2.6%-3% 。</w:t>
            </w:r>
          </w:p>
          <w:p w14:paraId="6C30C94B">
            <w:pPr>
              <w:spacing w:line="200" w:lineRule="exact"/>
            </w:pPr>
            <w:r>
              <w:rPr>
                <w:rFonts w:ascii="方正黑体_GBK" w:hAnsi="方正黑体_GBK" w:eastAsia="方正黑体_GBK" w:cs="宋体"/>
                <w:sz w:val="18"/>
                <w:szCs w:val="18"/>
              </w:rPr>
              <w:t>J3份额：业绩比较基准为年化2.6%-3% 。</w:t>
            </w:r>
          </w:p>
          <w:p w14:paraId="1E543A99">
            <w:pPr>
              <w:spacing w:line="200" w:lineRule="exact"/>
            </w:pPr>
            <w:r>
              <w:rPr>
                <w:rFonts w:ascii="方正黑体_GBK" w:hAnsi="方正黑体_GBK" w:eastAsia="方正黑体_GBK" w:cs="宋体"/>
                <w:sz w:val="18"/>
                <w:szCs w:val="18"/>
              </w:rPr>
              <w:t>K3份额：业绩比较基准为年化2.6%-3% 。</w:t>
            </w:r>
          </w:p>
          <w:p w14:paraId="1A53099E">
            <w:pPr>
              <w:spacing w:line="200" w:lineRule="exact"/>
            </w:pPr>
            <w:r>
              <w:rPr>
                <w:rFonts w:ascii="方正黑体_GBK" w:hAnsi="方正黑体_GBK" w:eastAsia="方正黑体_GBK" w:cs="宋体"/>
                <w:sz w:val="18"/>
                <w:szCs w:val="18"/>
              </w:rPr>
              <w:t>L3份额：业绩比较基准为年化2.7%-3.1% 。</w:t>
            </w:r>
          </w:p>
          <w:p w14:paraId="336AC22F">
            <w:pPr>
              <w:spacing w:line="200" w:lineRule="exact"/>
            </w:pPr>
            <w:r>
              <w:rPr>
                <w:rFonts w:ascii="方正黑体_GBK" w:hAnsi="方正黑体_GBK" w:eastAsia="方正黑体_GBK" w:cs="宋体"/>
                <w:sz w:val="18"/>
                <w:szCs w:val="18"/>
              </w:rPr>
              <w:t>J4份额：业绩比较基准为年化2.6%-3% 。</w:t>
            </w:r>
          </w:p>
          <w:p w14:paraId="51F0F51C">
            <w:pPr>
              <w:spacing w:line="200" w:lineRule="exact"/>
            </w:pPr>
            <w:r>
              <w:rPr>
                <w:rFonts w:ascii="方正黑体_GBK" w:hAnsi="方正黑体_GBK" w:eastAsia="方正黑体_GBK" w:cs="宋体"/>
                <w:sz w:val="18"/>
                <w:szCs w:val="18"/>
              </w:rPr>
              <w:t>K4份额：业绩比较基准为年化2.6%-3% 。</w:t>
            </w:r>
          </w:p>
          <w:p w14:paraId="5CCDADEF">
            <w:pPr>
              <w:spacing w:line="200" w:lineRule="exact"/>
            </w:pPr>
            <w:r>
              <w:rPr>
                <w:rFonts w:ascii="方正黑体_GBK" w:hAnsi="方正黑体_GBK" w:eastAsia="方正黑体_GBK" w:cs="宋体"/>
                <w:sz w:val="18"/>
                <w:szCs w:val="18"/>
              </w:rPr>
              <w:t>I4份额：业绩比较基准为年化2.8%-3.2% 。</w:t>
            </w:r>
          </w:p>
          <w:p w14:paraId="12B7EBB4">
            <w:pPr>
              <w:spacing w:line="200" w:lineRule="exact"/>
            </w:pPr>
            <w:r>
              <w:rPr>
                <w:rFonts w:ascii="方正黑体_GBK" w:hAnsi="方正黑体_GBK" w:eastAsia="方正黑体_GBK" w:cs="宋体"/>
                <w:sz w:val="18"/>
                <w:szCs w:val="18"/>
              </w:rPr>
              <w:t>M2份额：业绩比较基准为年化2.6%-3% 。</w:t>
            </w:r>
          </w:p>
          <w:p w14:paraId="75B7A975">
            <w:pPr>
              <w:spacing w:line="200" w:lineRule="exact"/>
            </w:pPr>
            <w:r>
              <w:rPr>
                <w:rFonts w:ascii="方正黑体_GBK" w:hAnsi="方正黑体_GBK" w:eastAsia="方正黑体_GBK" w:cs="宋体"/>
                <w:sz w:val="18"/>
                <w:szCs w:val="18"/>
              </w:rPr>
              <w:t>M3份额：业绩比较基准为年化2.6%-3% 。</w:t>
            </w:r>
          </w:p>
          <w:p w14:paraId="7FCE98EB">
            <w:pPr>
              <w:spacing w:line="200" w:lineRule="exact"/>
            </w:pPr>
            <w:r>
              <w:rPr>
                <w:rFonts w:ascii="方正黑体_GBK" w:hAnsi="方正黑体_GBK" w:eastAsia="方正黑体_GBK" w:cs="宋体"/>
                <w:sz w:val="18"/>
                <w:szCs w:val="18"/>
              </w:rPr>
              <w:t>M4份额：业绩比较基准为年化2.6%-3% 。</w:t>
            </w:r>
          </w:p>
          <w:p w14:paraId="1C385241">
            <w:pPr>
              <w:spacing w:line="200" w:lineRule="exact"/>
            </w:pPr>
            <w:r>
              <w:rPr>
                <w:rFonts w:ascii="方正黑体_GBK" w:hAnsi="方正黑体_GBK" w:eastAsia="方正黑体_GBK" w:cs="宋体"/>
                <w:sz w:val="18"/>
                <w:szCs w:val="18"/>
              </w:rPr>
              <w:t>O2份额：业绩比较基准为年化2.7%-3.1% 。</w:t>
            </w:r>
          </w:p>
          <w:p w14:paraId="3F17A121">
            <w:pPr>
              <w:spacing w:line="200" w:lineRule="exact"/>
            </w:pPr>
            <w:r>
              <w:rPr>
                <w:rFonts w:ascii="方正黑体_GBK" w:hAnsi="方正黑体_GBK" w:eastAsia="方正黑体_GBK" w:cs="宋体"/>
                <w:sz w:val="18"/>
                <w:szCs w:val="18"/>
              </w:rPr>
              <w:t>O3份额：业绩比较基准为年化2.7%-3.1% 。</w:t>
            </w:r>
          </w:p>
          <w:p w14:paraId="64F390B9">
            <w:pPr>
              <w:spacing w:line="200" w:lineRule="exact"/>
            </w:pPr>
            <w:r>
              <w:rPr>
                <w:rFonts w:ascii="方正黑体_GBK" w:hAnsi="方正黑体_GBK" w:eastAsia="方正黑体_GBK" w:cs="宋体"/>
                <w:sz w:val="18"/>
                <w:szCs w:val="18"/>
              </w:rPr>
              <w:t>O4份额：业绩比较基准为年化2.7%-3.1% 。</w:t>
            </w:r>
          </w:p>
          <w:p w14:paraId="1771E327">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5C5DE635">
            <w:pPr>
              <w:spacing w:line="200" w:lineRule="exact"/>
              <w:jc w:val="left"/>
            </w:pPr>
            <w:r>
              <w:rPr>
                <w:rFonts w:ascii="方正黑体_GBK" w:hAnsi="方正黑体_GBK" w:eastAsia="方正黑体_GBK" w:cs="宋体"/>
                <w:sz w:val="18"/>
                <w:szCs w:val="18"/>
              </w:rPr>
              <w:t>注：管理人可根据市场情况对业绩比较基准进行适当调整，如有调整，将至少于调整前3个工作日公布调整方案。</w:t>
            </w:r>
          </w:p>
          <w:p w14:paraId="2F614954">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52BEA97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D36DE1">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7572911E">
            <w:pPr>
              <w:spacing w:line="200" w:lineRule="exact"/>
            </w:pPr>
            <w:r>
              <w:rPr>
                <w:rFonts w:ascii="方正黑体_GBK" w:hAnsi="方正黑体_GBK" w:eastAsia="方正黑体_GBK" w:cs="宋体"/>
                <w:b/>
                <w:sz w:val="18"/>
                <w:szCs w:val="18"/>
              </w:rPr>
              <w:t>认/申购费：本理财产品暂不收取认/申购费。</w:t>
            </w:r>
          </w:p>
          <w:p w14:paraId="05A1E76E">
            <w:pPr>
              <w:spacing w:line="200" w:lineRule="exact"/>
            </w:pPr>
            <w:r>
              <w:rPr>
                <w:rFonts w:ascii="方正黑体_GBK" w:hAnsi="方正黑体_GBK" w:eastAsia="方正黑体_GBK" w:cs="宋体"/>
                <w:b/>
                <w:sz w:val="18"/>
                <w:szCs w:val="18"/>
              </w:rPr>
              <w:t>赎回费：本理财产品暂不收取赎回费。</w:t>
            </w:r>
          </w:p>
          <w:p w14:paraId="0E91289D">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2BA403EA">
            <w:pPr>
              <w:spacing w:line="200" w:lineRule="exact"/>
            </w:pPr>
            <w:r>
              <w:rPr>
                <w:rFonts w:ascii="方正黑体_GBK" w:hAnsi="方正黑体_GBK" w:eastAsia="方正黑体_GBK" w:cs="宋体"/>
                <w:b/>
                <w:sz w:val="18"/>
                <w:szCs w:val="18"/>
              </w:rPr>
              <w:t>A份额：销售费年化0.2%</w:t>
            </w:r>
          </w:p>
          <w:p w14:paraId="71675A49">
            <w:pPr>
              <w:spacing w:line="200" w:lineRule="exact"/>
            </w:pPr>
            <w:r>
              <w:rPr>
                <w:rFonts w:ascii="方正黑体_GBK" w:hAnsi="方正黑体_GBK" w:eastAsia="方正黑体_GBK" w:cs="宋体"/>
                <w:b/>
                <w:sz w:val="18"/>
                <w:szCs w:val="18"/>
              </w:rPr>
              <w:t>B份额：销售费年化0.2%</w:t>
            </w:r>
          </w:p>
          <w:p w14:paraId="73A67B0D">
            <w:pPr>
              <w:spacing w:line="200" w:lineRule="exact"/>
            </w:pPr>
            <w:r>
              <w:rPr>
                <w:rFonts w:ascii="方正黑体_GBK" w:hAnsi="方正黑体_GBK" w:eastAsia="方正黑体_GBK" w:cs="宋体"/>
                <w:b/>
                <w:sz w:val="18"/>
                <w:szCs w:val="18"/>
              </w:rPr>
              <w:t>C份额：销售费年化0.15%</w:t>
            </w:r>
          </w:p>
          <w:p w14:paraId="281C5CEB">
            <w:pPr>
              <w:spacing w:line="200" w:lineRule="exact"/>
            </w:pPr>
            <w:r>
              <w:rPr>
                <w:rFonts w:ascii="方正黑体_GBK" w:hAnsi="方正黑体_GBK" w:eastAsia="方正黑体_GBK" w:cs="宋体"/>
                <w:b/>
                <w:sz w:val="18"/>
                <w:szCs w:val="18"/>
              </w:rPr>
              <w:t>D份额：销售费年化0.15%</w:t>
            </w:r>
          </w:p>
          <w:p w14:paraId="52D70E72">
            <w:pPr>
              <w:spacing w:line="200" w:lineRule="exact"/>
            </w:pPr>
            <w:r>
              <w:rPr>
                <w:rFonts w:ascii="方正黑体_GBK" w:hAnsi="方正黑体_GBK" w:eastAsia="方正黑体_GBK" w:cs="宋体"/>
                <w:b/>
                <w:sz w:val="18"/>
                <w:szCs w:val="18"/>
              </w:rPr>
              <w:t>E份额：销售费年化0.05%</w:t>
            </w:r>
          </w:p>
          <w:p w14:paraId="6B83C693">
            <w:pPr>
              <w:spacing w:line="200" w:lineRule="exact"/>
            </w:pPr>
            <w:r>
              <w:rPr>
                <w:rFonts w:ascii="方正黑体_GBK" w:hAnsi="方正黑体_GBK" w:eastAsia="方正黑体_GBK" w:cs="宋体"/>
                <w:b/>
                <w:sz w:val="18"/>
                <w:szCs w:val="18"/>
              </w:rPr>
              <w:t>F份额：销售费年化0.15%</w:t>
            </w:r>
          </w:p>
          <w:p w14:paraId="2EBF1316">
            <w:pPr>
              <w:spacing w:line="200" w:lineRule="exact"/>
            </w:pPr>
            <w:r>
              <w:rPr>
                <w:rFonts w:ascii="方正黑体_GBK" w:hAnsi="方正黑体_GBK" w:eastAsia="方正黑体_GBK" w:cs="宋体"/>
                <w:b/>
                <w:sz w:val="18"/>
                <w:szCs w:val="18"/>
              </w:rPr>
              <w:t>G份额：销售费年化0.1%</w:t>
            </w:r>
          </w:p>
          <w:p w14:paraId="53BA8CD4">
            <w:pPr>
              <w:spacing w:line="200" w:lineRule="exact"/>
            </w:pPr>
            <w:r>
              <w:rPr>
                <w:rFonts w:ascii="方正黑体_GBK" w:hAnsi="方正黑体_GBK" w:eastAsia="方正黑体_GBK" w:cs="宋体"/>
                <w:b/>
                <w:sz w:val="18"/>
                <w:szCs w:val="18"/>
              </w:rPr>
              <w:t>H份额：销售费年化0.1%</w:t>
            </w:r>
          </w:p>
          <w:p w14:paraId="7887718B">
            <w:pPr>
              <w:spacing w:line="200" w:lineRule="exact"/>
            </w:pPr>
            <w:r>
              <w:rPr>
                <w:rFonts w:ascii="方正黑体_GBK" w:hAnsi="方正黑体_GBK" w:eastAsia="方正黑体_GBK" w:cs="宋体"/>
                <w:b/>
                <w:sz w:val="18"/>
                <w:szCs w:val="18"/>
              </w:rPr>
              <w:t>J份额：销售费年化0.3%</w:t>
            </w:r>
          </w:p>
          <w:p w14:paraId="3ED652D9">
            <w:pPr>
              <w:spacing w:line="200" w:lineRule="exact"/>
            </w:pPr>
            <w:r>
              <w:rPr>
                <w:rFonts w:ascii="方正黑体_GBK" w:hAnsi="方正黑体_GBK" w:eastAsia="方正黑体_GBK" w:cs="宋体"/>
                <w:b/>
                <w:sz w:val="18"/>
                <w:szCs w:val="18"/>
              </w:rPr>
              <w:t>K份额：销售费年化0.3%</w:t>
            </w:r>
          </w:p>
          <w:p w14:paraId="4B68CA1A">
            <w:pPr>
              <w:spacing w:line="200" w:lineRule="exact"/>
            </w:pPr>
            <w:r>
              <w:rPr>
                <w:rFonts w:ascii="方正黑体_GBK" w:hAnsi="方正黑体_GBK" w:eastAsia="方正黑体_GBK" w:cs="宋体"/>
                <w:b/>
                <w:sz w:val="18"/>
                <w:szCs w:val="18"/>
              </w:rPr>
              <w:t>M份额：销售费年化0.2%</w:t>
            </w:r>
          </w:p>
          <w:p w14:paraId="0DC610B6">
            <w:pPr>
              <w:spacing w:line="200" w:lineRule="exact"/>
            </w:pPr>
            <w:r>
              <w:rPr>
                <w:rFonts w:ascii="方正黑体_GBK" w:hAnsi="方正黑体_GBK" w:eastAsia="方正黑体_GBK" w:cs="宋体"/>
                <w:b/>
                <w:sz w:val="18"/>
                <w:szCs w:val="18"/>
              </w:rPr>
              <w:t>N份额：销售费年化0.05%</w:t>
            </w:r>
          </w:p>
          <w:p w14:paraId="5365E63D">
            <w:pPr>
              <w:spacing w:line="200" w:lineRule="exact"/>
            </w:pPr>
            <w:r>
              <w:rPr>
                <w:rFonts w:ascii="方正黑体_GBK" w:hAnsi="方正黑体_GBK" w:eastAsia="方正黑体_GBK" w:cs="宋体"/>
                <w:b/>
                <w:sz w:val="18"/>
                <w:szCs w:val="18"/>
              </w:rPr>
              <w:t>O份额：销售费年化0.2%</w:t>
            </w:r>
          </w:p>
          <w:p w14:paraId="4B9AFF0D">
            <w:pPr>
              <w:spacing w:line="200" w:lineRule="exact"/>
            </w:pPr>
            <w:r>
              <w:rPr>
                <w:rFonts w:ascii="方正黑体_GBK" w:hAnsi="方正黑体_GBK" w:eastAsia="方正黑体_GBK" w:cs="宋体"/>
                <w:b/>
                <w:sz w:val="18"/>
                <w:szCs w:val="18"/>
              </w:rPr>
              <w:t>A2份额：销售费年化0.2%</w:t>
            </w:r>
          </w:p>
          <w:p w14:paraId="41DA56C6">
            <w:pPr>
              <w:spacing w:line="200" w:lineRule="exact"/>
            </w:pPr>
            <w:r>
              <w:rPr>
                <w:rFonts w:ascii="方正黑体_GBK" w:hAnsi="方正黑体_GBK" w:eastAsia="方正黑体_GBK" w:cs="宋体"/>
                <w:b/>
                <w:sz w:val="18"/>
                <w:szCs w:val="18"/>
              </w:rPr>
              <w:t>B2份额：销售费年化0.2%</w:t>
            </w:r>
          </w:p>
          <w:p w14:paraId="4F26DC3F">
            <w:pPr>
              <w:spacing w:line="200" w:lineRule="exact"/>
            </w:pPr>
            <w:r>
              <w:rPr>
                <w:rFonts w:ascii="方正黑体_GBK" w:hAnsi="方正黑体_GBK" w:eastAsia="方正黑体_GBK" w:cs="宋体"/>
                <w:b/>
                <w:sz w:val="18"/>
                <w:szCs w:val="18"/>
              </w:rPr>
              <w:t>C2份额：销售费年化0.15%</w:t>
            </w:r>
          </w:p>
          <w:p w14:paraId="6B628334">
            <w:pPr>
              <w:spacing w:line="200" w:lineRule="exact"/>
            </w:pPr>
            <w:r>
              <w:rPr>
                <w:rFonts w:ascii="方正黑体_GBK" w:hAnsi="方正黑体_GBK" w:eastAsia="方正黑体_GBK" w:cs="宋体"/>
                <w:b/>
                <w:sz w:val="18"/>
                <w:szCs w:val="18"/>
              </w:rPr>
              <w:t>D2份额：销售费年化0.15%</w:t>
            </w:r>
          </w:p>
          <w:p w14:paraId="455EE153">
            <w:pPr>
              <w:spacing w:line="200" w:lineRule="exact"/>
            </w:pPr>
            <w:r>
              <w:rPr>
                <w:rFonts w:ascii="方正黑体_GBK" w:hAnsi="方正黑体_GBK" w:eastAsia="方正黑体_GBK" w:cs="宋体"/>
                <w:b/>
                <w:sz w:val="18"/>
                <w:szCs w:val="18"/>
              </w:rPr>
              <w:t>E2份额：销售费年化0.05%</w:t>
            </w:r>
          </w:p>
          <w:p w14:paraId="6E5DA0F5">
            <w:pPr>
              <w:spacing w:line="200" w:lineRule="exact"/>
            </w:pPr>
            <w:r>
              <w:rPr>
                <w:rFonts w:ascii="方正黑体_GBK" w:hAnsi="方正黑体_GBK" w:eastAsia="方正黑体_GBK" w:cs="宋体"/>
                <w:b/>
                <w:sz w:val="18"/>
                <w:szCs w:val="18"/>
              </w:rPr>
              <w:t>A3份额：销售费年化0.2%</w:t>
            </w:r>
          </w:p>
          <w:p w14:paraId="7D362C0D">
            <w:pPr>
              <w:spacing w:line="200" w:lineRule="exact"/>
            </w:pPr>
            <w:r>
              <w:rPr>
                <w:rFonts w:ascii="方正黑体_GBK" w:hAnsi="方正黑体_GBK" w:eastAsia="方正黑体_GBK" w:cs="宋体"/>
                <w:b/>
                <w:sz w:val="18"/>
                <w:szCs w:val="18"/>
              </w:rPr>
              <w:t>B3份额：销售费年化0.2%</w:t>
            </w:r>
          </w:p>
          <w:p w14:paraId="6BBB5CA9">
            <w:pPr>
              <w:spacing w:line="200" w:lineRule="exact"/>
            </w:pPr>
            <w:r>
              <w:rPr>
                <w:rFonts w:ascii="方正黑体_GBK" w:hAnsi="方正黑体_GBK" w:eastAsia="方正黑体_GBK" w:cs="宋体"/>
                <w:b/>
                <w:sz w:val="18"/>
                <w:szCs w:val="18"/>
              </w:rPr>
              <w:t>C3份额：销售费年化0.15%</w:t>
            </w:r>
          </w:p>
          <w:p w14:paraId="60EBA0BB">
            <w:pPr>
              <w:spacing w:line="200" w:lineRule="exact"/>
            </w:pPr>
            <w:r>
              <w:rPr>
                <w:rFonts w:ascii="方正黑体_GBK" w:hAnsi="方正黑体_GBK" w:eastAsia="方正黑体_GBK" w:cs="宋体"/>
                <w:b/>
                <w:sz w:val="18"/>
                <w:szCs w:val="18"/>
              </w:rPr>
              <w:t>D3份额：销售费年化0.15%</w:t>
            </w:r>
          </w:p>
          <w:p w14:paraId="2E37D5F0">
            <w:pPr>
              <w:spacing w:line="200" w:lineRule="exact"/>
            </w:pPr>
            <w:r>
              <w:rPr>
                <w:rFonts w:ascii="方正黑体_GBK" w:hAnsi="方正黑体_GBK" w:eastAsia="方正黑体_GBK" w:cs="宋体"/>
                <w:b/>
                <w:sz w:val="18"/>
                <w:szCs w:val="18"/>
              </w:rPr>
              <w:t>E3份额：销售费年化0.05%</w:t>
            </w:r>
          </w:p>
          <w:p w14:paraId="2DF5A00E">
            <w:pPr>
              <w:spacing w:line="200" w:lineRule="exact"/>
            </w:pPr>
            <w:r>
              <w:rPr>
                <w:rFonts w:ascii="方正黑体_GBK" w:hAnsi="方正黑体_GBK" w:eastAsia="方正黑体_GBK" w:cs="宋体"/>
                <w:b/>
                <w:sz w:val="18"/>
                <w:szCs w:val="18"/>
              </w:rPr>
              <w:t>A4份额：销售费年化0.2%</w:t>
            </w:r>
          </w:p>
          <w:p w14:paraId="7BEA9628">
            <w:pPr>
              <w:spacing w:line="200" w:lineRule="exact"/>
            </w:pPr>
            <w:r>
              <w:rPr>
                <w:rFonts w:ascii="方正黑体_GBK" w:hAnsi="方正黑体_GBK" w:eastAsia="方正黑体_GBK" w:cs="宋体"/>
                <w:b/>
                <w:sz w:val="18"/>
                <w:szCs w:val="18"/>
              </w:rPr>
              <w:t>B4份额：销售费年化0.2%</w:t>
            </w:r>
          </w:p>
          <w:p w14:paraId="2BD2D8A8">
            <w:pPr>
              <w:spacing w:line="200" w:lineRule="exact"/>
            </w:pPr>
            <w:r>
              <w:rPr>
                <w:rFonts w:ascii="方正黑体_GBK" w:hAnsi="方正黑体_GBK" w:eastAsia="方正黑体_GBK" w:cs="宋体"/>
                <w:b/>
                <w:sz w:val="18"/>
                <w:szCs w:val="18"/>
              </w:rPr>
              <w:t>C4份额：销售费年化0.15%</w:t>
            </w:r>
          </w:p>
          <w:p w14:paraId="74140ECC">
            <w:pPr>
              <w:spacing w:line="200" w:lineRule="exact"/>
            </w:pPr>
            <w:r>
              <w:rPr>
                <w:rFonts w:ascii="方正黑体_GBK" w:hAnsi="方正黑体_GBK" w:eastAsia="方正黑体_GBK" w:cs="宋体"/>
                <w:b/>
                <w:sz w:val="18"/>
                <w:szCs w:val="18"/>
              </w:rPr>
              <w:t>D4份额：销售费年化0.15%</w:t>
            </w:r>
          </w:p>
          <w:p w14:paraId="2EC21517">
            <w:pPr>
              <w:spacing w:line="200" w:lineRule="exact"/>
            </w:pPr>
            <w:r>
              <w:rPr>
                <w:rFonts w:ascii="方正黑体_GBK" w:hAnsi="方正黑体_GBK" w:eastAsia="方正黑体_GBK" w:cs="宋体"/>
                <w:b/>
                <w:sz w:val="18"/>
                <w:szCs w:val="18"/>
              </w:rPr>
              <w:t>E4份额：销售费年化0.05%</w:t>
            </w:r>
          </w:p>
          <w:p w14:paraId="2867122C">
            <w:pPr>
              <w:spacing w:line="200" w:lineRule="exact"/>
            </w:pPr>
            <w:r>
              <w:rPr>
                <w:rFonts w:ascii="方正黑体_GBK" w:hAnsi="方正黑体_GBK" w:eastAsia="方正黑体_GBK" w:cs="宋体"/>
                <w:b/>
                <w:sz w:val="18"/>
                <w:szCs w:val="18"/>
              </w:rPr>
              <w:t>F2份额：销售费年化0.15%</w:t>
            </w:r>
          </w:p>
          <w:p w14:paraId="4DF6ADBF">
            <w:pPr>
              <w:spacing w:line="200" w:lineRule="exact"/>
            </w:pPr>
            <w:r>
              <w:rPr>
                <w:rFonts w:ascii="方正黑体_GBK" w:hAnsi="方正黑体_GBK" w:eastAsia="方正黑体_GBK" w:cs="宋体"/>
                <w:b/>
                <w:sz w:val="18"/>
                <w:szCs w:val="18"/>
              </w:rPr>
              <w:t>F3份额：销售费年化0.15%</w:t>
            </w:r>
          </w:p>
          <w:p w14:paraId="0A761626">
            <w:pPr>
              <w:spacing w:line="200" w:lineRule="exact"/>
            </w:pPr>
            <w:r>
              <w:rPr>
                <w:rFonts w:ascii="方正黑体_GBK" w:hAnsi="方正黑体_GBK" w:eastAsia="方正黑体_GBK" w:cs="宋体"/>
                <w:b/>
                <w:sz w:val="18"/>
                <w:szCs w:val="18"/>
              </w:rPr>
              <w:t>G2份额：销售费年化0.1%</w:t>
            </w:r>
          </w:p>
          <w:p w14:paraId="6B5DAEA2">
            <w:pPr>
              <w:spacing w:line="200" w:lineRule="exact"/>
            </w:pPr>
            <w:r>
              <w:rPr>
                <w:rFonts w:ascii="方正黑体_GBK" w:hAnsi="方正黑体_GBK" w:eastAsia="方正黑体_GBK" w:cs="宋体"/>
                <w:b/>
                <w:sz w:val="18"/>
                <w:szCs w:val="18"/>
              </w:rPr>
              <w:t>G3份额：销售费年化0.1%</w:t>
            </w:r>
          </w:p>
          <w:p w14:paraId="61EF0E53">
            <w:pPr>
              <w:spacing w:line="200" w:lineRule="exact"/>
            </w:pPr>
            <w:r>
              <w:rPr>
                <w:rFonts w:ascii="方正黑体_GBK" w:hAnsi="方正黑体_GBK" w:eastAsia="方正黑体_GBK" w:cs="宋体"/>
                <w:b/>
                <w:sz w:val="18"/>
                <w:szCs w:val="18"/>
              </w:rPr>
              <w:t>F4份额：销售费年化0.15%</w:t>
            </w:r>
          </w:p>
          <w:p w14:paraId="24F060D7">
            <w:pPr>
              <w:spacing w:line="200" w:lineRule="exact"/>
            </w:pPr>
            <w:r>
              <w:rPr>
                <w:rFonts w:ascii="方正黑体_GBK" w:hAnsi="方正黑体_GBK" w:eastAsia="方正黑体_GBK" w:cs="宋体"/>
                <w:b/>
                <w:sz w:val="18"/>
                <w:szCs w:val="18"/>
              </w:rPr>
              <w:t>G4份额：销售费年化0.1%</w:t>
            </w:r>
          </w:p>
          <w:p w14:paraId="5FB26859">
            <w:pPr>
              <w:spacing w:line="200" w:lineRule="exact"/>
            </w:pPr>
            <w:r>
              <w:rPr>
                <w:rFonts w:ascii="方正黑体_GBK" w:hAnsi="方正黑体_GBK" w:eastAsia="方正黑体_GBK" w:cs="宋体"/>
                <w:b/>
                <w:sz w:val="18"/>
                <w:szCs w:val="18"/>
              </w:rPr>
              <w:t>H4份额：销售费年化0.1%</w:t>
            </w:r>
          </w:p>
          <w:p w14:paraId="64C19586">
            <w:pPr>
              <w:spacing w:line="200" w:lineRule="exact"/>
            </w:pPr>
            <w:r>
              <w:rPr>
                <w:rFonts w:ascii="方正黑体_GBK" w:hAnsi="方正黑体_GBK" w:eastAsia="方正黑体_GBK" w:cs="宋体"/>
                <w:b/>
                <w:sz w:val="18"/>
                <w:szCs w:val="18"/>
              </w:rPr>
              <w:t>I2份额：销售费年化0.1%</w:t>
            </w:r>
          </w:p>
          <w:p w14:paraId="11DD42C0">
            <w:pPr>
              <w:spacing w:line="200" w:lineRule="exact"/>
            </w:pPr>
            <w:r>
              <w:rPr>
                <w:rFonts w:ascii="方正黑体_GBK" w:hAnsi="方正黑体_GBK" w:eastAsia="方正黑体_GBK" w:cs="宋体"/>
                <w:b/>
                <w:sz w:val="18"/>
                <w:szCs w:val="18"/>
              </w:rPr>
              <w:t>J2份额：销售费年化0.3%</w:t>
            </w:r>
          </w:p>
          <w:p w14:paraId="7634BD25">
            <w:pPr>
              <w:spacing w:line="200" w:lineRule="exact"/>
            </w:pPr>
            <w:r>
              <w:rPr>
                <w:rFonts w:ascii="方正黑体_GBK" w:hAnsi="方正黑体_GBK" w:eastAsia="方正黑体_GBK" w:cs="宋体"/>
                <w:b/>
                <w:sz w:val="18"/>
                <w:szCs w:val="18"/>
              </w:rPr>
              <w:t>K2份额：销售费年化0.3%</w:t>
            </w:r>
          </w:p>
          <w:p w14:paraId="4B12466E">
            <w:pPr>
              <w:spacing w:line="200" w:lineRule="exact"/>
            </w:pPr>
            <w:r>
              <w:rPr>
                <w:rFonts w:ascii="方正黑体_GBK" w:hAnsi="方正黑体_GBK" w:eastAsia="方正黑体_GBK" w:cs="宋体"/>
                <w:b/>
                <w:sz w:val="18"/>
                <w:szCs w:val="18"/>
              </w:rPr>
              <w:t>J3份额：销售费年化0.3%</w:t>
            </w:r>
          </w:p>
          <w:p w14:paraId="65343116">
            <w:pPr>
              <w:spacing w:line="200" w:lineRule="exact"/>
            </w:pPr>
            <w:r>
              <w:rPr>
                <w:rFonts w:ascii="方正黑体_GBK" w:hAnsi="方正黑体_GBK" w:eastAsia="方正黑体_GBK" w:cs="宋体"/>
                <w:b/>
                <w:sz w:val="18"/>
                <w:szCs w:val="18"/>
              </w:rPr>
              <w:t>K3份额：销售费年化0.3%</w:t>
            </w:r>
          </w:p>
          <w:p w14:paraId="634CF04D">
            <w:pPr>
              <w:spacing w:line="200" w:lineRule="exact"/>
            </w:pPr>
            <w:r>
              <w:rPr>
                <w:rFonts w:ascii="方正黑体_GBK" w:hAnsi="方正黑体_GBK" w:eastAsia="方正黑体_GBK" w:cs="宋体"/>
                <w:b/>
                <w:sz w:val="18"/>
                <w:szCs w:val="18"/>
              </w:rPr>
              <w:t>L3份额：销售费年化0.2%</w:t>
            </w:r>
          </w:p>
          <w:p w14:paraId="15950E1D">
            <w:pPr>
              <w:spacing w:line="200" w:lineRule="exact"/>
            </w:pPr>
            <w:r>
              <w:rPr>
                <w:rFonts w:ascii="方正黑体_GBK" w:hAnsi="方正黑体_GBK" w:eastAsia="方正黑体_GBK" w:cs="宋体"/>
                <w:b/>
                <w:sz w:val="18"/>
                <w:szCs w:val="18"/>
              </w:rPr>
              <w:t>J4份额：销售费年化0.3%</w:t>
            </w:r>
          </w:p>
          <w:p w14:paraId="6D1F13EE">
            <w:pPr>
              <w:spacing w:line="200" w:lineRule="exact"/>
            </w:pPr>
            <w:r>
              <w:rPr>
                <w:rFonts w:ascii="方正黑体_GBK" w:hAnsi="方正黑体_GBK" w:eastAsia="方正黑体_GBK" w:cs="宋体"/>
                <w:b/>
                <w:sz w:val="18"/>
                <w:szCs w:val="18"/>
              </w:rPr>
              <w:t>K4份额：销售费年化0.3%</w:t>
            </w:r>
          </w:p>
          <w:p w14:paraId="23807AC5">
            <w:pPr>
              <w:spacing w:line="200" w:lineRule="exact"/>
            </w:pPr>
            <w:r>
              <w:rPr>
                <w:rFonts w:ascii="方正黑体_GBK" w:hAnsi="方正黑体_GBK" w:eastAsia="方正黑体_GBK" w:cs="宋体"/>
                <w:b/>
                <w:sz w:val="18"/>
                <w:szCs w:val="18"/>
              </w:rPr>
              <w:t>I4份额：销售费年化0.1%</w:t>
            </w:r>
          </w:p>
          <w:p w14:paraId="0292B165">
            <w:pPr>
              <w:spacing w:line="200" w:lineRule="exact"/>
            </w:pPr>
            <w:r>
              <w:rPr>
                <w:rFonts w:ascii="方正黑体_GBK" w:hAnsi="方正黑体_GBK" w:eastAsia="方正黑体_GBK" w:cs="宋体"/>
                <w:b/>
                <w:sz w:val="18"/>
                <w:szCs w:val="18"/>
              </w:rPr>
              <w:t>M2份额：销售费年化0.2%</w:t>
            </w:r>
          </w:p>
          <w:p w14:paraId="0503972F">
            <w:pPr>
              <w:spacing w:line="200" w:lineRule="exact"/>
            </w:pPr>
            <w:r>
              <w:rPr>
                <w:rFonts w:ascii="方正黑体_GBK" w:hAnsi="方正黑体_GBK" w:eastAsia="方正黑体_GBK" w:cs="宋体"/>
                <w:b/>
                <w:sz w:val="18"/>
                <w:szCs w:val="18"/>
              </w:rPr>
              <w:t>M3份额：销售费年化0.2%</w:t>
            </w:r>
          </w:p>
          <w:p w14:paraId="6B8A378D">
            <w:pPr>
              <w:spacing w:line="200" w:lineRule="exact"/>
            </w:pPr>
            <w:r>
              <w:rPr>
                <w:rFonts w:ascii="方正黑体_GBK" w:hAnsi="方正黑体_GBK" w:eastAsia="方正黑体_GBK" w:cs="宋体"/>
                <w:b/>
                <w:sz w:val="18"/>
                <w:szCs w:val="18"/>
              </w:rPr>
              <w:t>M4份额：销售费年化0.2%</w:t>
            </w:r>
          </w:p>
          <w:p w14:paraId="5CA04AD6">
            <w:pPr>
              <w:spacing w:line="200" w:lineRule="exact"/>
            </w:pPr>
            <w:r>
              <w:rPr>
                <w:rFonts w:ascii="方正黑体_GBK" w:hAnsi="方正黑体_GBK" w:eastAsia="方正黑体_GBK" w:cs="宋体"/>
                <w:b/>
                <w:sz w:val="18"/>
                <w:szCs w:val="18"/>
              </w:rPr>
              <w:t>O2份额：销售费年化0.2%</w:t>
            </w:r>
          </w:p>
          <w:p w14:paraId="1A8939D3">
            <w:pPr>
              <w:spacing w:line="200" w:lineRule="exact"/>
            </w:pPr>
            <w:r>
              <w:rPr>
                <w:rFonts w:ascii="方正黑体_GBK" w:hAnsi="方正黑体_GBK" w:eastAsia="方正黑体_GBK" w:cs="宋体"/>
                <w:b/>
                <w:sz w:val="18"/>
                <w:szCs w:val="18"/>
              </w:rPr>
              <w:t>O3份额：销售费年化0.2%</w:t>
            </w:r>
          </w:p>
          <w:p w14:paraId="63BC6960">
            <w:pPr>
              <w:spacing w:line="200" w:lineRule="exact"/>
            </w:pPr>
            <w:r>
              <w:rPr>
                <w:rFonts w:ascii="方正黑体_GBK" w:hAnsi="方正黑体_GBK" w:eastAsia="方正黑体_GBK" w:cs="宋体"/>
                <w:b/>
                <w:sz w:val="18"/>
                <w:szCs w:val="18"/>
              </w:rPr>
              <w:t>O4份额：销售费年化0.2%</w:t>
            </w:r>
          </w:p>
          <w:p w14:paraId="35699306">
            <w:pPr>
              <w:spacing w:line="200" w:lineRule="exact"/>
            </w:pPr>
            <w:r>
              <w:rPr>
                <w:rFonts w:ascii="方正黑体_GBK" w:hAnsi="方正黑体_GBK" w:eastAsia="方正黑体_GBK" w:cs="宋体"/>
                <w:b/>
                <w:sz w:val="18"/>
                <w:szCs w:val="18"/>
              </w:rPr>
              <w:t>每日计提的销售费=前一日理财产品资产净值×年化销售费率÷365</w:t>
            </w:r>
          </w:p>
          <w:p w14:paraId="60377050">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53D76A23">
            <w:pPr>
              <w:spacing w:line="200" w:lineRule="exact"/>
            </w:pPr>
            <w:r>
              <w:rPr>
                <w:rFonts w:ascii="方正黑体_GBK" w:hAnsi="方正黑体_GBK" w:eastAsia="方正黑体_GBK" w:cs="宋体"/>
                <w:b/>
                <w:sz w:val="18"/>
                <w:szCs w:val="18"/>
              </w:rPr>
              <w:t>A份额：固定管理费年化0.2%</w:t>
            </w:r>
          </w:p>
          <w:p w14:paraId="2E276648">
            <w:pPr>
              <w:spacing w:line="200" w:lineRule="exact"/>
            </w:pPr>
            <w:r>
              <w:rPr>
                <w:rFonts w:ascii="方正黑体_GBK" w:hAnsi="方正黑体_GBK" w:eastAsia="方正黑体_GBK" w:cs="宋体"/>
                <w:b/>
                <w:sz w:val="18"/>
                <w:szCs w:val="18"/>
              </w:rPr>
              <w:t>B份额：固定管理费年化0.2%</w:t>
            </w:r>
          </w:p>
          <w:p w14:paraId="50A025FF">
            <w:pPr>
              <w:spacing w:line="200" w:lineRule="exact"/>
            </w:pPr>
            <w:r>
              <w:rPr>
                <w:rFonts w:ascii="方正黑体_GBK" w:hAnsi="方正黑体_GBK" w:eastAsia="方正黑体_GBK" w:cs="宋体"/>
                <w:b/>
                <w:sz w:val="18"/>
                <w:szCs w:val="18"/>
              </w:rPr>
              <w:t>C份额：固定管理费年化0.2%</w:t>
            </w:r>
          </w:p>
          <w:p w14:paraId="7F3484D6">
            <w:pPr>
              <w:spacing w:line="200" w:lineRule="exact"/>
            </w:pPr>
            <w:r>
              <w:rPr>
                <w:rFonts w:ascii="方正黑体_GBK" w:hAnsi="方正黑体_GBK" w:eastAsia="方正黑体_GBK" w:cs="宋体"/>
                <w:b/>
                <w:sz w:val="18"/>
                <w:szCs w:val="18"/>
              </w:rPr>
              <w:t>D份额：固定管理费年化0.15%</w:t>
            </w:r>
          </w:p>
          <w:p w14:paraId="4A4A172E">
            <w:pPr>
              <w:spacing w:line="200" w:lineRule="exact"/>
            </w:pPr>
            <w:r>
              <w:rPr>
                <w:rFonts w:ascii="方正黑体_GBK" w:hAnsi="方正黑体_GBK" w:eastAsia="方正黑体_GBK" w:cs="宋体"/>
                <w:b/>
                <w:sz w:val="18"/>
                <w:szCs w:val="18"/>
              </w:rPr>
              <w:t>E份额：固定管理费年化0.15%</w:t>
            </w:r>
          </w:p>
          <w:p w14:paraId="43508243">
            <w:pPr>
              <w:spacing w:line="200" w:lineRule="exact"/>
            </w:pPr>
            <w:r>
              <w:rPr>
                <w:rFonts w:ascii="方正黑体_GBK" w:hAnsi="方正黑体_GBK" w:eastAsia="方正黑体_GBK" w:cs="宋体"/>
                <w:b/>
                <w:sz w:val="18"/>
                <w:szCs w:val="18"/>
              </w:rPr>
              <w:t>F份额：固定管理费年化0.15%</w:t>
            </w:r>
          </w:p>
          <w:p w14:paraId="39601C82">
            <w:pPr>
              <w:spacing w:line="200" w:lineRule="exact"/>
            </w:pPr>
            <w:r>
              <w:rPr>
                <w:rFonts w:ascii="方正黑体_GBK" w:hAnsi="方正黑体_GBK" w:eastAsia="方正黑体_GBK" w:cs="宋体"/>
                <w:b/>
                <w:sz w:val="18"/>
                <w:szCs w:val="18"/>
              </w:rPr>
              <w:t>G份额：固定管理费年化0.15%</w:t>
            </w:r>
          </w:p>
          <w:p w14:paraId="6A7F7ED5">
            <w:pPr>
              <w:spacing w:line="200" w:lineRule="exact"/>
            </w:pPr>
            <w:r>
              <w:rPr>
                <w:rFonts w:ascii="方正黑体_GBK" w:hAnsi="方正黑体_GBK" w:eastAsia="方正黑体_GBK" w:cs="宋体"/>
                <w:b/>
                <w:sz w:val="18"/>
                <w:szCs w:val="18"/>
              </w:rPr>
              <w:t>H份额：固定管理费年化0.1%</w:t>
            </w:r>
          </w:p>
          <w:p w14:paraId="46B204D0">
            <w:pPr>
              <w:spacing w:line="200" w:lineRule="exact"/>
            </w:pPr>
            <w:r>
              <w:rPr>
                <w:rFonts w:ascii="方正黑体_GBK" w:hAnsi="方正黑体_GBK" w:eastAsia="方正黑体_GBK" w:cs="宋体"/>
                <w:b/>
                <w:sz w:val="18"/>
                <w:szCs w:val="18"/>
              </w:rPr>
              <w:t>J份额：固定管理费年化0.1%</w:t>
            </w:r>
          </w:p>
          <w:p w14:paraId="6FEEED98">
            <w:pPr>
              <w:spacing w:line="200" w:lineRule="exact"/>
            </w:pPr>
            <w:r>
              <w:rPr>
                <w:rFonts w:ascii="方正黑体_GBK" w:hAnsi="方正黑体_GBK" w:eastAsia="方正黑体_GBK" w:cs="宋体"/>
                <w:b/>
                <w:sz w:val="18"/>
                <w:szCs w:val="18"/>
              </w:rPr>
              <w:t>K份额：固定管理费年化0.1%</w:t>
            </w:r>
          </w:p>
          <w:p w14:paraId="5C73AF96">
            <w:pPr>
              <w:spacing w:line="200" w:lineRule="exact"/>
            </w:pPr>
            <w:r>
              <w:rPr>
                <w:rFonts w:ascii="方正黑体_GBK" w:hAnsi="方正黑体_GBK" w:eastAsia="方正黑体_GBK" w:cs="宋体"/>
                <w:b/>
                <w:sz w:val="18"/>
                <w:szCs w:val="18"/>
              </w:rPr>
              <w:t>M份额：固定管理费年化0.2%</w:t>
            </w:r>
          </w:p>
          <w:p w14:paraId="06EB1917">
            <w:pPr>
              <w:spacing w:line="200" w:lineRule="exact"/>
            </w:pPr>
            <w:r>
              <w:rPr>
                <w:rFonts w:ascii="方正黑体_GBK" w:hAnsi="方正黑体_GBK" w:eastAsia="方正黑体_GBK" w:cs="宋体"/>
                <w:b/>
                <w:sz w:val="18"/>
                <w:szCs w:val="18"/>
              </w:rPr>
              <w:t>N份额：固定管理费年化0.1%</w:t>
            </w:r>
          </w:p>
          <w:p w14:paraId="2AC6A8C2">
            <w:pPr>
              <w:spacing w:line="200" w:lineRule="exact"/>
            </w:pPr>
            <w:r>
              <w:rPr>
                <w:rFonts w:ascii="方正黑体_GBK" w:hAnsi="方正黑体_GBK" w:eastAsia="方正黑体_GBK" w:cs="宋体"/>
                <w:b/>
                <w:sz w:val="18"/>
                <w:szCs w:val="18"/>
              </w:rPr>
              <w:t>O份额：固定管理费年化0.1%</w:t>
            </w:r>
          </w:p>
          <w:p w14:paraId="3DFD0F61">
            <w:pPr>
              <w:spacing w:line="200" w:lineRule="exact"/>
            </w:pPr>
            <w:r>
              <w:rPr>
                <w:rFonts w:ascii="方正黑体_GBK" w:hAnsi="方正黑体_GBK" w:eastAsia="方正黑体_GBK" w:cs="宋体"/>
                <w:b/>
                <w:sz w:val="18"/>
                <w:szCs w:val="18"/>
              </w:rPr>
              <w:t>A2份额：固定管理费年化0.2%</w:t>
            </w:r>
          </w:p>
          <w:p w14:paraId="5F010574">
            <w:pPr>
              <w:spacing w:line="200" w:lineRule="exact"/>
            </w:pPr>
            <w:r>
              <w:rPr>
                <w:rFonts w:ascii="方正黑体_GBK" w:hAnsi="方正黑体_GBK" w:eastAsia="方正黑体_GBK" w:cs="宋体"/>
                <w:b/>
                <w:sz w:val="18"/>
                <w:szCs w:val="18"/>
              </w:rPr>
              <w:t>B2份额：固定管理费年化0.2%</w:t>
            </w:r>
          </w:p>
          <w:p w14:paraId="429013D1">
            <w:pPr>
              <w:spacing w:line="200" w:lineRule="exact"/>
            </w:pPr>
            <w:r>
              <w:rPr>
                <w:rFonts w:ascii="方正黑体_GBK" w:hAnsi="方正黑体_GBK" w:eastAsia="方正黑体_GBK" w:cs="宋体"/>
                <w:b/>
                <w:sz w:val="18"/>
                <w:szCs w:val="18"/>
              </w:rPr>
              <w:t>C2份额：固定管理费年化0.2%</w:t>
            </w:r>
          </w:p>
          <w:p w14:paraId="2D57FC51">
            <w:pPr>
              <w:spacing w:line="200" w:lineRule="exact"/>
            </w:pPr>
            <w:r>
              <w:rPr>
                <w:rFonts w:ascii="方正黑体_GBK" w:hAnsi="方正黑体_GBK" w:eastAsia="方正黑体_GBK" w:cs="宋体"/>
                <w:b/>
                <w:sz w:val="18"/>
                <w:szCs w:val="18"/>
              </w:rPr>
              <w:t>D2份额：固定管理费年化0.15%</w:t>
            </w:r>
          </w:p>
          <w:p w14:paraId="6045FA3D">
            <w:pPr>
              <w:spacing w:line="200" w:lineRule="exact"/>
            </w:pPr>
            <w:r>
              <w:rPr>
                <w:rFonts w:ascii="方正黑体_GBK" w:hAnsi="方正黑体_GBK" w:eastAsia="方正黑体_GBK" w:cs="宋体"/>
                <w:b/>
                <w:sz w:val="18"/>
                <w:szCs w:val="18"/>
              </w:rPr>
              <w:t>E2份额：固定管理费年化0.15%</w:t>
            </w:r>
          </w:p>
          <w:p w14:paraId="77FBA8A3">
            <w:pPr>
              <w:spacing w:line="200" w:lineRule="exact"/>
            </w:pPr>
            <w:r>
              <w:rPr>
                <w:rFonts w:ascii="方正黑体_GBK" w:hAnsi="方正黑体_GBK" w:eastAsia="方正黑体_GBK" w:cs="宋体"/>
                <w:b/>
                <w:sz w:val="18"/>
                <w:szCs w:val="18"/>
              </w:rPr>
              <w:t>A3份额：固定管理费年化0.2%</w:t>
            </w:r>
          </w:p>
          <w:p w14:paraId="548180A6">
            <w:pPr>
              <w:spacing w:line="200" w:lineRule="exact"/>
            </w:pPr>
            <w:r>
              <w:rPr>
                <w:rFonts w:ascii="方正黑体_GBK" w:hAnsi="方正黑体_GBK" w:eastAsia="方正黑体_GBK" w:cs="宋体"/>
                <w:b/>
                <w:sz w:val="18"/>
                <w:szCs w:val="18"/>
              </w:rPr>
              <w:t>B3份额：固定管理费年化0.2%</w:t>
            </w:r>
          </w:p>
          <w:p w14:paraId="70FC3C85">
            <w:pPr>
              <w:spacing w:line="200" w:lineRule="exact"/>
            </w:pPr>
            <w:r>
              <w:rPr>
                <w:rFonts w:ascii="方正黑体_GBK" w:hAnsi="方正黑体_GBK" w:eastAsia="方正黑体_GBK" w:cs="宋体"/>
                <w:b/>
                <w:sz w:val="18"/>
                <w:szCs w:val="18"/>
              </w:rPr>
              <w:t>C3份额：固定管理费年化0.2%</w:t>
            </w:r>
          </w:p>
          <w:p w14:paraId="717935E6">
            <w:pPr>
              <w:spacing w:line="200" w:lineRule="exact"/>
            </w:pPr>
            <w:r>
              <w:rPr>
                <w:rFonts w:ascii="方正黑体_GBK" w:hAnsi="方正黑体_GBK" w:eastAsia="方正黑体_GBK" w:cs="宋体"/>
                <w:b/>
                <w:sz w:val="18"/>
                <w:szCs w:val="18"/>
              </w:rPr>
              <w:t>D3份额：固定管理费年化0.15%</w:t>
            </w:r>
          </w:p>
          <w:p w14:paraId="12E23922">
            <w:pPr>
              <w:spacing w:line="200" w:lineRule="exact"/>
            </w:pPr>
            <w:r>
              <w:rPr>
                <w:rFonts w:ascii="方正黑体_GBK" w:hAnsi="方正黑体_GBK" w:eastAsia="方正黑体_GBK" w:cs="宋体"/>
                <w:b/>
                <w:sz w:val="18"/>
                <w:szCs w:val="18"/>
              </w:rPr>
              <w:t>E3份额：固定管理费年化0.15%</w:t>
            </w:r>
          </w:p>
          <w:p w14:paraId="37745E97">
            <w:pPr>
              <w:spacing w:line="200" w:lineRule="exact"/>
            </w:pPr>
            <w:r>
              <w:rPr>
                <w:rFonts w:ascii="方正黑体_GBK" w:hAnsi="方正黑体_GBK" w:eastAsia="方正黑体_GBK" w:cs="宋体"/>
                <w:b/>
                <w:sz w:val="18"/>
                <w:szCs w:val="18"/>
              </w:rPr>
              <w:t>A4份额：固定管理费年化0.2%</w:t>
            </w:r>
          </w:p>
          <w:p w14:paraId="0A6ED5AC">
            <w:pPr>
              <w:spacing w:line="200" w:lineRule="exact"/>
            </w:pPr>
            <w:r>
              <w:rPr>
                <w:rFonts w:ascii="方正黑体_GBK" w:hAnsi="方正黑体_GBK" w:eastAsia="方正黑体_GBK" w:cs="宋体"/>
                <w:b/>
                <w:sz w:val="18"/>
                <w:szCs w:val="18"/>
              </w:rPr>
              <w:t>B4份额：固定管理费年化0.2%</w:t>
            </w:r>
          </w:p>
          <w:p w14:paraId="408719A3">
            <w:pPr>
              <w:spacing w:line="200" w:lineRule="exact"/>
            </w:pPr>
            <w:r>
              <w:rPr>
                <w:rFonts w:ascii="方正黑体_GBK" w:hAnsi="方正黑体_GBK" w:eastAsia="方正黑体_GBK" w:cs="宋体"/>
                <w:b/>
                <w:sz w:val="18"/>
                <w:szCs w:val="18"/>
              </w:rPr>
              <w:t>C4份额：固定管理费年化0.2%</w:t>
            </w:r>
          </w:p>
          <w:p w14:paraId="075CA15B">
            <w:pPr>
              <w:spacing w:line="200" w:lineRule="exact"/>
            </w:pPr>
            <w:r>
              <w:rPr>
                <w:rFonts w:ascii="方正黑体_GBK" w:hAnsi="方正黑体_GBK" w:eastAsia="方正黑体_GBK" w:cs="宋体"/>
                <w:b/>
                <w:sz w:val="18"/>
                <w:szCs w:val="18"/>
              </w:rPr>
              <w:t>D4份额：固定管理费年化0.15%</w:t>
            </w:r>
          </w:p>
          <w:p w14:paraId="475A8EA6">
            <w:pPr>
              <w:spacing w:line="200" w:lineRule="exact"/>
            </w:pPr>
            <w:r>
              <w:rPr>
                <w:rFonts w:ascii="方正黑体_GBK" w:hAnsi="方正黑体_GBK" w:eastAsia="方正黑体_GBK" w:cs="宋体"/>
                <w:b/>
                <w:sz w:val="18"/>
                <w:szCs w:val="18"/>
              </w:rPr>
              <w:t>E4份额：固定管理费年化0.15%</w:t>
            </w:r>
          </w:p>
          <w:p w14:paraId="13885DEE">
            <w:pPr>
              <w:spacing w:line="200" w:lineRule="exact"/>
            </w:pPr>
            <w:r>
              <w:rPr>
                <w:rFonts w:ascii="方正黑体_GBK" w:hAnsi="方正黑体_GBK" w:eastAsia="方正黑体_GBK" w:cs="宋体"/>
                <w:b/>
                <w:sz w:val="18"/>
                <w:szCs w:val="18"/>
              </w:rPr>
              <w:t>F2份额：固定管理费年化0.15%</w:t>
            </w:r>
          </w:p>
          <w:p w14:paraId="1175DCE0">
            <w:pPr>
              <w:spacing w:line="200" w:lineRule="exact"/>
            </w:pPr>
            <w:r>
              <w:rPr>
                <w:rFonts w:ascii="方正黑体_GBK" w:hAnsi="方正黑体_GBK" w:eastAsia="方正黑体_GBK" w:cs="宋体"/>
                <w:b/>
                <w:sz w:val="18"/>
                <w:szCs w:val="18"/>
              </w:rPr>
              <w:t>F3份额：固定管理费年化0.15%</w:t>
            </w:r>
          </w:p>
          <w:p w14:paraId="3AC9662D">
            <w:pPr>
              <w:spacing w:line="200" w:lineRule="exact"/>
            </w:pPr>
            <w:r>
              <w:rPr>
                <w:rFonts w:ascii="方正黑体_GBK" w:hAnsi="方正黑体_GBK" w:eastAsia="方正黑体_GBK" w:cs="宋体"/>
                <w:b/>
                <w:sz w:val="18"/>
                <w:szCs w:val="18"/>
              </w:rPr>
              <w:t>G2份额：固定管理费年化0.15%</w:t>
            </w:r>
          </w:p>
          <w:p w14:paraId="5C735F90">
            <w:pPr>
              <w:spacing w:line="200" w:lineRule="exact"/>
            </w:pPr>
            <w:r>
              <w:rPr>
                <w:rFonts w:ascii="方正黑体_GBK" w:hAnsi="方正黑体_GBK" w:eastAsia="方正黑体_GBK" w:cs="宋体"/>
                <w:b/>
                <w:sz w:val="18"/>
                <w:szCs w:val="18"/>
              </w:rPr>
              <w:t>G3份额：固定管理费年化0.15%</w:t>
            </w:r>
          </w:p>
          <w:p w14:paraId="0A4BE51B">
            <w:pPr>
              <w:spacing w:line="200" w:lineRule="exact"/>
            </w:pPr>
            <w:r>
              <w:rPr>
                <w:rFonts w:ascii="方正黑体_GBK" w:hAnsi="方正黑体_GBK" w:eastAsia="方正黑体_GBK" w:cs="宋体"/>
                <w:b/>
                <w:sz w:val="18"/>
                <w:szCs w:val="18"/>
              </w:rPr>
              <w:t>F4份额：固定管理费年化0.15%</w:t>
            </w:r>
          </w:p>
          <w:p w14:paraId="1C42ED26">
            <w:pPr>
              <w:spacing w:line="200" w:lineRule="exact"/>
            </w:pPr>
            <w:r>
              <w:rPr>
                <w:rFonts w:ascii="方正黑体_GBK" w:hAnsi="方正黑体_GBK" w:eastAsia="方正黑体_GBK" w:cs="宋体"/>
                <w:b/>
                <w:sz w:val="18"/>
                <w:szCs w:val="18"/>
              </w:rPr>
              <w:t>G4份额：固定管理费年化0.15%</w:t>
            </w:r>
          </w:p>
          <w:p w14:paraId="148EB54B">
            <w:pPr>
              <w:spacing w:line="200" w:lineRule="exact"/>
            </w:pPr>
            <w:r>
              <w:rPr>
                <w:rFonts w:ascii="方正黑体_GBK" w:hAnsi="方正黑体_GBK" w:eastAsia="方正黑体_GBK" w:cs="宋体"/>
                <w:b/>
                <w:sz w:val="18"/>
                <w:szCs w:val="18"/>
              </w:rPr>
              <w:t>H4份额：固定管理费年化0.1%</w:t>
            </w:r>
          </w:p>
          <w:p w14:paraId="166B00D6">
            <w:pPr>
              <w:spacing w:line="200" w:lineRule="exact"/>
            </w:pPr>
            <w:r>
              <w:rPr>
                <w:rFonts w:ascii="方正黑体_GBK" w:hAnsi="方正黑体_GBK" w:eastAsia="方正黑体_GBK" w:cs="宋体"/>
                <w:b/>
                <w:sz w:val="18"/>
                <w:szCs w:val="18"/>
              </w:rPr>
              <w:t>I2份额：固定管理费年化0.1%</w:t>
            </w:r>
          </w:p>
          <w:p w14:paraId="32EC64C2">
            <w:pPr>
              <w:spacing w:line="200" w:lineRule="exact"/>
            </w:pPr>
            <w:r>
              <w:rPr>
                <w:rFonts w:ascii="方正黑体_GBK" w:hAnsi="方正黑体_GBK" w:eastAsia="方正黑体_GBK" w:cs="宋体"/>
                <w:b/>
                <w:sz w:val="18"/>
                <w:szCs w:val="18"/>
              </w:rPr>
              <w:t>J2份额：固定管理费年化0.1%</w:t>
            </w:r>
          </w:p>
          <w:p w14:paraId="657A7A80">
            <w:pPr>
              <w:spacing w:line="200" w:lineRule="exact"/>
            </w:pPr>
            <w:r>
              <w:rPr>
                <w:rFonts w:ascii="方正黑体_GBK" w:hAnsi="方正黑体_GBK" w:eastAsia="方正黑体_GBK" w:cs="宋体"/>
                <w:b/>
                <w:sz w:val="18"/>
                <w:szCs w:val="18"/>
              </w:rPr>
              <w:t>K2份额：固定管理费年化0.1%</w:t>
            </w:r>
          </w:p>
          <w:p w14:paraId="1CE743AE">
            <w:pPr>
              <w:spacing w:line="200" w:lineRule="exact"/>
            </w:pPr>
            <w:r>
              <w:rPr>
                <w:rFonts w:ascii="方正黑体_GBK" w:hAnsi="方正黑体_GBK" w:eastAsia="方正黑体_GBK" w:cs="宋体"/>
                <w:b/>
                <w:sz w:val="18"/>
                <w:szCs w:val="18"/>
              </w:rPr>
              <w:t>J3份额：固定管理费年化0.1%</w:t>
            </w:r>
          </w:p>
          <w:p w14:paraId="045C8CF6">
            <w:pPr>
              <w:spacing w:line="200" w:lineRule="exact"/>
            </w:pPr>
            <w:r>
              <w:rPr>
                <w:rFonts w:ascii="方正黑体_GBK" w:hAnsi="方正黑体_GBK" w:eastAsia="方正黑体_GBK" w:cs="宋体"/>
                <w:b/>
                <w:sz w:val="18"/>
                <w:szCs w:val="18"/>
              </w:rPr>
              <w:t>K3份额：固定管理费年化0.1%</w:t>
            </w:r>
          </w:p>
          <w:p w14:paraId="6EE39AA5">
            <w:pPr>
              <w:spacing w:line="200" w:lineRule="exact"/>
            </w:pPr>
            <w:r>
              <w:rPr>
                <w:rFonts w:ascii="方正黑体_GBK" w:hAnsi="方正黑体_GBK" w:eastAsia="方正黑体_GBK" w:cs="宋体"/>
                <w:b/>
                <w:sz w:val="18"/>
                <w:szCs w:val="18"/>
              </w:rPr>
              <w:t>L3份额：固定管理费年化0.1%</w:t>
            </w:r>
          </w:p>
          <w:p w14:paraId="547F265B">
            <w:pPr>
              <w:spacing w:line="200" w:lineRule="exact"/>
            </w:pPr>
            <w:r>
              <w:rPr>
                <w:rFonts w:ascii="方正黑体_GBK" w:hAnsi="方正黑体_GBK" w:eastAsia="方正黑体_GBK" w:cs="宋体"/>
                <w:b/>
                <w:sz w:val="18"/>
                <w:szCs w:val="18"/>
              </w:rPr>
              <w:t>J4份额：固定管理费年化0.1%</w:t>
            </w:r>
          </w:p>
          <w:p w14:paraId="52D5688D">
            <w:pPr>
              <w:spacing w:line="200" w:lineRule="exact"/>
            </w:pPr>
            <w:r>
              <w:rPr>
                <w:rFonts w:ascii="方正黑体_GBK" w:hAnsi="方正黑体_GBK" w:eastAsia="方正黑体_GBK" w:cs="宋体"/>
                <w:b/>
                <w:sz w:val="18"/>
                <w:szCs w:val="18"/>
              </w:rPr>
              <w:t>K4份额：固定管理费年化0.1%</w:t>
            </w:r>
          </w:p>
          <w:p w14:paraId="71AD2AAC">
            <w:pPr>
              <w:spacing w:line="200" w:lineRule="exact"/>
            </w:pPr>
            <w:r>
              <w:rPr>
                <w:rFonts w:ascii="方正黑体_GBK" w:hAnsi="方正黑体_GBK" w:eastAsia="方正黑体_GBK" w:cs="宋体"/>
                <w:b/>
                <w:sz w:val="18"/>
                <w:szCs w:val="18"/>
              </w:rPr>
              <w:t>I4份额：固定管理费年化0.1%</w:t>
            </w:r>
          </w:p>
          <w:p w14:paraId="454D735A">
            <w:pPr>
              <w:spacing w:line="200" w:lineRule="exact"/>
            </w:pPr>
            <w:r>
              <w:rPr>
                <w:rFonts w:ascii="方正黑体_GBK" w:hAnsi="方正黑体_GBK" w:eastAsia="方正黑体_GBK" w:cs="宋体"/>
                <w:b/>
                <w:sz w:val="18"/>
                <w:szCs w:val="18"/>
              </w:rPr>
              <w:t>M2份额：固定管理费年化0.2%</w:t>
            </w:r>
          </w:p>
          <w:p w14:paraId="03C818AD">
            <w:pPr>
              <w:spacing w:line="200" w:lineRule="exact"/>
            </w:pPr>
            <w:r>
              <w:rPr>
                <w:rFonts w:ascii="方正黑体_GBK" w:hAnsi="方正黑体_GBK" w:eastAsia="方正黑体_GBK" w:cs="宋体"/>
                <w:b/>
                <w:sz w:val="18"/>
                <w:szCs w:val="18"/>
              </w:rPr>
              <w:t>M3份额：固定管理费年化0.2%</w:t>
            </w:r>
          </w:p>
          <w:p w14:paraId="51520C93">
            <w:pPr>
              <w:spacing w:line="200" w:lineRule="exact"/>
            </w:pPr>
            <w:r>
              <w:rPr>
                <w:rFonts w:ascii="方正黑体_GBK" w:hAnsi="方正黑体_GBK" w:eastAsia="方正黑体_GBK" w:cs="宋体"/>
                <w:b/>
                <w:sz w:val="18"/>
                <w:szCs w:val="18"/>
              </w:rPr>
              <w:t>M4份额：固定管理费年化0.2%</w:t>
            </w:r>
          </w:p>
          <w:p w14:paraId="7BAF34F3">
            <w:pPr>
              <w:spacing w:line="200" w:lineRule="exact"/>
            </w:pPr>
            <w:r>
              <w:rPr>
                <w:rFonts w:ascii="方正黑体_GBK" w:hAnsi="方正黑体_GBK" w:eastAsia="方正黑体_GBK" w:cs="宋体"/>
                <w:b/>
                <w:sz w:val="18"/>
                <w:szCs w:val="18"/>
              </w:rPr>
              <w:t>O2份额：固定管理费年化0.1%</w:t>
            </w:r>
          </w:p>
          <w:p w14:paraId="6A4EFE41">
            <w:pPr>
              <w:spacing w:line="200" w:lineRule="exact"/>
            </w:pPr>
            <w:r>
              <w:rPr>
                <w:rFonts w:ascii="方正黑体_GBK" w:hAnsi="方正黑体_GBK" w:eastAsia="方正黑体_GBK" w:cs="宋体"/>
                <w:b/>
                <w:sz w:val="18"/>
                <w:szCs w:val="18"/>
              </w:rPr>
              <w:t>O3份额：固定管理费年化0.1%</w:t>
            </w:r>
          </w:p>
          <w:p w14:paraId="6EC53F1F">
            <w:pPr>
              <w:spacing w:line="200" w:lineRule="exact"/>
            </w:pPr>
            <w:r>
              <w:rPr>
                <w:rFonts w:ascii="方正黑体_GBK" w:hAnsi="方正黑体_GBK" w:eastAsia="方正黑体_GBK" w:cs="宋体"/>
                <w:b/>
                <w:sz w:val="18"/>
                <w:szCs w:val="18"/>
              </w:rPr>
              <w:t>O4份额：固定管理费年化0.1%</w:t>
            </w:r>
          </w:p>
          <w:p w14:paraId="7A8C75A2">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41EC4DAB">
            <w:pPr>
              <w:spacing w:line="200" w:lineRule="exact"/>
            </w:pPr>
            <w:r>
              <w:rPr>
                <w:rFonts w:ascii="方正黑体_GBK" w:hAnsi="方正黑体_GBK" w:eastAsia="方正黑体_GBK" w:cs="宋体"/>
                <w:b/>
                <w:sz w:val="18"/>
                <w:szCs w:val="18"/>
              </w:rPr>
              <w:t>托管费：</w:t>
            </w:r>
          </w:p>
          <w:p w14:paraId="78B64150">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628411BF">
            <w:pPr>
              <w:spacing w:line="200" w:lineRule="exact"/>
            </w:pPr>
            <w:r>
              <w:rPr>
                <w:rFonts w:ascii="方正黑体_GBK" w:hAnsi="方正黑体_GBK" w:eastAsia="方正黑体_GBK" w:cs="宋体"/>
                <w:b/>
                <w:sz w:val="18"/>
                <w:szCs w:val="18"/>
              </w:rPr>
              <w:t>每日计提的托管费=前一日理财产品资产净值×年化托管费率÷365</w:t>
            </w:r>
          </w:p>
          <w:p w14:paraId="0BACC7A5">
            <w:pPr>
              <w:spacing w:line="200" w:lineRule="exact"/>
            </w:pPr>
            <w:r>
              <w:rPr>
                <w:rFonts w:ascii="方正黑体_GBK" w:hAnsi="方正黑体_GBK" w:eastAsia="方正黑体_GBK" w:cs="宋体"/>
                <w:b/>
                <w:sz w:val="18"/>
                <w:szCs w:val="18"/>
              </w:rPr>
              <w:t>业绩报酬：</w:t>
            </w:r>
          </w:p>
          <w:p w14:paraId="0844B73D">
            <w:pPr>
              <w:spacing w:line="200" w:lineRule="exact"/>
            </w:pPr>
            <w:r>
              <w:rPr>
                <w:rFonts w:ascii="方正黑体_GBK" w:hAnsi="方正黑体_GBK" w:eastAsia="方正黑体_GBK" w:cs="宋体"/>
                <w:b/>
                <w:sz w:val="18"/>
                <w:szCs w:val="18"/>
              </w:rPr>
              <w:t>A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46726C58">
            <w:pPr>
              <w:spacing w:line="200" w:lineRule="exact"/>
            </w:pPr>
            <w:r>
              <w:rPr>
                <w:rFonts w:ascii="方正黑体_GBK" w:hAnsi="方正黑体_GBK" w:eastAsia="方正黑体_GBK" w:cs="宋体"/>
                <w:b/>
                <w:sz w:val="18"/>
                <w:szCs w:val="18"/>
              </w:rPr>
              <w:t>B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67BCCF42">
            <w:pPr>
              <w:spacing w:line="200" w:lineRule="exact"/>
            </w:pPr>
            <w:r>
              <w:rPr>
                <w:rFonts w:ascii="方正黑体_GBK" w:hAnsi="方正黑体_GBK" w:eastAsia="方正黑体_GBK" w:cs="宋体"/>
                <w:b/>
                <w:sz w:val="18"/>
                <w:szCs w:val="18"/>
              </w:rPr>
              <w:t>C份额：申购/赎回确认日和产品实际到期时，当期产品投资的实际资产组合收益（扣除销售费、固定管理费、托管费等相关费用）超过3.05%（年化，即产品该份额对应的业绩报酬计提基准）时，超过部分管理人将按60%收取业绩报酬。</w:t>
            </w:r>
          </w:p>
          <w:p w14:paraId="0A1E4825">
            <w:pPr>
              <w:spacing w:line="200" w:lineRule="exact"/>
            </w:pPr>
            <w:r>
              <w:rPr>
                <w:rFonts w:ascii="方正黑体_GBK" w:hAnsi="方正黑体_GBK" w:eastAsia="方正黑体_GBK" w:cs="宋体"/>
                <w:b/>
                <w:sz w:val="18"/>
                <w:szCs w:val="18"/>
              </w:rPr>
              <w:t>D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147293B2">
            <w:pPr>
              <w:spacing w:line="200" w:lineRule="exact"/>
            </w:pPr>
            <w:r>
              <w:rPr>
                <w:rFonts w:ascii="方正黑体_GBK" w:hAnsi="方正黑体_GBK" w:eastAsia="方正黑体_GBK" w:cs="宋体"/>
                <w:b/>
                <w:sz w:val="18"/>
                <w:szCs w:val="18"/>
              </w:rPr>
              <w:t>E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7EFA944D">
            <w:pPr>
              <w:spacing w:line="200" w:lineRule="exact"/>
            </w:pPr>
            <w:r>
              <w:rPr>
                <w:rFonts w:ascii="方正黑体_GBK" w:hAnsi="方正黑体_GBK" w:eastAsia="方正黑体_GBK" w:cs="宋体"/>
                <w:b/>
                <w:sz w:val="18"/>
                <w:szCs w:val="18"/>
              </w:rPr>
              <w:t>F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22ED87ED">
            <w:pPr>
              <w:spacing w:line="200" w:lineRule="exact"/>
            </w:pPr>
            <w:r>
              <w:rPr>
                <w:rFonts w:ascii="方正黑体_GBK" w:hAnsi="方正黑体_GBK" w:eastAsia="方正黑体_GBK" w:cs="宋体"/>
                <w:b/>
                <w:sz w:val="18"/>
                <w:szCs w:val="18"/>
              </w:rPr>
              <w:t>G份额：申购/赎回确认日和产品实际到期时，当期产品投资的实际资产组合收益（扣除销售费、固定管理费、托管费等相关费用）超过3.15%（年化，即产品该份额对应的业绩报酬计提基准）时，超过部分管理人将按60%收取业绩报酬。</w:t>
            </w:r>
          </w:p>
          <w:p w14:paraId="17FA1A22">
            <w:pPr>
              <w:spacing w:line="200" w:lineRule="exact"/>
            </w:pPr>
            <w:r>
              <w:rPr>
                <w:rFonts w:ascii="方正黑体_GBK" w:hAnsi="方正黑体_GBK" w:eastAsia="方正黑体_GBK" w:cs="宋体"/>
                <w:b/>
                <w:sz w:val="18"/>
                <w:szCs w:val="18"/>
              </w:rPr>
              <w:t>H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15FFF9F3">
            <w:pPr>
              <w:spacing w:line="200" w:lineRule="exact"/>
            </w:pPr>
            <w:r>
              <w:rPr>
                <w:rFonts w:ascii="方正黑体_GBK" w:hAnsi="方正黑体_GBK" w:eastAsia="方正黑体_GBK" w:cs="宋体"/>
                <w:b/>
                <w:sz w:val="18"/>
                <w:szCs w:val="18"/>
              </w:rPr>
              <w:t>J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03B8F223">
            <w:pPr>
              <w:spacing w:line="200" w:lineRule="exact"/>
            </w:pPr>
            <w:r>
              <w:rPr>
                <w:rFonts w:ascii="方正黑体_GBK" w:hAnsi="方正黑体_GBK" w:eastAsia="方正黑体_GBK" w:cs="宋体"/>
                <w:b/>
                <w:sz w:val="18"/>
                <w:szCs w:val="18"/>
              </w:rPr>
              <w:t>K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04700F3D">
            <w:pPr>
              <w:spacing w:line="200" w:lineRule="exact"/>
            </w:pPr>
            <w:r>
              <w:rPr>
                <w:rFonts w:ascii="方正黑体_GBK" w:hAnsi="方正黑体_GBK" w:eastAsia="方正黑体_GBK" w:cs="宋体"/>
                <w:b/>
                <w:sz w:val="18"/>
                <w:szCs w:val="18"/>
              </w:rPr>
              <w:t>M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4991920D">
            <w:pPr>
              <w:spacing w:line="200" w:lineRule="exact"/>
            </w:pPr>
            <w:r>
              <w:rPr>
                <w:rFonts w:ascii="方正黑体_GBK" w:hAnsi="方正黑体_GBK" w:eastAsia="方正黑体_GBK" w:cs="宋体"/>
                <w:b/>
                <w:sz w:val="18"/>
                <w:szCs w:val="18"/>
              </w:rPr>
              <w:t>N份额：申购/赎回确认日和产品实际到期时，当期产品投资的实际资产组合收益（扣除销售费、固定管理费、托管费等相关费用）超过3.25%（年化，即产品该份额对应的业绩报酬计提基准）时，超过部分管理人将按60%收取业绩报酬。</w:t>
            </w:r>
          </w:p>
          <w:p w14:paraId="5A3009BF">
            <w:pPr>
              <w:spacing w:line="200" w:lineRule="exact"/>
            </w:pPr>
            <w:r>
              <w:rPr>
                <w:rFonts w:ascii="方正黑体_GBK" w:hAnsi="方正黑体_GBK" w:eastAsia="方正黑体_GBK" w:cs="宋体"/>
                <w:b/>
                <w:sz w:val="18"/>
                <w:szCs w:val="18"/>
              </w:rPr>
              <w:t>O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2D3849C1">
            <w:pPr>
              <w:spacing w:line="200" w:lineRule="exact"/>
            </w:pPr>
            <w:r>
              <w:rPr>
                <w:rFonts w:ascii="方正黑体_GBK" w:hAnsi="方正黑体_GBK" w:eastAsia="方正黑体_GBK" w:cs="宋体"/>
                <w:b/>
                <w:sz w:val="18"/>
                <w:szCs w:val="18"/>
              </w:rPr>
              <w:t>A2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33677DAB">
            <w:pPr>
              <w:spacing w:line="200" w:lineRule="exact"/>
            </w:pPr>
            <w:r>
              <w:rPr>
                <w:rFonts w:ascii="方正黑体_GBK" w:hAnsi="方正黑体_GBK" w:eastAsia="方正黑体_GBK" w:cs="宋体"/>
                <w:b/>
                <w:sz w:val="18"/>
                <w:szCs w:val="18"/>
              </w:rPr>
              <w:t>B2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2D3B96EA">
            <w:pPr>
              <w:spacing w:line="200" w:lineRule="exact"/>
            </w:pPr>
            <w:r>
              <w:rPr>
                <w:rFonts w:ascii="方正黑体_GBK" w:hAnsi="方正黑体_GBK" w:eastAsia="方正黑体_GBK" w:cs="宋体"/>
                <w:b/>
                <w:sz w:val="18"/>
                <w:szCs w:val="18"/>
              </w:rPr>
              <w:t>C2份额：申购/赎回确认日和产品实际到期时，当期产品投资的实际资产组合收益（扣除销售费、固定管理费、托管费等相关费用）超过3.05%（年化，即产品该份额对应的业绩报酬计提基准）时，超过部分管理人将按60%收取业绩报酬。</w:t>
            </w:r>
          </w:p>
          <w:p w14:paraId="4EAFF975">
            <w:pPr>
              <w:spacing w:line="200" w:lineRule="exact"/>
            </w:pPr>
            <w:r>
              <w:rPr>
                <w:rFonts w:ascii="方正黑体_GBK" w:hAnsi="方正黑体_GBK" w:eastAsia="方正黑体_GBK" w:cs="宋体"/>
                <w:b/>
                <w:sz w:val="18"/>
                <w:szCs w:val="18"/>
              </w:rPr>
              <w:t>D2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7F14C967">
            <w:pPr>
              <w:spacing w:line="200" w:lineRule="exact"/>
            </w:pPr>
            <w:r>
              <w:rPr>
                <w:rFonts w:ascii="方正黑体_GBK" w:hAnsi="方正黑体_GBK" w:eastAsia="方正黑体_GBK" w:cs="宋体"/>
                <w:b/>
                <w:sz w:val="18"/>
                <w:szCs w:val="18"/>
              </w:rPr>
              <w:t>E2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7C1CEF11">
            <w:pPr>
              <w:spacing w:line="200" w:lineRule="exact"/>
            </w:pPr>
            <w:r>
              <w:rPr>
                <w:rFonts w:ascii="方正黑体_GBK" w:hAnsi="方正黑体_GBK" w:eastAsia="方正黑体_GBK" w:cs="宋体"/>
                <w:b/>
                <w:sz w:val="18"/>
                <w:szCs w:val="18"/>
              </w:rPr>
              <w:t>A3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0058EC2D">
            <w:pPr>
              <w:spacing w:line="200" w:lineRule="exact"/>
            </w:pPr>
            <w:r>
              <w:rPr>
                <w:rFonts w:ascii="方正黑体_GBK" w:hAnsi="方正黑体_GBK" w:eastAsia="方正黑体_GBK" w:cs="宋体"/>
                <w:b/>
                <w:sz w:val="18"/>
                <w:szCs w:val="18"/>
              </w:rPr>
              <w:t>B3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4D8D93A7">
            <w:pPr>
              <w:spacing w:line="200" w:lineRule="exact"/>
            </w:pPr>
            <w:r>
              <w:rPr>
                <w:rFonts w:ascii="方正黑体_GBK" w:hAnsi="方正黑体_GBK" w:eastAsia="方正黑体_GBK" w:cs="宋体"/>
                <w:b/>
                <w:sz w:val="18"/>
                <w:szCs w:val="18"/>
              </w:rPr>
              <w:t>C3份额：申购/赎回确认日和产品实际到期时，当期产品投资的实际资产组合收益（扣除销售费、固定管理费、托管费等相关费用）超过3.05%（年化，即产品该份额对应的业绩报酬计提基准）时，超过部分管理人将按60%收取业绩报酬。</w:t>
            </w:r>
          </w:p>
          <w:p w14:paraId="0BB3CD5F">
            <w:pPr>
              <w:spacing w:line="200" w:lineRule="exact"/>
            </w:pPr>
            <w:r>
              <w:rPr>
                <w:rFonts w:ascii="方正黑体_GBK" w:hAnsi="方正黑体_GBK" w:eastAsia="方正黑体_GBK" w:cs="宋体"/>
                <w:b/>
                <w:sz w:val="18"/>
                <w:szCs w:val="18"/>
              </w:rPr>
              <w:t>D3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5DA13347">
            <w:pPr>
              <w:spacing w:line="200" w:lineRule="exact"/>
            </w:pPr>
            <w:r>
              <w:rPr>
                <w:rFonts w:ascii="方正黑体_GBK" w:hAnsi="方正黑体_GBK" w:eastAsia="方正黑体_GBK" w:cs="宋体"/>
                <w:b/>
                <w:sz w:val="18"/>
                <w:szCs w:val="18"/>
              </w:rPr>
              <w:t>E3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5EFD1C96">
            <w:pPr>
              <w:spacing w:line="200" w:lineRule="exact"/>
            </w:pPr>
            <w:r>
              <w:rPr>
                <w:rFonts w:ascii="方正黑体_GBK" w:hAnsi="方正黑体_GBK" w:eastAsia="方正黑体_GBK" w:cs="宋体"/>
                <w:b/>
                <w:sz w:val="18"/>
                <w:szCs w:val="18"/>
              </w:rPr>
              <w:t>A4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22261FC8">
            <w:pPr>
              <w:spacing w:line="200" w:lineRule="exact"/>
            </w:pPr>
            <w:r>
              <w:rPr>
                <w:rFonts w:ascii="方正黑体_GBK" w:hAnsi="方正黑体_GBK" w:eastAsia="方正黑体_GBK" w:cs="宋体"/>
                <w:b/>
                <w:sz w:val="18"/>
                <w:szCs w:val="18"/>
              </w:rPr>
              <w:t>B4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65EBFCD9">
            <w:pPr>
              <w:spacing w:line="200" w:lineRule="exact"/>
            </w:pPr>
            <w:r>
              <w:rPr>
                <w:rFonts w:ascii="方正黑体_GBK" w:hAnsi="方正黑体_GBK" w:eastAsia="方正黑体_GBK" w:cs="宋体"/>
                <w:b/>
                <w:sz w:val="18"/>
                <w:szCs w:val="18"/>
              </w:rPr>
              <w:t>C4份额：申购/赎回确认日和产品实际到期时，当期产品投资的实际资产组合收益（扣除销售费、固定管理费、托管费等相关费用）超过3.05%（年化，即产品该份额对应的业绩报酬计提基准）时，超过部分管理人将按60%收取业绩报酬。</w:t>
            </w:r>
          </w:p>
          <w:p w14:paraId="62694C25">
            <w:pPr>
              <w:spacing w:line="200" w:lineRule="exact"/>
            </w:pPr>
            <w:r>
              <w:rPr>
                <w:rFonts w:ascii="方正黑体_GBK" w:hAnsi="方正黑体_GBK" w:eastAsia="方正黑体_GBK" w:cs="宋体"/>
                <w:b/>
                <w:sz w:val="18"/>
                <w:szCs w:val="18"/>
              </w:rPr>
              <w:t>D4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6F99A430">
            <w:pPr>
              <w:spacing w:line="200" w:lineRule="exact"/>
            </w:pPr>
            <w:r>
              <w:rPr>
                <w:rFonts w:ascii="方正黑体_GBK" w:hAnsi="方正黑体_GBK" w:eastAsia="方正黑体_GBK" w:cs="宋体"/>
                <w:b/>
                <w:sz w:val="18"/>
                <w:szCs w:val="18"/>
              </w:rPr>
              <w:t>E4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6991FA30">
            <w:pPr>
              <w:spacing w:line="200" w:lineRule="exact"/>
            </w:pPr>
            <w:r>
              <w:rPr>
                <w:rFonts w:ascii="方正黑体_GBK" w:hAnsi="方正黑体_GBK" w:eastAsia="方正黑体_GBK" w:cs="宋体"/>
                <w:b/>
                <w:sz w:val="18"/>
                <w:szCs w:val="18"/>
              </w:rPr>
              <w:t>F2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5316A2FA">
            <w:pPr>
              <w:spacing w:line="200" w:lineRule="exact"/>
            </w:pPr>
            <w:r>
              <w:rPr>
                <w:rFonts w:ascii="方正黑体_GBK" w:hAnsi="方正黑体_GBK" w:eastAsia="方正黑体_GBK" w:cs="宋体"/>
                <w:b/>
                <w:sz w:val="18"/>
                <w:szCs w:val="18"/>
              </w:rPr>
              <w:t>F3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6CBA39F8">
            <w:pPr>
              <w:spacing w:line="200" w:lineRule="exact"/>
            </w:pPr>
            <w:r>
              <w:rPr>
                <w:rFonts w:ascii="方正黑体_GBK" w:hAnsi="方正黑体_GBK" w:eastAsia="方正黑体_GBK" w:cs="宋体"/>
                <w:b/>
                <w:sz w:val="18"/>
                <w:szCs w:val="18"/>
              </w:rPr>
              <w:t>G2份额：申购/赎回确认日和产品实际到期时，当期产品投资的实际资产组合收益（扣除销售费、固定管理费、托管费等相关费用）超过3.15%（年化，即产品该份额对应的业绩报酬计提基准）时，超过部分管理人将按60%收取业绩报酬。</w:t>
            </w:r>
          </w:p>
          <w:p w14:paraId="319C2255">
            <w:pPr>
              <w:spacing w:line="200" w:lineRule="exact"/>
            </w:pPr>
            <w:r>
              <w:rPr>
                <w:rFonts w:ascii="方正黑体_GBK" w:hAnsi="方正黑体_GBK" w:eastAsia="方正黑体_GBK" w:cs="宋体"/>
                <w:b/>
                <w:sz w:val="18"/>
                <w:szCs w:val="18"/>
              </w:rPr>
              <w:t>G3份额：申购/赎回确认日和产品实际到期时，当期产品投资的实际资产组合收益（扣除销售费、固定管理费、托管费等相关费用）超过3.15%（年化，即产品该份额对应的业绩报酬计提基准）时，超过部分管理人将按60%收取业绩报酬。</w:t>
            </w:r>
          </w:p>
          <w:p w14:paraId="4536DC86">
            <w:pPr>
              <w:spacing w:line="200" w:lineRule="exact"/>
            </w:pPr>
            <w:r>
              <w:rPr>
                <w:rFonts w:ascii="方正黑体_GBK" w:hAnsi="方正黑体_GBK" w:eastAsia="方正黑体_GBK" w:cs="宋体"/>
                <w:b/>
                <w:sz w:val="18"/>
                <w:szCs w:val="18"/>
              </w:rPr>
              <w:t>F4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76D5EF61">
            <w:pPr>
              <w:spacing w:line="200" w:lineRule="exact"/>
            </w:pPr>
            <w:r>
              <w:rPr>
                <w:rFonts w:ascii="方正黑体_GBK" w:hAnsi="方正黑体_GBK" w:eastAsia="方正黑体_GBK" w:cs="宋体"/>
                <w:b/>
                <w:sz w:val="18"/>
                <w:szCs w:val="18"/>
              </w:rPr>
              <w:t>G4份额：申购/赎回确认日和产品实际到期时，当期产品投资的实际资产组合收益（扣除销售费、固定管理费、托管费等相关费用）超过3.15%（年化，即产品该份额对应的业绩报酬计提基准）时，超过部分管理人将按60%收取业绩报酬。</w:t>
            </w:r>
          </w:p>
          <w:p w14:paraId="5399AFDA">
            <w:pPr>
              <w:spacing w:line="200" w:lineRule="exact"/>
            </w:pPr>
            <w:r>
              <w:rPr>
                <w:rFonts w:ascii="方正黑体_GBK" w:hAnsi="方正黑体_GBK" w:eastAsia="方正黑体_GBK" w:cs="宋体"/>
                <w:b/>
                <w:sz w:val="18"/>
                <w:szCs w:val="18"/>
              </w:rPr>
              <w:t>H4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410E0A66">
            <w:pPr>
              <w:spacing w:line="200" w:lineRule="exact"/>
            </w:pPr>
            <w:r>
              <w:rPr>
                <w:rFonts w:ascii="方正黑体_GBK" w:hAnsi="方正黑体_GBK" w:eastAsia="方正黑体_GBK" w:cs="宋体"/>
                <w:b/>
                <w:sz w:val="18"/>
                <w:szCs w:val="18"/>
              </w:rPr>
              <w:t>I2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2EDBBC71">
            <w:pPr>
              <w:spacing w:line="200" w:lineRule="exact"/>
            </w:pPr>
            <w:r>
              <w:rPr>
                <w:rFonts w:ascii="方正黑体_GBK" w:hAnsi="方正黑体_GBK" w:eastAsia="方正黑体_GBK" w:cs="宋体"/>
                <w:b/>
                <w:sz w:val="18"/>
                <w:szCs w:val="18"/>
              </w:rPr>
              <w:t>J2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2323EA41">
            <w:pPr>
              <w:spacing w:line="200" w:lineRule="exact"/>
            </w:pPr>
            <w:r>
              <w:rPr>
                <w:rFonts w:ascii="方正黑体_GBK" w:hAnsi="方正黑体_GBK" w:eastAsia="方正黑体_GBK" w:cs="宋体"/>
                <w:b/>
                <w:sz w:val="18"/>
                <w:szCs w:val="18"/>
              </w:rPr>
              <w:t>K2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6A46D3B6">
            <w:pPr>
              <w:spacing w:line="200" w:lineRule="exact"/>
            </w:pPr>
            <w:r>
              <w:rPr>
                <w:rFonts w:ascii="方正黑体_GBK" w:hAnsi="方正黑体_GBK" w:eastAsia="方正黑体_GBK" w:cs="宋体"/>
                <w:b/>
                <w:sz w:val="18"/>
                <w:szCs w:val="18"/>
              </w:rPr>
              <w:t>J3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0804A350">
            <w:pPr>
              <w:spacing w:line="200" w:lineRule="exact"/>
            </w:pPr>
            <w:r>
              <w:rPr>
                <w:rFonts w:ascii="方正黑体_GBK" w:hAnsi="方正黑体_GBK" w:eastAsia="方正黑体_GBK" w:cs="宋体"/>
                <w:b/>
                <w:sz w:val="18"/>
                <w:szCs w:val="18"/>
              </w:rPr>
              <w:t>K3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2B26E3A0">
            <w:pPr>
              <w:spacing w:line="200" w:lineRule="exact"/>
            </w:pPr>
            <w:r>
              <w:rPr>
                <w:rFonts w:ascii="方正黑体_GBK" w:hAnsi="方正黑体_GBK" w:eastAsia="方正黑体_GBK" w:cs="宋体"/>
                <w:b/>
                <w:sz w:val="18"/>
                <w:szCs w:val="18"/>
              </w:rPr>
              <w:t>L3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3A7C4D0C">
            <w:pPr>
              <w:spacing w:line="200" w:lineRule="exact"/>
            </w:pPr>
            <w:r>
              <w:rPr>
                <w:rFonts w:ascii="方正黑体_GBK" w:hAnsi="方正黑体_GBK" w:eastAsia="方正黑体_GBK" w:cs="宋体"/>
                <w:b/>
                <w:sz w:val="18"/>
                <w:szCs w:val="18"/>
              </w:rPr>
              <w:t>J4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4C11488F">
            <w:pPr>
              <w:spacing w:line="200" w:lineRule="exact"/>
            </w:pPr>
            <w:r>
              <w:rPr>
                <w:rFonts w:ascii="方正黑体_GBK" w:hAnsi="方正黑体_GBK" w:eastAsia="方正黑体_GBK" w:cs="宋体"/>
                <w:b/>
                <w:sz w:val="18"/>
                <w:szCs w:val="18"/>
              </w:rPr>
              <w:t>K4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1FBBFAD0">
            <w:pPr>
              <w:spacing w:line="200" w:lineRule="exact"/>
            </w:pPr>
            <w:r>
              <w:rPr>
                <w:rFonts w:ascii="方正黑体_GBK" w:hAnsi="方正黑体_GBK" w:eastAsia="方正黑体_GBK" w:cs="宋体"/>
                <w:b/>
                <w:sz w:val="18"/>
                <w:szCs w:val="18"/>
              </w:rPr>
              <w:t>I4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4DEE9BCE">
            <w:pPr>
              <w:spacing w:line="200" w:lineRule="exact"/>
            </w:pPr>
            <w:r>
              <w:rPr>
                <w:rFonts w:ascii="方正黑体_GBK" w:hAnsi="方正黑体_GBK" w:eastAsia="方正黑体_GBK" w:cs="宋体"/>
                <w:b/>
                <w:sz w:val="18"/>
                <w:szCs w:val="18"/>
              </w:rPr>
              <w:t>M2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052BAFC9">
            <w:pPr>
              <w:spacing w:line="200" w:lineRule="exact"/>
            </w:pPr>
            <w:r>
              <w:rPr>
                <w:rFonts w:ascii="方正黑体_GBK" w:hAnsi="方正黑体_GBK" w:eastAsia="方正黑体_GBK" w:cs="宋体"/>
                <w:b/>
                <w:sz w:val="18"/>
                <w:szCs w:val="18"/>
              </w:rPr>
              <w:t>M3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01446382">
            <w:pPr>
              <w:spacing w:line="200" w:lineRule="exact"/>
            </w:pPr>
            <w:r>
              <w:rPr>
                <w:rFonts w:ascii="方正黑体_GBK" w:hAnsi="方正黑体_GBK" w:eastAsia="方正黑体_GBK" w:cs="宋体"/>
                <w:b/>
                <w:sz w:val="18"/>
                <w:szCs w:val="18"/>
              </w:rPr>
              <w:t>M4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0E6AFD89">
            <w:pPr>
              <w:spacing w:line="200" w:lineRule="exact"/>
            </w:pPr>
            <w:r>
              <w:rPr>
                <w:rFonts w:ascii="方正黑体_GBK" w:hAnsi="方正黑体_GBK" w:eastAsia="方正黑体_GBK" w:cs="宋体"/>
                <w:b/>
                <w:sz w:val="18"/>
                <w:szCs w:val="18"/>
              </w:rPr>
              <w:t>O2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7538563B">
            <w:pPr>
              <w:spacing w:line="200" w:lineRule="exact"/>
            </w:pPr>
            <w:r>
              <w:rPr>
                <w:rFonts w:ascii="方正黑体_GBK" w:hAnsi="方正黑体_GBK" w:eastAsia="方正黑体_GBK" w:cs="宋体"/>
                <w:b/>
                <w:sz w:val="18"/>
                <w:szCs w:val="18"/>
              </w:rPr>
              <w:t>O3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3C2BAACA">
            <w:pPr>
              <w:spacing w:line="200" w:lineRule="exact"/>
            </w:pPr>
            <w:r>
              <w:rPr>
                <w:rFonts w:ascii="方正黑体_GBK" w:hAnsi="方正黑体_GBK" w:eastAsia="方正黑体_GBK" w:cs="宋体"/>
                <w:b/>
                <w:sz w:val="18"/>
                <w:szCs w:val="18"/>
              </w:rPr>
              <w:t>O4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0599907D">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68CE0D33">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41FC2CC1">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2C5B88D4">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65F8BA6">
            <w:pPr>
              <w:spacing w:line="200" w:lineRule="exact"/>
            </w:pPr>
            <w:r>
              <w:rPr>
                <w:rFonts w:ascii="方正黑体_GBK" w:hAnsi="方正黑体_GBK" w:eastAsia="方正黑体_GBK" w:cs="宋体"/>
                <w:b/>
                <w:sz w:val="18"/>
                <w:szCs w:val="18"/>
              </w:rPr>
              <w:t>计算本区间业绩报酬的公式如下：</w:t>
            </w:r>
          </w:p>
          <w:p w14:paraId="076E0642">
            <w:pPr>
              <w:spacing w:line="200" w:lineRule="exact"/>
            </w:pPr>
            <w:r>
              <w:rPr>
                <w:rFonts w:ascii="方正黑体_GBK" w:hAnsi="方正黑体_GBK" w:eastAsia="方正黑体_GBK" w:cs="宋体"/>
                <w:b/>
                <w:sz w:val="18"/>
                <w:szCs w:val="18"/>
              </w:rPr>
              <w:t>A={B-C*D*(1+E*F/365)}*G。</w:t>
            </w:r>
          </w:p>
          <w:p w14:paraId="4DF817AF">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47AECC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34E5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45E5B99D">
            <w:pPr>
              <w:spacing w:line="200" w:lineRule="exact"/>
              <w:jc w:val="left"/>
            </w:pPr>
            <w:r>
              <w:rPr>
                <w:rFonts w:ascii="方正黑体_GBK" w:hAnsi="方正黑体_GBK" w:eastAsia="方正黑体_GBK" w:cs="宋体"/>
                <w:color w:val="000000"/>
                <w:sz w:val="18"/>
                <w:szCs w:val="18"/>
              </w:rPr>
              <w:t>具体参见本理财产品风险揭示书。</w:t>
            </w:r>
          </w:p>
          <w:p w14:paraId="4E2C8B2B">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69AB7D9C">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0AD2AB6E">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66D1792E">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14:paraId="1E50AD02">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14:paraId="53F905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2C0E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77102AD">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451143B2">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6E9E07C0">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5A42D190">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5B0B76AB">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424494E6">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04D35B0A">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B4030F8">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09DF09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ACDD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312C540F">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嘉兴银行股份有限公司、江苏常熟农村商业银行股份有限公司、江苏苏州农村商业银行股份有限公司、秦皇岛银行股份有限公司、齐鲁银行股份有限公司、贵阳银行股份有限公司、云南红塔银行股份有限公司、中原银行股份有限公司、九江银行股份有限公司、天津农村商业银行股份有限公司、江苏紫金农村商业银行股份有限公司、苏州银行股份有限公司、桂林银行股份有限公司、宁波通商银行股份有限公司、石嘴山银行股份有限公司、江苏丹阳农村商业银行股份有限公司、江苏宜兴农村商业银行股份有限公司、江苏靖江农村商业银行股份有限公司、江苏民丰农村商业银行股份有限公司、江苏建湖农村商业银行股份有限公司、江苏南通农村商业银行股份有限公司、江苏扬州农村商业银行股份有限公司、江苏大丰农村商业银行股份有限公司、江苏镇江农村商业银行股份有限公司、徐州农村商业银行股份有限公司、江苏苏商银行股份有限公司、江苏丰县农村商业银行股份有限公司、江苏句容农村商业银行股份有限公司、廊坊银行股份有限公司、乌鲁木齐银行股份有限公司、河北银行股份有限公司、江苏沛县农村商业银行股份有限公司、交通银行股份有限公司、江苏仪征农村商业银行股份有限公司、成都银行股份有限公司、广发银行股份有限公司、江苏沭阳农村商业银行股份有限公司。管理人有权调整本理财产品的销售机构并进行信息披露。</w:t>
            </w:r>
          </w:p>
          <w:p w14:paraId="5E992C02">
            <w:pPr>
              <w:spacing w:line="200" w:lineRule="exact"/>
              <w:jc w:val="left"/>
            </w:pPr>
            <w:r>
              <w:rPr>
                <w:rFonts w:ascii="方正黑体_GBK" w:hAnsi="方正黑体_GBK" w:eastAsia="方正黑体_GBK" w:cs="宋体"/>
                <w:sz w:val="18"/>
                <w:szCs w:val="18"/>
              </w:rPr>
              <w:t>销售机构主要职责如下：</w:t>
            </w:r>
          </w:p>
          <w:p w14:paraId="021B8B38">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4EA6A4AB">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69E8A025">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29381C2">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2401586C">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CA0F26B">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5A8F10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CB6B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9B9628C">
            <w:pPr>
              <w:spacing w:line="200" w:lineRule="exact"/>
            </w:pPr>
            <w:r>
              <w:rPr>
                <w:rFonts w:ascii="方正黑体_GBK" w:hAnsi="方正黑体_GBK" w:eastAsia="方正黑体_GBK" w:cs="宋体"/>
                <w:sz w:val="18"/>
                <w:szCs w:val="18"/>
              </w:rPr>
              <w:t>本理财产品托管人为南京银行股份有限公司，主要职责如下：</w:t>
            </w:r>
          </w:p>
          <w:p w14:paraId="7F7B19D4">
            <w:pPr>
              <w:spacing w:line="200" w:lineRule="exact"/>
            </w:pPr>
            <w:r>
              <w:rPr>
                <w:rFonts w:ascii="方正黑体_GBK" w:hAnsi="方正黑体_GBK" w:eastAsia="方正黑体_GBK" w:cs="宋体"/>
                <w:sz w:val="18"/>
                <w:szCs w:val="18"/>
              </w:rPr>
              <w:t>1.安全保管理财产品财产；</w:t>
            </w:r>
          </w:p>
          <w:p w14:paraId="4E55503B">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1BAE21EB">
            <w:pPr>
              <w:spacing w:line="200" w:lineRule="exact"/>
            </w:pPr>
            <w:r>
              <w:rPr>
                <w:rFonts w:ascii="方正黑体_GBK" w:hAnsi="方正黑体_GBK" w:eastAsia="方正黑体_GBK" w:cs="宋体"/>
                <w:sz w:val="18"/>
                <w:szCs w:val="18"/>
              </w:rPr>
              <w:t>3.按照托管协议约定和管理人的投资指令，及时办理清算、交割事宜；</w:t>
            </w:r>
          </w:p>
          <w:p w14:paraId="05CDF8D8">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138D7101">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09D729BD">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92137BA">
            <w:pPr>
              <w:spacing w:line="200" w:lineRule="exact"/>
            </w:pPr>
            <w:r>
              <w:rPr>
                <w:rFonts w:ascii="方正黑体_GBK" w:hAnsi="方正黑体_GBK" w:eastAsia="方正黑体_GBK" w:cs="宋体"/>
                <w:sz w:val="18"/>
                <w:szCs w:val="18"/>
              </w:rPr>
              <w:t>7.理财托管业务活动的记录、账册、报表和其他相关资料保存20年以上；</w:t>
            </w:r>
          </w:p>
          <w:p w14:paraId="185186DB">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5BB6EB89">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721CFC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4153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4DF589DB">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14:paraId="334D4B2C">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重庆国际信托股份有限公司。</w:t>
            </w:r>
          </w:p>
          <w:p w14:paraId="3D2F8B86">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42305369">
            <w:pPr>
              <w:spacing w:line="200" w:lineRule="exact"/>
            </w:pPr>
            <w:r>
              <w:rPr>
                <w:rFonts w:ascii="方正黑体_GBK" w:hAnsi="方正黑体_GBK" w:eastAsia="方正黑体_GBK" w:cs="宋体"/>
                <w:sz w:val="18"/>
                <w:szCs w:val="18"/>
              </w:rPr>
              <w:t>上述投资合作机构简介：</w:t>
            </w:r>
          </w:p>
          <w:p w14:paraId="7606DA1B">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13C6770E">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31EFE92A">
            <w:pPr>
              <w:spacing w:line="200" w:lineRule="exact"/>
            </w:pPr>
            <w:r>
              <w:rPr>
                <w:rFonts w:ascii="方正黑体_GBK" w:hAnsi="方正黑体_GBK" w:eastAsia="方正黑体_GBK" w:cs="宋体"/>
                <w:sz w:val="18"/>
                <w:szCs w:val="18"/>
              </w:rPr>
              <w:t>广东粤财信托有限公司成立于1985年03月07日，注册资本金380000万元。</w:t>
            </w:r>
          </w:p>
          <w:p w14:paraId="406CB1F9">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4DFD00C7">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6495CAFC">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3C97C59A">
            <w:pPr>
              <w:spacing w:line="200" w:lineRule="exact"/>
            </w:pPr>
            <w:r>
              <w:rPr>
                <w:rFonts w:ascii="方正黑体_GBK" w:hAnsi="方正黑体_GBK" w:eastAsia="方正黑体_GBK" w:cs="宋体"/>
                <w:sz w:val="18"/>
                <w:szCs w:val="18"/>
              </w:rPr>
              <w:t>华鑫国际信托有限公司成立于1984年06月01日，注册资本金73.95亿元。</w:t>
            </w:r>
          </w:p>
          <w:p w14:paraId="4DB6EB3D">
            <w:pPr>
              <w:spacing w:line="200" w:lineRule="exact"/>
            </w:pPr>
            <w:r>
              <w:rPr>
                <w:rFonts w:ascii="方正黑体_GBK" w:hAnsi="方正黑体_GBK" w:eastAsia="方正黑体_GBK" w:cs="宋体"/>
                <w:sz w:val="18"/>
                <w:szCs w:val="18"/>
              </w:rPr>
              <w:t>建信保险资产管理有限公司成立于2016年04月27日，注册资本金3亿元。</w:t>
            </w:r>
          </w:p>
          <w:p w14:paraId="05B20FCE">
            <w:pPr>
              <w:spacing w:line="200" w:lineRule="exact"/>
            </w:pPr>
            <w:r>
              <w:rPr>
                <w:rFonts w:ascii="方正黑体_GBK" w:hAnsi="方正黑体_GBK" w:eastAsia="方正黑体_GBK" w:cs="宋体"/>
                <w:sz w:val="18"/>
                <w:szCs w:val="18"/>
              </w:rPr>
              <w:t>泰康资产管理有限责任公司成立于2006年02月21日，注册资本金10亿元。</w:t>
            </w:r>
          </w:p>
          <w:p w14:paraId="6E22CFB2">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6D689115">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2FD4F974">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326D4DF0">
            <w:pPr>
              <w:spacing w:line="200" w:lineRule="exact"/>
            </w:pPr>
            <w:r>
              <w:rPr>
                <w:rFonts w:ascii="方正黑体_GBK" w:hAnsi="方正黑体_GBK" w:eastAsia="方正黑体_GBK" w:cs="宋体"/>
                <w:sz w:val="18"/>
                <w:szCs w:val="18"/>
              </w:rPr>
              <w:t>中粮信托有限责任公司成立于2009年07月27日，注册资本金28.3亿元。</w:t>
            </w:r>
          </w:p>
          <w:p w14:paraId="134D4495">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0925D5F3">
            <w:pPr>
              <w:spacing w:line="200" w:lineRule="exact"/>
            </w:pPr>
            <w:r>
              <w:rPr>
                <w:rFonts w:ascii="方正黑体_GBK" w:hAnsi="方正黑体_GBK" w:eastAsia="方正黑体_GBK" w:cs="宋体"/>
                <w:sz w:val="18"/>
                <w:szCs w:val="18"/>
              </w:rPr>
              <w:t>重庆国际信托股份有限公司成立于1984年10月22日，注册资本金150亿元。</w:t>
            </w:r>
          </w:p>
        </w:tc>
      </w:tr>
      <w:tr w14:paraId="6B7ACC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70B5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452FB23B">
            <w:pPr>
              <w:spacing w:line="200" w:lineRule="exact"/>
              <w:jc w:val="left"/>
            </w:pPr>
            <w:r>
              <w:rPr>
                <w:rFonts w:ascii="方正黑体_GBK" w:hAns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14:paraId="732FFDEC">
            <w:pPr>
              <w:spacing w:line="200" w:lineRule="exact"/>
              <w:jc w:val="left"/>
            </w:pPr>
            <w:r>
              <w:rPr>
                <w:rFonts w:ascii="方正黑体_GBK" w:hAnsi="方正黑体_GBK" w:eastAsia="方正黑体_GBK" w:cs="宋体"/>
                <w:color w:val="000000"/>
                <w:sz w:val="18"/>
                <w:szCs w:val="18"/>
              </w:rPr>
              <w:t>1.接受全额赎回：当管理人认为有能力兑付投资者的全部赎回申请时，将在赎回确认日按正常赎回程序执行；</w:t>
            </w:r>
          </w:p>
          <w:p w14:paraId="56D6D50B">
            <w:pPr>
              <w:spacing w:line="200" w:lineRule="exact"/>
              <w:jc w:val="left"/>
            </w:pPr>
            <w:r>
              <w:rPr>
                <w:rFonts w:ascii="方正黑体_GBK" w:hAns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14:paraId="6016BFF0">
            <w:pPr>
              <w:spacing w:line="200" w:lineRule="exact"/>
              <w:jc w:val="left"/>
            </w:pPr>
            <w:r>
              <w:rPr>
                <w:rFonts w:ascii="方正黑体_GBK" w:hAns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14:paraId="598F4481">
            <w:pPr>
              <w:spacing w:line="200" w:lineRule="exact"/>
              <w:jc w:val="left"/>
            </w:pPr>
            <w:r>
              <w:rPr>
                <w:rFonts w:ascii="方正黑体_GBK" w:hAnsi="方正黑体_GBK" w:eastAsia="方正黑体_GBK" w:cs="宋体"/>
                <w:color w:val="000000"/>
                <w:sz w:val="18"/>
                <w:szCs w:val="18"/>
              </w:rPr>
              <w:t>（2）对于暂停接受的部分，管理人将拒绝该部分赎回申请，投资者可在下一个产品开放日再次发起赎回申请。</w:t>
            </w:r>
          </w:p>
          <w:p w14:paraId="05940E61">
            <w:pPr>
              <w:spacing w:line="200" w:lineRule="exact"/>
              <w:jc w:val="left"/>
            </w:pPr>
            <w:r>
              <w:rPr>
                <w:rFonts w:ascii="方正黑体_GBK" w:hAns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14:paraId="7021DD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6F79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2BE9CA1F">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7FE027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7C6A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3FE171B3">
            <w:pPr>
              <w:spacing w:line="200" w:lineRule="exact"/>
            </w:pPr>
            <w:r>
              <w:rPr>
                <w:rFonts w:ascii="方正黑体_GBK" w:hAnsi="方正黑体_GBK" w:eastAsia="方正黑体_GBK" w:cs="宋体"/>
                <w:sz w:val="18"/>
                <w:szCs w:val="18"/>
              </w:rPr>
              <w:t>发生下列情形时，管理人可暂停接受投资者认申购申请：</w:t>
            </w:r>
          </w:p>
          <w:p w14:paraId="4F4D933B">
            <w:pPr>
              <w:spacing w:line="200" w:lineRule="exact"/>
            </w:pPr>
            <w:r>
              <w:rPr>
                <w:rFonts w:ascii="方正黑体_GBK" w:hAnsi="方正黑体_GBK" w:eastAsia="方正黑体_GBK" w:cs="宋体"/>
                <w:sz w:val="18"/>
                <w:szCs w:val="18"/>
              </w:rPr>
              <w:t>1.因不可抗力导致理财产品无法正常运作；</w:t>
            </w:r>
          </w:p>
          <w:p w14:paraId="6A3FCC92">
            <w:pPr>
              <w:spacing w:line="200" w:lineRule="exact"/>
            </w:pPr>
            <w:r>
              <w:rPr>
                <w:rFonts w:ascii="方正黑体_GBK" w:hAnsi="方正黑体_GBK" w:eastAsia="方正黑体_GBK" w:cs="宋体"/>
                <w:sz w:val="18"/>
                <w:szCs w:val="18"/>
              </w:rPr>
              <w:t>2.因监管政策、市场发生重大变化，导致理财产品无法正常运作；</w:t>
            </w:r>
          </w:p>
          <w:p w14:paraId="03C4AD86">
            <w:pPr>
              <w:spacing w:line="200" w:lineRule="exact"/>
            </w:pPr>
            <w:r>
              <w:rPr>
                <w:rFonts w:ascii="方正黑体_GBK" w:hAnsi="方正黑体_GBK" w:eastAsia="方正黑体_GBK" w:cs="宋体"/>
                <w:sz w:val="18"/>
                <w:szCs w:val="18"/>
              </w:rPr>
              <w:t>3.管理人认为需要暂停认申购的其他情形。</w:t>
            </w:r>
          </w:p>
          <w:p w14:paraId="76DEF625">
            <w:pPr>
              <w:spacing w:line="200" w:lineRule="exact"/>
            </w:pPr>
            <w:r>
              <w:rPr>
                <w:rFonts w:ascii="方正黑体_GBK" w:hAnsi="方正黑体_GBK" w:eastAsia="方正黑体_GBK" w:cs="宋体"/>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5E8C29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71EF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14:paraId="0E6DAC8E">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14:paraId="4F2DC2E9">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14:paraId="4A3FA0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A585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7A6E6A8D">
            <w:pPr>
              <w:spacing w:line="200" w:lineRule="exact"/>
              <w:jc w:val="left"/>
            </w:pPr>
            <w:r>
              <w:rPr>
                <w:rFonts w:ascii="方正黑体_GBK" w:hAnsi="方正黑体_GBK" w:eastAsia="方正黑体_GBK" w:cs="宋体"/>
                <w:sz w:val="18"/>
                <w:szCs w:val="18"/>
              </w:rPr>
              <w:t>1.本理财产品开放日内非操作时间不能进行申购/赎回申请，封闭期内不开放申购/赎回申请。</w:t>
            </w:r>
          </w:p>
          <w:p w14:paraId="1153DDE7">
            <w:pPr>
              <w:spacing w:line="200" w:lineRule="exact"/>
              <w:jc w:val="left"/>
            </w:pPr>
            <w:r>
              <w:rPr>
                <w:rFonts w:ascii="方正黑体_GBK" w:hAnsi="方正黑体_GBK" w:eastAsia="方正黑体_GBK" w:cs="宋体"/>
                <w:sz w:val="18"/>
                <w:szCs w:val="18"/>
              </w:rPr>
              <w:t>2.管理人在本理财产品存续期间按照监管规定进行信息披露，详见本理财产品说明书第五条信息披露。</w:t>
            </w:r>
          </w:p>
          <w:p w14:paraId="318D386E">
            <w:pPr>
              <w:spacing w:line="200" w:lineRule="exact"/>
              <w:jc w:val="left"/>
            </w:pPr>
            <w:r>
              <w:rPr>
                <w:rFonts w:ascii="方正黑体_GBK" w:hAnsi="方正黑体_GBK" w:eastAsia="方正黑体_GBK" w:cs="宋体"/>
                <w:b/>
                <w:sz w:val="18"/>
                <w:szCs w:val="18"/>
              </w:rPr>
              <w:t>3.本理财产品投资的资产管理产品的业绩报酬、赎回费等的提取（如有）可能造成本理财产品净值的下降。</w:t>
            </w:r>
          </w:p>
          <w:p w14:paraId="016BBBF1">
            <w:pPr>
              <w:spacing w:line="200" w:lineRule="exact"/>
            </w:pPr>
            <w:r>
              <w:rPr>
                <w:rFonts w:ascii="方正黑体_GBK" w:hAns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14:paraId="608564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D094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41A052B7">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5E909CD">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5A99DB9E">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21692BB3">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C05BB5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7BA405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5073CAE2">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0B48BFC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DDC36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C2B386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3DFCAC4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5A602A0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32A57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677F08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97C69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4827F12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5B0142B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2A48990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8493A4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2AF78D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435D44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3E345A7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5A337D2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5EDAAF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0FF4CF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A8242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15F0CFB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7A817E1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6C5CAC7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3DA99A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44C5A7C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28AF0C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3460565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6606900">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南银理财珠联璧合安稳1908一年定开公募人民币理财产品</w:t>
      </w:r>
      <w:r>
        <w:rPr>
          <w:rFonts w:hint="eastAsia" w:ascii="方正黑体_GBK" w:hAnsi="方正黑体_GBK" w:eastAsia="方正黑体_GBK"/>
          <w:vanish w:val="0"/>
          <w:color w:val="3D3D3D"/>
          <w:kern w:val="0"/>
          <w:sz w:val="15"/>
          <w:szCs w:val="15"/>
        </w:rPr>
        <w:t>。</w:t>
      </w:r>
    </w:p>
    <w:p w14:paraId="70BC169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1AB5EB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310F96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481EF0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A4966E6">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1606D1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AE935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3FB961D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1C1AF6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475913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D3982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424872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129022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3074E4C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48B825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F5B236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6BFBBD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6B0705D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17D9FF97">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236B23F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5DCF1BC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476BD77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37F2E23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3E9DE57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7F86E1A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95D4A4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FC7106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F510055">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98A0A1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9436D6B">
      <w:pPr>
        <w:spacing w:line="200" w:lineRule="exact"/>
        <w:ind w:firstLine="280"/>
        <w:jc w:val="left"/>
      </w:pPr>
      <w:r>
        <w:rPr>
          <w:rFonts w:ascii="方正黑体_GBK" w:hAnsi="方正黑体_GBK" w:eastAsia="方正黑体_GBK" w:cs="宋体"/>
          <w:sz w:val="15"/>
          <w:szCs w:val="20"/>
        </w:rPr>
        <w:t>假设：投资者认购本理财产品10万元，成立日当日产品净值为1.0000元，折算份额100,000份。</w:t>
      </w:r>
    </w:p>
    <w:p w14:paraId="6635E2B8">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情景示例一：产品实际到期日，扣除所有税费后（如有业绩报酬，已扣除）的赎回确认每份额净值为1.0300，则客户在资金到帐日收到到期款项为103,000元。</w:t>
      </w:r>
    </w:p>
    <w:p w14:paraId="01923D36">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情景示例二：产品实际到期日，扣除所有税费后（如有业绩报酬，已扣除）的赎回确认每份额净值为0.9700，则客户在资金到帐日收到到期款项为97,000元。</w:t>
      </w:r>
    </w:p>
    <w:p w14:paraId="016A6159">
      <w:pPr>
        <w:spacing w:line="200" w:lineRule="exact"/>
      </w:pPr>
      <w:r>
        <w:rPr>
          <w:rFonts w:ascii="方正黑体_GBK" w:hAnsi="方正黑体_GBK" w:eastAsia="方正黑体_GBK" w:cs="宋体"/>
          <w:sz w:val="15"/>
          <w:szCs w:val="20"/>
        </w:rPr>
        <w:t xml:space="preserve"> 以上数据为假设情形中的模拟数据，不代表实际收益，投资需谨慎。</w:t>
      </w:r>
    </w:p>
    <w:p w14:paraId="5556146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367211AC">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B5563E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48BFBD84">
      <w:pPr>
        <w:spacing w:line="200" w:lineRule="exact"/>
        <w:ind w:firstLine="300"/>
        <w:jc w:val="both"/>
      </w:pPr>
      <w:r>
        <w:rPr>
          <w:rFonts w:ascii="方正黑体_GBK" w:hAnsi="方正黑体_GBK" w:eastAsia="方正黑体_GBK" w:cs="宋体"/>
          <w:sz w:val="15"/>
          <w:szCs w:val="20"/>
        </w:rPr>
        <w:t>（一）估值日</w:t>
      </w:r>
    </w:p>
    <w:p w14:paraId="760AEA37">
      <w:pPr>
        <w:spacing w:line="200" w:lineRule="exact"/>
        <w:ind w:firstLine="300"/>
        <w:jc w:val="both"/>
      </w:pPr>
      <w:r>
        <w:rPr>
          <w:rFonts w:ascii="方正黑体_GBK" w:hAnsi="方正黑体_GBK" w:eastAsia="方正黑体_GBK" w:cs="宋体"/>
          <w:sz w:val="15"/>
          <w:szCs w:val="20"/>
        </w:rPr>
        <w:t>本理财产品每个工作日进行估值。</w:t>
      </w:r>
    </w:p>
    <w:p w14:paraId="137188B5">
      <w:pPr>
        <w:spacing w:line="200" w:lineRule="exact"/>
        <w:ind w:firstLine="300"/>
        <w:jc w:val="both"/>
      </w:pPr>
      <w:r>
        <w:rPr>
          <w:rFonts w:ascii="方正黑体_GBK" w:hAnsi="方正黑体_GBK" w:eastAsia="方正黑体_GBK" w:cs="宋体"/>
          <w:sz w:val="15"/>
          <w:szCs w:val="20"/>
        </w:rPr>
        <w:t>（二）估值对象</w:t>
      </w:r>
    </w:p>
    <w:p w14:paraId="1E0C12B2">
      <w:pPr>
        <w:spacing w:line="200" w:lineRule="exact"/>
        <w:ind w:firstLine="300"/>
        <w:jc w:val="both"/>
      </w:pPr>
      <w:r>
        <w:rPr>
          <w:rFonts w:ascii="方正黑体_GBK" w:hAnsi="方正黑体_GBK" w:eastAsia="方正黑体_GBK" w:cs="宋体"/>
          <w:sz w:val="15"/>
          <w:szCs w:val="20"/>
        </w:rPr>
        <w:t>本理财产品所拥有的所有资产及负债。</w:t>
      </w:r>
    </w:p>
    <w:p w14:paraId="5ACFDBE0">
      <w:pPr>
        <w:spacing w:line="200" w:lineRule="exact"/>
        <w:ind w:firstLine="300"/>
        <w:jc w:val="both"/>
      </w:pPr>
      <w:r>
        <w:rPr>
          <w:rFonts w:ascii="方正黑体_GBK" w:hAnsi="方正黑体_GBK" w:eastAsia="方正黑体_GBK" w:cs="宋体"/>
          <w:sz w:val="15"/>
          <w:szCs w:val="20"/>
        </w:rPr>
        <w:t>（三）估值目的</w:t>
      </w:r>
    </w:p>
    <w:p w14:paraId="4402E72F">
      <w:pPr>
        <w:spacing w:line="200" w:lineRule="exact"/>
        <w:ind w:firstLine="300"/>
        <w:jc w:val="both"/>
      </w:pPr>
      <w:r>
        <w:rPr>
          <w:rFonts w:ascii="方正黑体_GBK" w:hAnsi="方正黑体_GBK" w:eastAsia="方正黑体_GBK" w:cs="宋体"/>
          <w:sz w:val="15"/>
          <w:szCs w:val="20"/>
        </w:rPr>
        <w:t>客观、准确反映理财产品的价值。</w:t>
      </w:r>
    </w:p>
    <w:p w14:paraId="0699C2B4">
      <w:pPr>
        <w:spacing w:line="200" w:lineRule="exact"/>
        <w:ind w:firstLine="300"/>
        <w:jc w:val="both"/>
      </w:pPr>
      <w:r>
        <w:rPr>
          <w:rFonts w:ascii="方正黑体_GBK" w:hAnsi="方正黑体_GBK" w:eastAsia="方正黑体_GBK" w:cs="宋体"/>
          <w:sz w:val="15"/>
          <w:szCs w:val="20"/>
        </w:rPr>
        <w:t>（四）估值原则</w:t>
      </w:r>
    </w:p>
    <w:p w14:paraId="35200A2E">
      <w:pPr>
        <w:spacing w:line="200" w:lineRule="exact"/>
        <w:ind w:firstLine="300"/>
        <w:jc w:val="both"/>
      </w:pPr>
      <w:r>
        <w:rPr>
          <w:rFonts w:ascii="方正黑体_GBK" w:hAnsi="方正黑体_GBK" w:eastAsia="方正黑体_GBK" w:cs="宋体"/>
          <w:sz w:val="15"/>
          <w:szCs w:val="20"/>
        </w:rPr>
        <w:t>理财产品应坚持公允价值计量原则，符合会计准则和监管规定的范围内的可选择摊余成本法计量。</w:t>
      </w:r>
    </w:p>
    <w:p w14:paraId="44FB795C">
      <w:pPr>
        <w:spacing w:line="200" w:lineRule="exact"/>
        <w:ind w:firstLine="300"/>
        <w:jc w:val="both"/>
      </w:pPr>
      <w:r>
        <w:rPr>
          <w:rFonts w:ascii="方正黑体_GBK" w:hAnsi="方正黑体_GBK" w:eastAsia="方正黑体_GBK" w:cs="宋体"/>
          <w:sz w:val="15"/>
          <w:szCs w:val="20"/>
        </w:rPr>
        <w:t>（五）估值方法</w:t>
      </w:r>
    </w:p>
    <w:p w14:paraId="566CF9D3">
      <w:pPr>
        <w:spacing w:line="200" w:lineRule="exact"/>
        <w:ind w:firstLine="280"/>
        <w:jc w:val="left"/>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2329A156">
      <w:pPr>
        <w:spacing w:line="200" w:lineRule="exact"/>
        <w:ind w:firstLine="280"/>
        <w:jc w:val="left"/>
      </w:pPr>
      <w:r>
        <w:rPr>
          <w:rFonts w:ascii="方正黑体_GBK" w:hAnsi="方正黑体_GBK" w:eastAsia="方正黑体_GBK" w:cs="宋体"/>
          <w:sz w:val="15"/>
          <w:szCs w:val="20"/>
        </w:rPr>
        <w:t>1.银行存款、回购等货币市场工具</w:t>
      </w:r>
    </w:p>
    <w:p w14:paraId="46D86929">
      <w:pPr>
        <w:spacing w:line="200" w:lineRule="exact"/>
        <w:ind w:firstLine="280"/>
        <w:jc w:val="left"/>
      </w:pPr>
      <w:r>
        <w:rPr>
          <w:rFonts w:ascii="方正黑体_GBK" w:hAnsi="方正黑体_GBK" w:eastAsia="方正黑体_GBK" w:cs="宋体"/>
          <w:sz w:val="15"/>
          <w:szCs w:val="20"/>
        </w:rPr>
        <w:t>以本金列示，按商定的利率在实际持有期间内逐日计提。</w:t>
      </w:r>
    </w:p>
    <w:p w14:paraId="1533884C">
      <w:pPr>
        <w:spacing w:line="200" w:lineRule="exact"/>
        <w:ind w:firstLine="280"/>
        <w:jc w:val="left"/>
      </w:pPr>
      <w:r>
        <w:rPr>
          <w:rFonts w:ascii="方正黑体_GBK" w:hAnsi="方正黑体_GBK" w:eastAsia="方正黑体_GBK" w:cs="宋体"/>
          <w:color w:val="3D3D3D"/>
          <w:sz w:val="15"/>
          <w:szCs w:val="20"/>
        </w:rPr>
        <w:t>2.债券类资产</w:t>
      </w:r>
    </w:p>
    <w:p w14:paraId="5CB0D8E1">
      <w:pPr>
        <w:spacing w:line="200" w:lineRule="exact"/>
        <w:ind w:firstLine="280"/>
        <w:jc w:val="left"/>
      </w:pPr>
      <w:r>
        <w:rPr>
          <w:rFonts w:ascii="方正黑体_GBK" w:hAnsi="方正黑体_GBK" w:eastAsia="方正黑体_GBK"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438785D0">
      <w:pPr>
        <w:spacing w:line="200" w:lineRule="exact"/>
        <w:ind w:firstLine="280"/>
        <w:jc w:val="left"/>
      </w:pPr>
      <w:r>
        <w:rPr>
          <w:rFonts w:ascii="方正黑体_GBK" w:hAnsi="方正黑体_GBK" w:eastAsia="方正黑体_GBK" w:cs="宋体"/>
          <w:color w:val="3D3D3D"/>
          <w:sz w:val="15"/>
          <w:szCs w:val="20"/>
        </w:rPr>
        <w:t>3.非标准化债权类资产</w:t>
      </w:r>
    </w:p>
    <w:p w14:paraId="2AC28634">
      <w:pPr>
        <w:spacing w:line="200" w:lineRule="exact"/>
        <w:ind w:firstLine="280"/>
        <w:jc w:val="left"/>
      </w:pPr>
      <w:r>
        <w:rPr>
          <w:rFonts w:ascii="方正黑体_GBK" w:hAnsi="方正黑体_GBK" w:eastAsia="方正黑体_GBK"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14:paraId="08063D8F">
      <w:pPr>
        <w:spacing w:line="200" w:lineRule="exact"/>
        <w:ind w:firstLine="280"/>
        <w:jc w:val="left"/>
      </w:pPr>
      <w:r>
        <w:rPr>
          <w:rFonts w:ascii="方正黑体_GBK" w:hAnsi="方正黑体_GBK" w:eastAsia="方正黑体_GBK" w:cs="宋体"/>
          <w:color w:val="3D3D3D"/>
          <w:sz w:val="15"/>
          <w:szCs w:val="20"/>
        </w:rPr>
        <w:t>4.证券投资基金</w:t>
      </w:r>
    </w:p>
    <w:p w14:paraId="5F66AFE7">
      <w:pPr>
        <w:spacing w:line="200" w:lineRule="exact"/>
        <w:ind w:firstLine="280"/>
        <w:jc w:val="left"/>
      </w:pPr>
      <w:r>
        <w:rPr>
          <w:rFonts w:ascii="方正黑体_GBK" w:hAnsi="方正黑体_GBK" w:eastAsia="方正黑体_GBK"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3CBD5C0F">
      <w:pPr>
        <w:spacing w:line="200" w:lineRule="exact"/>
        <w:ind w:firstLine="280"/>
        <w:jc w:val="left"/>
      </w:pPr>
      <w:r>
        <w:rPr>
          <w:rFonts w:ascii="方正黑体_GBK" w:hAnsi="方正黑体_GBK" w:eastAsia="方正黑体_GBK" w:cs="宋体"/>
          <w:color w:val="3D3D3D"/>
          <w:sz w:val="15"/>
          <w:szCs w:val="20"/>
        </w:rPr>
        <w:t>5.股权类资产</w:t>
      </w:r>
    </w:p>
    <w:p w14:paraId="7EBD05EB">
      <w:pPr>
        <w:spacing w:line="200" w:lineRule="exact"/>
        <w:ind w:firstLine="280"/>
        <w:jc w:val="left"/>
      </w:pPr>
      <w:r>
        <w:rPr>
          <w:rFonts w:ascii="方正黑体_GBK" w:hAnsi="方正黑体_GBK" w:eastAsia="方正黑体_GBK"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7519D59D">
      <w:pPr>
        <w:spacing w:line="200" w:lineRule="exact"/>
        <w:ind w:firstLine="280"/>
        <w:jc w:val="left"/>
      </w:pPr>
      <w:r>
        <w:rPr>
          <w:rFonts w:ascii="方正黑体_GBK" w:hAnsi="方正黑体_GBK" w:eastAsia="方正黑体_GBK" w:cs="宋体"/>
          <w:color w:val="3D3D3D"/>
          <w:sz w:val="15"/>
          <w:szCs w:val="20"/>
        </w:rPr>
        <w:t>6.资管计划、信托计划等资产</w:t>
      </w:r>
    </w:p>
    <w:p w14:paraId="7D312DF9">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w:t>
      </w:r>
    </w:p>
    <w:p w14:paraId="70045AAC">
      <w:pPr>
        <w:spacing w:line="200" w:lineRule="exact"/>
        <w:ind w:firstLine="280"/>
        <w:jc w:val="left"/>
      </w:pPr>
      <w:r>
        <w:rPr>
          <w:rFonts w:ascii="方正黑体_GBK" w:hAnsi="方正黑体_GBK" w:eastAsia="方正黑体_GBK" w:cs="宋体"/>
          <w:color w:val="3D3D3D"/>
          <w:sz w:val="15"/>
          <w:szCs w:val="20"/>
        </w:rPr>
        <w:t>7.其他资产</w:t>
      </w:r>
    </w:p>
    <w:p w14:paraId="67C3CD62">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7B54F784">
      <w:pPr>
        <w:spacing w:line="200" w:lineRule="exact"/>
        <w:ind w:firstLine="280"/>
        <w:jc w:val="left"/>
      </w:pPr>
      <w:r>
        <w:rPr>
          <w:rFonts w:ascii="方正黑体_GBK" w:hAnsi="方正黑体_GBK" w:eastAsia="方正黑体_GBK"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14:paraId="7C158C1D">
      <w:pPr>
        <w:spacing w:line="200" w:lineRule="exact"/>
        <w:ind w:firstLine="280"/>
        <w:jc w:val="left"/>
      </w:pPr>
      <w:r>
        <w:rPr>
          <w:rFonts w:ascii="方正黑体_GBK" w:hAnsi="方正黑体_GBK" w:eastAsia="方正黑体_GBK" w:cs="宋体"/>
          <w:color w:val="3D3D3D"/>
          <w:sz w:val="15"/>
          <w:szCs w:val="20"/>
        </w:rPr>
        <w:t>9.如有新增事项或变更事项，按国家最新规定或管理人最新的约定估值。</w:t>
      </w:r>
    </w:p>
    <w:p w14:paraId="2E375E2C">
      <w:pPr>
        <w:spacing w:line="200" w:lineRule="exact"/>
        <w:ind w:firstLine="280"/>
        <w:jc w:val="left"/>
      </w:pPr>
      <w:r>
        <w:rPr>
          <w:rFonts w:ascii="方正黑体_GBK" w:hAnsi="方正黑体_GBK" w:eastAsia="方正黑体_GBK"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14:paraId="31F5A23D">
      <w:pPr>
        <w:spacing w:line="200" w:lineRule="exact"/>
        <w:ind w:firstLine="300"/>
        <w:jc w:val="both"/>
      </w:pPr>
      <w:r>
        <w:rPr>
          <w:rFonts w:ascii="方正黑体_GBK" w:hAnsi="方正黑体_GBK" w:eastAsia="方正黑体_GBK" w:cs="宋体"/>
          <w:sz w:val="15"/>
          <w:szCs w:val="20"/>
        </w:rPr>
        <w:t>（六）估值错误及暂停估值</w:t>
      </w:r>
    </w:p>
    <w:p w14:paraId="6C027A42">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568282B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046DD6EF">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5ABDD3B2">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258BEC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59633FE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5ADD5FF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按月</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61CB99E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3BEA33C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71FC1CE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5D31A25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24CE62F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4B2756C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64238C0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0BA8E45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4DFF976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6D76EEA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78AC413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362C06B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13A99B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7EC94F9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66D66C5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14D2FCF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CB0A04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73FF1C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375371F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70A17B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585683F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6CCF98C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6BA7BB4E">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370E55B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C18B54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216F4C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4EAFAE9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499D3F0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1448317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01A986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2D5E91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3993E224">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11637">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F3B64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def363e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18a2bde"/>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7f4adb98"/>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c6f5fbf6"/>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c77c8419"/>
    <w:qFormat/>
    <w:uiPriority w:val="0"/>
  </w:style>
  <w:style w:type="paragraph" w:customStyle="1" w:styleId="20">
    <w:name w:val="toc 1b7a7f32e"/>
    <w:basedOn w:val="15"/>
    <w:next w:val="1"/>
    <w:autoRedefine/>
    <w:qFormat/>
    <w:uiPriority w:val="0"/>
  </w:style>
  <w:style w:type="paragraph" w:customStyle="1" w:styleId="21">
    <w:name w:val="toc 28caf2a39"/>
    <w:basedOn w:val="15"/>
    <w:next w:val="1"/>
    <w:autoRedefine/>
    <w:uiPriority w:val="0"/>
    <w:pPr>
      <w:ind w:left="420"/>
    </w:pPr>
  </w:style>
  <w:style w:type="paragraph" w:customStyle="1" w:styleId="22">
    <w:name w:val="toc 388e31cae"/>
    <w:basedOn w:val="15"/>
    <w:next w:val="1"/>
    <w:autoRedefine/>
    <w:uiPriority w:val="0"/>
    <w:pPr>
      <w:ind w:left="840"/>
    </w:pPr>
  </w:style>
  <w:style w:type="paragraph" w:customStyle="1" w:styleId="23">
    <w:name w:val="toc 42ed5e187"/>
    <w:basedOn w:val="15"/>
    <w:next w:val="1"/>
    <w:autoRedefine/>
    <w:qFormat/>
    <w:uiPriority w:val="0"/>
    <w:pPr>
      <w:ind w:left="1260"/>
    </w:pPr>
  </w:style>
  <w:style w:type="paragraph" w:customStyle="1" w:styleId="24">
    <w:name w:val="toc 5020d3952"/>
    <w:basedOn w:val="15"/>
    <w:next w:val="1"/>
    <w:autoRedefine/>
    <w:uiPriority w:val="0"/>
    <w:pPr>
      <w:ind w:left="1680"/>
    </w:pPr>
  </w:style>
  <w:style w:type="paragraph" w:customStyle="1" w:styleId="25">
    <w:name w:val="header416f4584"/>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6a51e642"/>
    <w:basedOn w:val="15"/>
    <w:qFormat/>
    <w:uiPriority w:val="0"/>
    <w:pPr>
      <w:tabs>
        <w:tab w:val="center" w:pos="4153"/>
        <w:tab w:val="right" w:pos="8307"/>
      </w:tabs>
      <w:adjustRightInd/>
      <w:snapToGrid w:val="0"/>
      <w:contextualSpacing w:val="0"/>
      <w:jc w:val="left"/>
    </w:pPr>
    <w:rPr>
      <w:sz w:val="18"/>
    </w:rPr>
  </w:style>
  <w:style w:type="character" w:customStyle="1" w:styleId="27">
    <w:name w:val="Strong8842444b"/>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395d2b7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eb50cb9"/>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aa721934"/>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101f7e26"/>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4aa51bc"/>
    <w:uiPriority w:val="0"/>
  </w:style>
  <w:style w:type="paragraph" w:customStyle="1" w:styleId="34">
    <w:name w:val="Normal Indent563da8a9"/>
    <w:basedOn w:val="29"/>
    <w:qFormat/>
    <w:uiPriority w:val="0"/>
    <w:pPr>
      <w:ind w:firstLine="200" w:firstLineChars="200"/>
    </w:pPr>
  </w:style>
  <w:style w:type="paragraph" w:customStyle="1" w:styleId="35">
    <w:name w:val="toc 52626b123"/>
    <w:basedOn w:val="29"/>
    <w:next w:val="1"/>
    <w:uiPriority w:val="0"/>
    <w:pPr>
      <w:ind w:left="1680"/>
    </w:pPr>
  </w:style>
  <w:style w:type="paragraph" w:customStyle="1" w:styleId="36">
    <w:name w:val="toc 33c9991db"/>
    <w:basedOn w:val="29"/>
    <w:next w:val="1"/>
    <w:uiPriority w:val="0"/>
    <w:pPr>
      <w:ind w:left="840"/>
    </w:pPr>
  </w:style>
  <w:style w:type="paragraph" w:customStyle="1" w:styleId="37">
    <w:name w:val="footerdd2f3185"/>
    <w:basedOn w:val="29"/>
    <w:uiPriority w:val="0"/>
    <w:pPr>
      <w:tabs>
        <w:tab w:val="center" w:pos="4153"/>
        <w:tab w:val="right" w:pos="8307"/>
      </w:tabs>
      <w:adjustRightInd/>
      <w:snapToGrid w:val="0"/>
      <w:contextualSpacing w:val="0"/>
      <w:jc w:val="left"/>
    </w:pPr>
    <w:rPr>
      <w:sz w:val="18"/>
    </w:rPr>
  </w:style>
  <w:style w:type="paragraph" w:customStyle="1" w:styleId="38">
    <w:name w:val="header8d2778e7"/>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55bf6780"/>
    <w:basedOn w:val="29"/>
    <w:next w:val="1"/>
    <w:qFormat/>
    <w:uiPriority w:val="0"/>
  </w:style>
  <w:style w:type="paragraph" w:customStyle="1" w:styleId="40">
    <w:name w:val="toc 459252a04"/>
    <w:basedOn w:val="29"/>
    <w:next w:val="1"/>
    <w:uiPriority w:val="0"/>
    <w:pPr>
      <w:ind w:left="1260"/>
    </w:pPr>
  </w:style>
  <w:style w:type="paragraph" w:customStyle="1" w:styleId="41">
    <w:name w:val="toc 26acbd70c"/>
    <w:basedOn w:val="29"/>
    <w:next w:val="1"/>
    <w:qFormat/>
    <w:uiPriority w:val="0"/>
    <w:pPr>
      <w:ind w:left="420"/>
    </w:pPr>
  </w:style>
  <w:style w:type="paragraph" w:customStyle="1" w:styleId="42">
    <w:name w:val="Normal (Web)aeffd32a"/>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dc3fb483dc3fb48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019f90df019f90df"/>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f2c4e63cf2c4e63c"/>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963d6e93963d6e93"/>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585d5768585d5768"/>
    <w:uiPriority w:val="0"/>
  </w:style>
  <w:style w:type="paragraph" w:customStyle="1" w:styleId="49">
    <w:name w:val="引文目录1de045fd2de045fd2"/>
    <w:basedOn w:val="44"/>
    <w:next w:val="1"/>
    <w:qFormat/>
    <w:uiPriority w:val="0"/>
    <w:pPr>
      <w:ind w:left="200" w:leftChars="200"/>
    </w:pPr>
  </w:style>
  <w:style w:type="paragraph" w:customStyle="1" w:styleId="50">
    <w:name w:val="toc 5d9e7934ed9e7934e"/>
    <w:basedOn w:val="44"/>
    <w:next w:val="1"/>
    <w:uiPriority w:val="0"/>
    <w:pPr>
      <w:ind w:left="1680"/>
    </w:pPr>
  </w:style>
  <w:style w:type="paragraph" w:customStyle="1" w:styleId="51">
    <w:name w:val="toc 3b33536c4b33536c4"/>
    <w:basedOn w:val="44"/>
    <w:next w:val="1"/>
    <w:uiPriority w:val="0"/>
    <w:pPr>
      <w:ind w:left="840"/>
    </w:pPr>
  </w:style>
  <w:style w:type="paragraph" w:customStyle="1" w:styleId="52">
    <w:name w:val="footer72ce830d72ce830d"/>
    <w:basedOn w:val="44"/>
    <w:uiPriority w:val="0"/>
    <w:pPr>
      <w:tabs>
        <w:tab w:val="center" w:pos="4153"/>
        <w:tab w:val="right" w:pos="8307"/>
      </w:tabs>
      <w:adjustRightInd/>
      <w:snapToGrid w:val="0"/>
      <w:contextualSpacing w:val="0"/>
      <w:jc w:val="left"/>
    </w:pPr>
    <w:rPr>
      <w:sz w:val="18"/>
    </w:rPr>
  </w:style>
  <w:style w:type="paragraph" w:customStyle="1" w:styleId="53">
    <w:name w:val="headerf4f3a737f4f3a737"/>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51cc684751cc684"/>
    <w:basedOn w:val="44"/>
    <w:next w:val="1"/>
    <w:uiPriority w:val="0"/>
  </w:style>
  <w:style w:type="paragraph" w:customStyle="1" w:styleId="55">
    <w:name w:val="toc 4ab40dcbfab40dcbf"/>
    <w:basedOn w:val="44"/>
    <w:next w:val="1"/>
    <w:qFormat/>
    <w:uiPriority w:val="0"/>
    <w:pPr>
      <w:ind w:left="1260"/>
    </w:pPr>
  </w:style>
  <w:style w:type="paragraph" w:customStyle="1" w:styleId="56">
    <w:name w:val="toc 276804ef176804ef1"/>
    <w:basedOn w:val="44"/>
    <w:next w:val="1"/>
    <w:uiPriority w:val="0"/>
    <w:pPr>
      <w:ind w:left="420"/>
    </w:pPr>
  </w:style>
  <w:style w:type="paragraph" w:customStyle="1" w:styleId="57">
    <w:name w:val="列出段落11305427013054270"/>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25</Pages>
  <Words>41705</Words>
  <Characters>44168</Characters>
  <Lines>81</Lines>
  <Paragraphs>27</Paragraphs>
  <TotalTime>9</TotalTime>
  <ScaleCrop>false</ScaleCrop>
  <LinksUpToDate>false</LinksUpToDate>
  <CharactersWithSpaces>44440</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2025-09-12T07:34:58Z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