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def36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def36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def36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def36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def36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def36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def36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def36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def36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def363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def363e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395d2b7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395d2b73"/>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effd32a"/>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南银理财珠联璧合安稳1908一年定开公募人民币理财产品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ZC108691944630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Z7003221000023(投资者可依据该编码在中国理财网www.chinawealth.com.cn查询理财产品相关信息）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A份额：Z30004</w:t>
            </w:r>
          </w:p>
          <w:p>
            <w:pPr>
              <w:pStyle w:val="null10"/>
              <w:spacing w:lineRule="exact" w:line="200"/>
            </w:pPr>
            <w:r>
              <w:rPr>
                <w:rFonts w:ascii="方正黑体_GBK" w:hAnsi="方正黑体_GBK" w:cs="宋体" w:eastAsia="方正黑体_GBK"/>
                <w:sz w:val="18"/>
                <w:szCs w:val="18"/>
              </w:rPr>
              <w:t>B份额：ZB30004</w:t>
            </w:r>
          </w:p>
          <w:p>
            <w:pPr>
              <w:pStyle w:val="null10"/>
              <w:spacing w:lineRule="exact" w:line="200"/>
            </w:pPr>
            <w:r>
              <w:rPr>
                <w:rFonts w:ascii="方正黑体_GBK" w:hAnsi="方正黑体_GBK" w:cs="宋体" w:eastAsia="方正黑体_GBK"/>
                <w:sz w:val="18"/>
                <w:szCs w:val="18"/>
              </w:rPr>
              <w:t>C份额：ZC30004</w:t>
            </w:r>
          </w:p>
          <w:p>
            <w:pPr>
              <w:pStyle w:val="null10"/>
              <w:spacing w:lineRule="exact" w:line="200"/>
            </w:pPr>
            <w:r>
              <w:rPr>
                <w:rFonts w:ascii="方正黑体_GBK" w:hAnsi="方正黑体_GBK" w:cs="宋体" w:eastAsia="方正黑体_GBK"/>
                <w:sz w:val="18"/>
                <w:szCs w:val="18"/>
              </w:rPr>
              <w:t>D份额：ZD30004</w:t>
            </w:r>
          </w:p>
          <w:p>
            <w:pPr>
              <w:pStyle w:val="null10"/>
              <w:spacing w:lineRule="exact" w:line="200"/>
            </w:pPr>
            <w:r>
              <w:rPr>
                <w:rFonts w:ascii="方正黑体_GBK" w:hAnsi="方正黑体_GBK" w:cs="宋体" w:eastAsia="方正黑体_GBK"/>
                <w:sz w:val="18"/>
                <w:szCs w:val="18"/>
              </w:rPr>
              <w:t>E份额：ZE30004</w:t>
            </w:r>
          </w:p>
          <w:p>
            <w:pPr>
              <w:pStyle w:val="null10"/>
              <w:spacing w:lineRule="exact" w:line="200"/>
            </w:pPr>
            <w:r>
              <w:rPr>
                <w:rFonts w:ascii="方正黑体_GBK" w:hAnsi="方正黑体_GBK" w:cs="宋体" w:eastAsia="方正黑体_GBK"/>
                <w:sz w:val="18"/>
                <w:szCs w:val="18"/>
              </w:rPr>
              <w:t>F份额：ZF30004</w:t>
            </w:r>
          </w:p>
          <w:p>
            <w:pPr>
              <w:pStyle w:val="null10"/>
              <w:spacing w:lineRule="exact" w:line="200"/>
            </w:pPr>
            <w:r>
              <w:rPr>
                <w:rFonts w:ascii="方正黑体_GBK" w:hAnsi="方正黑体_GBK" w:cs="宋体" w:eastAsia="方正黑体_GBK"/>
                <w:sz w:val="18"/>
                <w:szCs w:val="18"/>
              </w:rPr>
              <w:t>G份额：ZG30004</w:t>
            </w:r>
          </w:p>
          <w:p>
            <w:pPr>
              <w:pStyle w:val="null10"/>
              <w:spacing w:lineRule="exact" w:line="200"/>
            </w:pPr>
            <w:r>
              <w:rPr>
                <w:rFonts w:ascii="方正黑体_GBK" w:hAnsi="方正黑体_GBK" w:cs="宋体" w:eastAsia="方正黑体_GBK"/>
                <w:sz w:val="18"/>
                <w:szCs w:val="18"/>
              </w:rPr>
              <w:t>H份额：ZH30004</w:t>
            </w:r>
          </w:p>
          <w:p>
            <w:pPr>
              <w:pStyle w:val="null10"/>
              <w:spacing w:lineRule="exact" w:line="200"/>
            </w:pPr>
            <w:r>
              <w:rPr>
                <w:rFonts w:ascii="方正黑体_GBK" w:hAnsi="方正黑体_GBK" w:cs="宋体" w:eastAsia="方正黑体_GBK"/>
                <w:sz w:val="18"/>
                <w:szCs w:val="18"/>
              </w:rPr>
              <w:t>J份额：ZJ30004</w:t>
            </w:r>
          </w:p>
          <w:p>
            <w:pPr>
              <w:pStyle w:val="null10"/>
              <w:spacing w:lineRule="exact" w:line="200"/>
            </w:pPr>
            <w:r>
              <w:rPr>
                <w:rFonts w:ascii="方正黑体_GBK" w:hAnsi="方正黑体_GBK" w:cs="宋体" w:eastAsia="方正黑体_GBK"/>
                <w:sz w:val="18"/>
                <w:szCs w:val="18"/>
              </w:rPr>
              <w:t>K份额：ZK30004</w:t>
            </w:r>
          </w:p>
          <w:p>
            <w:pPr>
              <w:pStyle w:val="null10"/>
              <w:spacing w:lineRule="exact" w:line="200"/>
            </w:pPr>
            <w:r>
              <w:rPr>
                <w:rFonts w:ascii="方正黑体_GBK" w:hAnsi="方正黑体_GBK" w:cs="宋体" w:eastAsia="方正黑体_GBK"/>
                <w:sz w:val="18"/>
                <w:szCs w:val="18"/>
              </w:rPr>
              <w:t>M份额：ZM30004</w:t>
            </w:r>
          </w:p>
          <w:p>
            <w:pPr>
              <w:pStyle w:val="null10"/>
              <w:spacing w:lineRule="exact" w:line="200"/>
            </w:pPr>
            <w:r>
              <w:rPr>
                <w:rFonts w:ascii="方正黑体_GBK" w:hAnsi="方正黑体_GBK" w:cs="宋体" w:eastAsia="方正黑体_GBK"/>
                <w:sz w:val="18"/>
                <w:szCs w:val="18"/>
              </w:rPr>
              <w:t>N份额：ZN30004</w:t>
            </w:r>
          </w:p>
          <w:p>
            <w:pPr>
              <w:pStyle w:val="null10"/>
              <w:spacing w:lineRule="exact" w:line="200"/>
            </w:pPr>
            <w:r>
              <w:rPr>
                <w:rFonts w:ascii="方正黑体_GBK" w:hAnsi="方正黑体_GBK" w:cs="宋体" w:eastAsia="方正黑体_GBK"/>
                <w:sz w:val="18"/>
                <w:szCs w:val="18"/>
              </w:rPr>
              <w:t>O份额：ZO30004</w:t>
            </w:r>
          </w:p>
          <w:p>
            <w:pPr>
              <w:pStyle w:val="null10"/>
              <w:spacing w:lineRule="exact" w:line="200"/>
            </w:pPr>
            <w:r>
              <w:rPr>
                <w:rFonts w:ascii="方正黑体_GBK" w:hAnsi="方正黑体_GBK" w:cs="宋体" w:eastAsia="方正黑体_GBK"/>
                <w:sz w:val="18"/>
                <w:szCs w:val="18"/>
              </w:rPr>
              <w:t>A2份额：Z31004</w:t>
            </w:r>
          </w:p>
          <w:p>
            <w:pPr>
              <w:pStyle w:val="null10"/>
              <w:spacing w:lineRule="exact" w:line="200"/>
            </w:pPr>
            <w:r>
              <w:rPr>
                <w:rFonts w:ascii="方正黑体_GBK" w:hAnsi="方正黑体_GBK" w:cs="宋体" w:eastAsia="方正黑体_GBK"/>
                <w:sz w:val="18"/>
                <w:szCs w:val="18"/>
              </w:rPr>
              <w:t>B2份额：ZB31004</w:t>
            </w:r>
          </w:p>
          <w:p>
            <w:pPr>
              <w:pStyle w:val="null10"/>
              <w:spacing w:lineRule="exact" w:line="200"/>
            </w:pPr>
            <w:r>
              <w:rPr>
                <w:rFonts w:ascii="方正黑体_GBK" w:hAnsi="方正黑体_GBK" w:cs="宋体" w:eastAsia="方正黑体_GBK"/>
                <w:sz w:val="18"/>
                <w:szCs w:val="18"/>
              </w:rPr>
              <w:t>C2份额：ZC31004</w:t>
            </w:r>
          </w:p>
          <w:p>
            <w:pPr>
              <w:pStyle w:val="null10"/>
              <w:spacing w:lineRule="exact" w:line="200"/>
            </w:pPr>
            <w:r>
              <w:rPr>
                <w:rFonts w:ascii="方正黑体_GBK" w:hAnsi="方正黑体_GBK" w:cs="宋体" w:eastAsia="方正黑体_GBK"/>
                <w:sz w:val="18"/>
                <w:szCs w:val="18"/>
              </w:rPr>
              <w:t>D2份额：ZD31004</w:t>
            </w:r>
          </w:p>
          <w:p>
            <w:pPr>
              <w:pStyle w:val="null10"/>
              <w:spacing w:lineRule="exact" w:line="200"/>
            </w:pPr>
            <w:r>
              <w:rPr>
                <w:rFonts w:ascii="方正黑体_GBK" w:hAnsi="方正黑体_GBK" w:cs="宋体" w:eastAsia="方正黑体_GBK"/>
                <w:sz w:val="18"/>
                <w:szCs w:val="18"/>
              </w:rPr>
              <w:t>E2份额：ZE31004</w:t>
            </w:r>
          </w:p>
          <w:p>
            <w:pPr>
              <w:pStyle w:val="null10"/>
              <w:spacing w:lineRule="exact" w:line="200"/>
            </w:pPr>
            <w:r>
              <w:rPr>
                <w:rFonts w:ascii="方正黑体_GBK" w:hAnsi="方正黑体_GBK" w:cs="宋体" w:eastAsia="方正黑体_GBK"/>
                <w:sz w:val="18"/>
                <w:szCs w:val="18"/>
              </w:rPr>
              <w:t>A3份额：Z32004</w:t>
            </w:r>
          </w:p>
          <w:p>
            <w:pPr>
              <w:pStyle w:val="null10"/>
              <w:spacing w:lineRule="exact" w:line="200"/>
            </w:pPr>
            <w:r>
              <w:rPr>
                <w:rFonts w:ascii="方正黑体_GBK" w:hAnsi="方正黑体_GBK" w:cs="宋体" w:eastAsia="方正黑体_GBK"/>
                <w:sz w:val="18"/>
                <w:szCs w:val="18"/>
              </w:rPr>
              <w:t>B3份额：ZB32004</w:t>
            </w:r>
          </w:p>
          <w:p>
            <w:pPr>
              <w:pStyle w:val="null10"/>
              <w:spacing w:lineRule="exact" w:line="200"/>
            </w:pPr>
            <w:r>
              <w:rPr>
                <w:rFonts w:ascii="方正黑体_GBK" w:hAnsi="方正黑体_GBK" w:cs="宋体" w:eastAsia="方正黑体_GBK"/>
                <w:sz w:val="18"/>
                <w:szCs w:val="18"/>
              </w:rPr>
              <w:t>C3份额：ZC32004</w:t>
            </w:r>
          </w:p>
          <w:p>
            <w:pPr>
              <w:pStyle w:val="null10"/>
              <w:spacing w:lineRule="exact" w:line="200"/>
            </w:pPr>
            <w:r>
              <w:rPr>
                <w:rFonts w:ascii="方正黑体_GBK" w:hAnsi="方正黑体_GBK" w:cs="宋体" w:eastAsia="方正黑体_GBK"/>
                <w:sz w:val="18"/>
                <w:szCs w:val="18"/>
              </w:rPr>
              <w:t>D3份额：ZD32004</w:t>
            </w:r>
          </w:p>
          <w:p>
            <w:pPr>
              <w:pStyle w:val="null10"/>
              <w:spacing w:lineRule="exact" w:line="200"/>
            </w:pPr>
            <w:r>
              <w:rPr>
                <w:rFonts w:ascii="方正黑体_GBK" w:hAnsi="方正黑体_GBK" w:cs="宋体" w:eastAsia="方正黑体_GBK"/>
                <w:sz w:val="18"/>
                <w:szCs w:val="18"/>
              </w:rPr>
              <w:t>E3份额：ZE32004</w:t>
            </w:r>
          </w:p>
          <w:p>
            <w:pPr>
              <w:pStyle w:val="null10"/>
              <w:spacing w:lineRule="exact" w:line="200"/>
            </w:pPr>
            <w:r>
              <w:rPr>
                <w:rFonts w:ascii="方正黑体_GBK" w:hAnsi="方正黑体_GBK" w:cs="宋体" w:eastAsia="方正黑体_GBK"/>
                <w:sz w:val="18"/>
                <w:szCs w:val="18"/>
              </w:rPr>
              <w:t>A4份额：Z33004</w:t>
            </w:r>
          </w:p>
          <w:p>
            <w:pPr>
              <w:pStyle w:val="null10"/>
              <w:spacing w:lineRule="exact" w:line="200"/>
            </w:pPr>
            <w:r>
              <w:rPr>
                <w:rFonts w:ascii="方正黑体_GBK" w:hAnsi="方正黑体_GBK" w:cs="宋体" w:eastAsia="方正黑体_GBK"/>
                <w:sz w:val="18"/>
                <w:szCs w:val="18"/>
              </w:rPr>
              <w:t>B4份额：ZB33004</w:t>
            </w:r>
          </w:p>
          <w:p>
            <w:pPr>
              <w:pStyle w:val="null10"/>
              <w:spacing w:lineRule="exact" w:line="200"/>
            </w:pPr>
            <w:r>
              <w:rPr>
                <w:rFonts w:ascii="方正黑体_GBK" w:hAnsi="方正黑体_GBK" w:cs="宋体" w:eastAsia="方正黑体_GBK"/>
                <w:sz w:val="18"/>
                <w:szCs w:val="18"/>
              </w:rPr>
              <w:t>C4份额：ZC33004</w:t>
            </w:r>
          </w:p>
          <w:p>
            <w:pPr>
              <w:pStyle w:val="null10"/>
              <w:spacing w:lineRule="exact" w:line="200"/>
            </w:pPr>
            <w:r>
              <w:rPr>
                <w:rFonts w:ascii="方正黑体_GBK" w:hAnsi="方正黑体_GBK" w:cs="宋体" w:eastAsia="方正黑体_GBK"/>
                <w:sz w:val="18"/>
                <w:szCs w:val="18"/>
              </w:rPr>
              <w:t>D4份额：ZD33004</w:t>
            </w:r>
          </w:p>
          <w:p>
            <w:pPr>
              <w:pStyle w:val="null10"/>
              <w:spacing w:lineRule="exact" w:line="200"/>
            </w:pPr>
            <w:r>
              <w:rPr>
                <w:rFonts w:ascii="方正黑体_GBK" w:hAnsi="方正黑体_GBK" w:cs="宋体" w:eastAsia="方正黑体_GBK"/>
                <w:sz w:val="18"/>
                <w:szCs w:val="18"/>
              </w:rPr>
              <w:t>E4份额：ZE33004</w:t>
            </w:r>
          </w:p>
          <w:p>
            <w:pPr>
              <w:pStyle w:val="null10"/>
              <w:spacing w:lineRule="exact" w:line="200"/>
            </w:pPr>
            <w:r>
              <w:rPr>
                <w:rFonts w:ascii="方正黑体_GBK" w:hAnsi="方正黑体_GBK" w:cs="宋体" w:eastAsia="方正黑体_GBK"/>
                <w:sz w:val="18"/>
                <w:szCs w:val="18"/>
              </w:rPr>
              <w:t>F2份额：ZF31004</w:t>
            </w:r>
          </w:p>
          <w:p>
            <w:pPr>
              <w:pStyle w:val="null10"/>
              <w:spacing w:lineRule="exact" w:line="200"/>
            </w:pPr>
            <w:r>
              <w:rPr>
                <w:rFonts w:ascii="方正黑体_GBK" w:hAnsi="方正黑体_GBK" w:cs="宋体" w:eastAsia="方正黑体_GBK"/>
                <w:sz w:val="18"/>
                <w:szCs w:val="18"/>
              </w:rPr>
              <w:t>F3份额：ZF32004</w:t>
            </w:r>
          </w:p>
          <w:p>
            <w:pPr>
              <w:pStyle w:val="null10"/>
              <w:spacing w:lineRule="exact" w:line="200"/>
            </w:pPr>
            <w:r>
              <w:rPr>
                <w:rFonts w:ascii="方正黑体_GBK" w:hAnsi="方正黑体_GBK" w:cs="宋体" w:eastAsia="方正黑体_GBK"/>
                <w:sz w:val="18"/>
                <w:szCs w:val="18"/>
              </w:rPr>
              <w:t>G2份额：ZG31004</w:t>
            </w:r>
          </w:p>
          <w:p>
            <w:pPr>
              <w:pStyle w:val="null10"/>
              <w:spacing w:lineRule="exact" w:line="200"/>
            </w:pPr>
            <w:r>
              <w:rPr>
                <w:rFonts w:ascii="方正黑体_GBK" w:hAnsi="方正黑体_GBK" w:cs="宋体" w:eastAsia="方正黑体_GBK"/>
                <w:sz w:val="18"/>
                <w:szCs w:val="18"/>
              </w:rPr>
              <w:t>G3份额：ZG32004</w:t>
            </w:r>
          </w:p>
          <w:p>
            <w:pPr>
              <w:pStyle w:val="null10"/>
              <w:spacing w:lineRule="exact" w:line="200"/>
            </w:pPr>
            <w:r>
              <w:rPr>
                <w:rFonts w:ascii="方正黑体_GBK" w:hAnsi="方正黑体_GBK" w:cs="宋体" w:eastAsia="方正黑体_GBK"/>
                <w:sz w:val="18"/>
                <w:szCs w:val="18"/>
              </w:rPr>
              <w:t>F4份额：ZF33004</w:t>
            </w:r>
          </w:p>
          <w:p>
            <w:pPr>
              <w:pStyle w:val="null10"/>
              <w:spacing w:lineRule="exact" w:line="200"/>
            </w:pPr>
            <w:r>
              <w:rPr>
                <w:rFonts w:ascii="方正黑体_GBK" w:hAnsi="方正黑体_GBK" w:cs="宋体" w:eastAsia="方正黑体_GBK"/>
                <w:sz w:val="18"/>
                <w:szCs w:val="18"/>
              </w:rPr>
              <w:t>G4份额：ZG33004</w:t>
            </w:r>
          </w:p>
          <w:p>
            <w:pPr>
              <w:pStyle w:val="null10"/>
              <w:spacing w:lineRule="exact" w:line="200"/>
            </w:pPr>
            <w:r>
              <w:rPr>
                <w:rFonts w:ascii="方正黑体_GBK" w:hAnsi="方正黑体_GBK" w:cs="宋体" w:eastAsia="方正黑体_GBK"/>
                <w:sz w:val="18"/>
                <w:szCs w:val="18"/>
              </w:rPr>
              <w:t>H4份额：ZH33004</w:t>
            </w:r>
          </w:p>
          <w:p>
            <w:pPr>
              <w:pStyle w:val="null10"/>
              <w:spacing w:lineRule="exact" w:line="200"/>
            </w:pPr>
            <w:r>
              <w:rPr>
                <w:rFonts w:ascii="方正黑体_GBK" w:hAnsi="方正黑体_GBK" w:cs="宋体" w:eastAsia="方正黑体_GBK"/>
                <w:sz w:val="18"/>
                <w:szCs w:val="18"/>
              </w:rPr>
              <w:t>I2份额：ZI31004</w:t>
            </w:r>
          </w:p>
          <w:p>
            <w:pPr>
              <w:pStyle w:val="null10"/>
              <w:spacing w:lineRule="exact" w:line="200"/>
            </w:pPr>
            <w:r>
              <w:rPr>
                <w:rFonts w:ascii="方正黑体_GBK" w:hAnsi="方正黑体_GBK" w:cs="宋体" w:eastAsia="方正黑体_GBK"/>
                <w:sz w:val="18"/>
                <w:szCs w:val="18"/>
              </w:rPr>
              <w:t>J2份额：ZJ31004</w:t>
            </w:r>
          </w:p>
          <w:p>
            <w:pPr>
              <w:pStyle w:val="null10"/>
              <w:spacing w:lineRule="exact" w:line="200"/>
            </w:pPr>
            <w:r>
              <w:rPr>
                <w:rFonts w:ascii="方正黑体_GBK" w:hAnsi="方正黑体_GBK" w:cs="宋体" w:eastAsia="方正黑体_GBK"/>
                <w:sz w:val="18"/>
                <w:szCs w:val="18"/>
              </w:rPr>
              <w:t>K2份额：ZK31004</w:t>
            </w:r>
          </w:p>
          <w:p>
            <w:pPr>
              <w:pStyle w:val="null10"/>
              <w:spacing w:lineRule="exact" w:line="200"/>
            </w:pPr>
            <w:r>
              <w:rPr>
                <w:rFonts w:ascii="方正黑体_GBK" w:hAnsi="方正黑体_GBK" w:cs="宋体" w:eastAsia="方正黑体_GBK"/>
                <w:sz w:val="18"/>
                <w:szCs w:val="18"/>
              </w:rPr>
              <w:t>J3份额：ZJ32004</w:t>
            </w:r>
          </w:p>
          <w:p>
            <w:pPr>
              <w:pStyle w:val="null10"/>
              <w:spacing w:lineRule="exact" w:line="200"/>
            </w:pPr>
            <w:r>
              <w:rPr>
                <w:rFonts w:ascii="方正黑体_GBK" w:hAnsi="方正黑体_GBK" w:cs="宋体" w:eastAsia="方正黑体_GBK"/>
                <w:sz w:val="18"/>
                <w:szCs w:val="18"/>
              </w:rPr>
              <w:t>K3份额：ZK32004</w:t>
            </w:r>
          </w:p>
          <w:p>
            <w:pPr>
              <w:pStyle w:val="null10"/>
              <w:spacing w:lineRule="exact" w:line="200"/>
            </w:pPr>
            <w:r>
              <w:rPr>
                <w:rFonts w:ascii="方正黑体_GBK" w:hAnsi="方正黑体_GBK" w:cs="宋体" w:eastAsia="方正黑体_GBK"/>
                <w:sz w:val="18"/>
                <w:szCs w:val="18"/>
              </w:rPr>
              <w:t>L3份额：ZL32004</w:t>
            </w:r>
          </w:p>
          <w:p>
            <w:pPr>
              <w:pStyle w:val="null10"/>
              <w:spacing w:lineRule="exact" w:line="200"/>
            </w:pPr>
            <w:r>
              <w:rPr>
                <w:rFonts w:ascii="方正黑体_GBK" w:hAnsi="方正黑体_GBK" w:cs="宋体" w:eastAsia="方正黑体_GBK"/>
                <w:sz w:val="18"/>
                <w:szCs w:val="18"/>
              </w:rPr>
              <w:t>J4份额：ZJ33004</w:t>
            </w:r>
          </w:p>
          <w:p>
            <w:pPr>
              <w:pStyle w:val="null10"/>
              <w:spacing w:lineRule="exact" w:line="200"/>
            </w:pPr>
            <w:r>
              <w:rPr>
                <w:rFonts w:ascii="方正黑体_GBK" w:hAnsi="方正黑体_GBK" w:cs="宋体" w:eastAsia="方正黑体_GBK"/>
                <w:sz w:val="18"/>
                <w:szCs w:val="18"/>
              </w:rPr>
              <w:t>K4份额：ZK33003</w:t>
            </w:r>
          </w:p>
          <w:p>
            <w:pPr>
              <w:pStyle w:val="null10"/>
              <w:spacing w:lineRule="exact" w:line="200"/>
            </w:pPr>
            <w:r>
              <w:rPr>
                <w:rFonts w:ascii="方正黑体_GBK" w:hAnsi="方正黑体_GBK" w:cs="宋体" w:eastAsia="方正黑体_GBK"/>
                <w:sz w:val="18"/>
                <w:szCs w:val="18"/>
              </w:rPr>
              <w:t>I4份额：ZI33004</w:t>
            </w:r>
          </w:p>
          <w:p>
            <w:pPr>
              <w:pStyle w:val="null10"/>
              <w:spacing w:lineRule="exact" w:line="200"/>
            </w:pPr>
            <w:r>
              <w:rPr>
                <w:rFonts w:ascii="方正黑体_GBK" w:hAnsi="方正黑体_GBK" w:cs="宋体" w:eastAsia="方正黑体_GBK"/>
                <w:sz w:val="18"/>
                <w:szCs w:val="18"/>
              </w:rPr>
              <w:t>M2份额：ZM31004</w:t>
            </w:r>
          </w:p>
          <w:p>
            <w:pPr>
              <w:pStyle w:val="null10"/>
              <w:spacing w:lineRule="exact" w:line="200"/>
            </w:pPr>
            <w:r>
              <w:rPr>
                <w:rFonts w:ascii="方正黑体_GBK" w:hAnsi="方正黑体_GBK" w:cs="宋体" w:eastAsia="方正黑体_GBK"/>
                <w:sz w:val="18"/>
                <w:szCs w:val="18"/>
              </w:rPr>
              <w:t>M3份额：ZM32004</w:t>
            </w:r>
          </w:p>
          <w:p>
            <w:pPr>
              <w:pStyle w:val="null10"/>
              <w:spacing w:lineRule="exact" w:line="200"/>
            </w:pPr>
            <w:r>
              <w:rPr>
                <w:rFonts w:ascii="方正黑体_GBK" w:hAnsi="方正黑体_GBK" w:cs="宋体" w:eastAsia="方正黑体_GBK"/>
                <w:sz w:val="18"/>
                <w:szCs w:val="18"/>
              </w:rPr>
              <w:t>M4份额：ZM33004</w:t>
            </w:r>
          </w:p>
          <w:p>
            <w:pPr>
              <w:pStyle w:val="null10"/>
              <w:spacing w:lineRule="exact" w:line="200"/>
            </w:pPr>
            <w:r>
              <w:rPr>
                <w:rFonts w:ascii="方正黑体_GBK" w:hAnsi="方正黑体_GBK" w:cs="宋体" w:eastAsia="方正黑体_GBK"/>
                <w:sz w:val="18"/>
                <w:szCs w:val="18"/>
              </w:rPr>
              <w:t>O2份额：ZO31004</w:t>
            </w:r>
          </w:p>
          <w:p>
            <w:pPr>
              <w:pStyle w:val="null10"/>
              <w:spacing w:lineRule="exact" w:line="200"/>
            </w:pPr>
            <w:r>
              <w:rPr>
                <w:rFonts w:ascii="方正黑体_GBK" w:hAnsi="方正黑体_GBK" w:cs="宋体" w:eastAsia="方正黑体_GBK"/>
                <w:sz w:val="18"/>
                <w:szCs w:val="18"/>
              </w:rPr>
              <w:t>O3份额：ZO32004</w:t>
            </w:r>
          </w:p>
          <w:p>
            <w:pPr>
              <w:pStyle w:val="null10"/>
              <w:spacing w:lineRule="exact" w:line="200"/>
            </w:pPr>
            <w:r>
              <w:rPr>
                <w:rFonts w:ascii="方正黑体_GBK" w:hAnsi="方正黑体_GBK" w:cs="宋体" w:eastAsia="方正黑体_GBK"/>
                <w:sz w:val="18"/>
                <w:szCs w:val="18"/>
              </w:rPr>
              <w:t>O4份额：ZO33004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r>
              <w:rPr>
                <w:rFonts w:ascii="方正黑体_GBK" w:cs="宋体" w:hint="eastAsia" w:hAnsi="方正黑体_GBK" w:eastAsia="方正黑体_GBK"/>
                <w:kern w:val="0"/>
                <w:lang w:val="en-US" w:eastAsia="zh-CN"/>
                <w:sz w:val="18"/>
                <w:szCs w:val="18"/>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南银理财有限责任公司、江苏常熟农村商业银行股份有限公司、日照银行股份有限公司、秦皇岛银行股份有限公司、齐鲁银行股份有限公司、深圳前海微众银行股份有限公司、九江银行股份有限公司、互金平台、无锡锡商银行股份有限公司、江苏扬州农村商业银行股份有限公司、江苏如皋农村商业银行股份有限公司、江苏江阴农村商业银行股份有限公司。</w:t>
            </w:r>
          </w:p>
          <w:p>
            <w:pPr>
              <w:pStyle w:val="null10"/>
              <w:spacing w:lineRule="exact" w:line="200"/>
            </w:pPr>
            <w:r>
              <w:rPr>
                <w:rFonts w:ascii="方正黑体_GBK" w:hAnsi="方正黑体_GBK" w:cs="宋体" w:eastAsia="方正黑体_GBK"/>
                <w:sz w:val="18"/>
                <w:szCs w:val="18"/>
              </w:rPr>
              <w:t>B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pPr>
              <w:pStyle w:val="null10"/>
              <w:spacing w:lineRule="exact" w:line="200"/>
            </w:pPr>
            <w:r>
              <w:rPr>
                <w:rFonts w:ascii="方正黑体_GBK" w:hAnsi="方正黑体_GBK" w:cs="宋体" w:eastAsia="方正黑体_GBK"/>
                <w:sz w:val="18"/>
                <w:szCs w:val="18"/>
              </w:rPr>
              <w:t>D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pPr>
              <w:pStyle w:val="null10"/>
              <w:spacing w:lineRule="exact" w:line="200"/>
            </w:pPr>
            <w:r>
              <w:rPr>
                <w:rFonts w:ascii="方正黑体_GBK" w:hAnsi="方正黑体_GBK" w:cs="宋体" w:eastAsia="方正黑体_GBK"/>
                <w:sz w:val="18"/>
                <w:szCs w:val="18"/>
              </w:rPr>
              <w:t>E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pPr>
              <w:pStyle w:val="null10"/>
              <w:spacing w:lineRule="exact" w:line="200"/>
            </w:pPr>
            <w:r>
              <w:rPr>
                <w:rFonts w:ascii="方正黑体_GBK" w:hAnsi="方正黑体_GBK" w:cs="宋体" w:eastAsia="方正黑体_GBK"/>
                <w:sz w:val="18"/>
                <w:szCs w:val="18"/>
              </w:rPr>
              <w:t>F份额：南京银行私行客户、钻石客户、新晋私行客户、新晋钻石户及南京银行认定的其他符合标准的客户。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G份额：成都银行股份有限公司客户。</w:t>
            </w:r>
          </w:p>
          <w:p>
            <w:pPr>
              <w:pStyle w:val="null10"/>
              <w:spacing w:lineRule="exact" w:line="200"/>
            </w:pPr>
            <w:r>
              <w:rPr>
                <w:rFonts w:ascii="方正黑体_GBK" w:hAnsi="方正黑体_GBK" w:cs="宋体" w:eastAsia="方正黑体_GBK"/>
                <w:sz w:val="18"/>
                <w:szCs w:val="18"/>
              </w:rPr>
              <w:t>H份额：南京银行股份有限公司代发客户。</w:t>
            </w:r>
          </w:p>
          <w:p>
            <w:pPr>
              <w:pStyle w:val="null10"/>
              <w:spacing w:lineRule="exact" w:line="200"/>
            </w:pPr>
            <w:r>
              <w:rPr>
                <w:rFonts w:ascii="方正黑体_GBK" w:hAnsi="方正黑体_GBK" w:cs="宋体" w:eastAsia="方正黑体_GBK"/>
                <w:sz w:val="18"/>
                <w:szCs w:val="18"/>
              </w:rPr>
              <w:t>J份额：兴业银行股份有限公司客户。</w:t>
            </w:r>
          </w:p>
          <w:p>
            <w:pPr>
              <w:pStyle w:val="null10"/>
              <w:spacing w:lineRule="exact" w:line="200"/>
            </w:pPr>
            <w:r>
              <w:rPr>
                <w:rFonts w:ascii="方正黑体_GBK" w:hAnsi="方正黑体_GBK" w:cs="宋体" w:eastAsia="方正黑体_GBK"/>
                <w:sz w:val="18"/>
                <w:szCs w:val="18"/>
              </w:rPr>
              <w:t>K份额：交通银行股份有限公司客户。</w:t>
            </w:r>
          </w:p>
          <w:p>
            <w:pPr>
              <w:pStyle w:val="null10"/>
              <w:spacing w:lineRule="exact" w:line="200"/>
            </w:pPr>
            <w:r>
              <w:rPr>
                <w:rFonts w:ascii="方正黑体_GBK" w:hAnsi="方正黑体_GBK" w:cs="宋体" w:eastAsia="方正黑体_GBK"/>
                <w:sz w:val="18"/>
                <w:szCs w:val="18"/>
              </w:rPr>
              <w:t>M份额：苏州银行股份有限公司、嘉兴银行股份有限公司、宁波通商银行股份有限公司客户。</w:t>
            </w:r>
          </w:p>
          <w:p>
            <w:pPr>
              <w:pStyle w:val="null10"/>
              <w:spacing w:lineRule="exact" w:line="200"/>
            </w:pPr>
            <w:r>
              <w:rPr>
                <w:rFonts w:ascii="方正黑体_GBK" w:hAnsi="方正黑体_GBK" w:cs="宋体" w:eastAsia="方正黑体_GBK"/>
                <w:sz w:val="18"/>
                <w:szCs w:val="18"/>
              </w:rPr>
              <w:t>N份额：苏州银行股份有限公司（代发与新资金专属）客户。</w:t>
            </w:r>
          </w:p>
          <w:p>
            <w:pPr>
              <w:pStyle w:val="null10"/>
              <w:spacing w:lineRule="exact" w:line="200"/>
            </w:pPr>
            <w:r>
              <w:rPr>
                <w:rFonts w:ascii="方正黑体_GBK" w:hAnsi="方正黑体_GBK" w:cs="宋体" w:eastAsia="方正黑体_GBK"/>
                <w:sz w:val="18"/>
                <w:szCs w:val="18"/>
              </w:rPr>
              <w:t>O份额：广发银行股份有限公司所有个人客户。</w:t>
            </w:r>
          </w:p>
          <w:p>
            <w:pPr>
              <w:pStyle w:val="null10"/>
              <w:spacing w:lineRule="exact" w:line="200"/>
            </w:pPr>
            <w:r>
              <w:rPr>
                <w:rFonts w:ascii="方正黑体_GBK" w:hAnsi="方正黑体_GBK" w:cs="宋体" w:eastAsia="方正黑体_GBK"/>
                <w:sz w:val="18"/>
                <w:szCs w:val="18"/>
              </w:rPr>
              <w:t>A2份额：南京银行股份有限公司、九江银行股份有限公司、江苏江阴农村商业银行股份有限公司客户。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2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2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pPr>
              <w:pStyle w:val="null10"/>
              <w:spacing w:lineRule="exact" w:line="200"/>
            </w:pPr>
            <w:r>
              <w:rPr>
                <w:rFonts w:ascii="方正黑体_GBK" w:hAnsi="方正黑体_GBK" w:cs="宋体" w:eastAsia="方正黑体_GBK"/>
                <w:sz w:val="18"/>
                <w:szCs w:val="18"/>
              </w:rPr>
              <w:t>D2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pPr>
              <w:pStyle w:val="null10"/>
              <w:spacing w:lineRule="exact" w:line="200"/>
            </w:pPr>
            <w:r>
              <w:rPr>
                <w:rFonts w:ascii="方正黑体_GBK" w:hAnsi="方正黑体_GBK" w:cs="宋体" w:eastAsia="方正黑体_GBK"/>
                <w:sz w:val="18"/>
                <w:szCs w:val="18"/>
              </w:rPr>
              <w:t>E2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pPr>
              <w:pStyle w:val="null10"/>
              <w:spacing w:lineRule="exact" w:line="200"/>
            </w:pPr>
            <w:r>
              <w:rPr>
                <w:rFonts w:ascii="方正黑体_GBK" w:hAnsi="方正黑体_GBK" w:cs="宋体" w:eastAsia="方正黑体_GBK"/>
                <w:sz w:val="18"/>
                <w:szCs w:val="18"/>
              </w:rPr>
              <w:t>A3份额：南京银行股份有限公司、九江银行股份有限公司、江苏江阴农村商业银行股份有限公司客户。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3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3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pPr>
              <w:pStyle w:val="null10"/>
              <w:spacing w:lineRule="exact" w:line="200"/>
            </w:pPr>
            <w:r>
              <w:rPr>
                <w:rFonts w:ascii="方正黑体_GBK" w:hAnsi="方正黑体_GBK" w:cs="宋体" w:eastAsia="方正黑体_GBK"/>
                <w:sz w:val="18"/>
                <w:szCs w:val="18"/>
              </w:rPr>
              <w:t>D3份额：南京银行股份有限公司（新客、新资金（20万））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pPr>
              <w:pStyle w:val="null10"/>
              <w:spacing w:lineRule="exact" w:line="200"/>
            </w:pPr>
            <w:r>
              <w:rPr>
                <w:rFonts w:ascii="方正黑体_GBK" w:hAnsi="方正黑体_GBK" w:cs="宋体" w:eastAsia="方正黑体_GBK"/>
                <w:sz w:val="18"/>
                <w:szCs w:val="18"/>
              </w:rPr>
              <w:t>E3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pPr>
              <w:pStyle w:val="null10"/>
              <w:spacing w:lineRule="exact" w:line="200"/>
            </w:pPr>
            <w:r>
              <w:rPr>
                <w:rFonts w:ascii="方正黑体_GBK" w:hAnsi="方正黑体_GBK" w:cs="宋体" w:eastAsia="方正黑体_GBK"/>
                <w:sz w:val="18"/>
                <w:szCs w:val="18"/>
              </w:rPr>
              <w:t>A4份额：南京银行股份有限公司、九江银行股份有限公司、江苏江阴农村商业银行股份有限公司客户。</w:t>
            </w:r>
          </w:p>
          <w:p>
            <w:pPr>
              <w:pStyle w:val="null10"/>
              <w:spacing w:lineRule="exact" w:line="200"/>
            </w:pPr>
            <w:r>
              <w:rPr>
                <w:rFonts w:ascii="方正黑体_GBK" w:hAnsi="方正黑体_GBK" w:cs="宋体" w:eastAsia="方正黑体_GBK"/>
                <w:sz w:val="18"/>
                <w:szCs w:val="18"/>
              </w:rPr>
              <w:t>B4份额：江苏常熟农村商业银行股份有限公司、江苏苏州农村商业银行股份有限公司、齐鲁银行股份有限公司、贵阳银行股份有限公司、天津农村商业银行股份有限公司（大众客群）、云南红塔银行股份有限公司（代发客户）、中原银行股份有限公司、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民丰农村商业银行股份有限公司、江苏建湖农村商业银行股份有限公司、江苏南通农村商业银行股份有限公司、江苏大丰农村商业银行股份有限公司（普通客户）、江苏镇江农村商业银行股份有限公司、徐州农村商业银行股份有限公司、江苏丰县农村商业银行股份有限公司、江苏仪征农村商业银行股份有限公司、江苏沭阳农村商业银行股份有限公司客户。</w:t>
            </w:r>
          </w:p>
          <w:p>
            <w:pPr>
              <w:pStyle w:val="null10"/>
              <w:spacing w:lineRule="exact" w:line="200"/>
            </w:pPr>
            <w:r>
              <w:rPr>
                <w:rFonts w:ascii="方正黑体_GBK" w:hAnsi="方正黑体_GBK" w:cs="宋体" w:eastAsia="方正黑体_GBK"/>
                <w:sz w:val="18"/>
                <w:szCs w:val="18"/>
              </w:rPr>
              <w:t>C4份额：江苏常熟农村商业银行股份有限公司（特定客群）、河北银行股份有限公司（常规客户）、天津农村商业银行股份有限公司（社保专属）、云南红塔银行股份有限公司（财富客户）、江苏扬州农村商业银行股份有限公司、江苏大丰农村商业银行股份有限公司客户（特邀企业客户）。</w:t>
            </w:r>
          </w:p>
          <w:p>
            <w:pPr>
              <w:pStyle w:val="null10"/>
              <w:spacing w:lineRule="exact" w:line="200"/>
            </w:pPr>
            <w:r>
              <w:rPr>
                <w:rFonts w:ascii="方正黑体_GBK" w:hAnsi="方正黑体_GBK" w:cs="宋体" w:eastAsia="方正黑体_GBK"/>
                <w:sz w:val="18"/>
                <w:szCs w:val="18"/>
              </w:rPr>
              <w:t>D4份额：河北银行股份有限公司（分行特供）、秦皇岛银行股份有限公司、天津农村商业银行股份有限公司（专属客户）、云南红塔银行股份有限公司（新客户）、桂林银行股份有限公司（高净值客户）、甘肃银行股份有限公司（常规客群）、江苏宜兴农村商业银行股份有限公司、江苏镇江农村商业银行股份有限公司（20万元起购）、江苏紫金农村商业银行股份有限公司、江苏沛县农村商业银行股份有限公司客户。</w:t>
            </w:r>
          </w:p>
          <w:p>
            <w:pPr>
              <w:pStyle w:val="null10"/>
              <w:spacing w:lineRule="exact" w:line="200"/>
            </w:pPr>
            <w:r>
              <w:rPr>
                <w:rFonts w:ascii="方正黑体_GBK" w:hAnsi="方正黑体_GBK" w:cs="宋体" w:eastAsia="方正黑体_GBK"/>
                <w:sz w:val="18"/>
                <w:szCs w:val="18"/>
              </w:rPr>
              <w:t>E4份额：天津农村商业银行股份有限公司（特邀客户）、云南红塔银行股份有限公司（财富300万客户）、甘肃银行股份有限公司（教师节特供）、江苏镇江农村商业银行股份有限公司（100万元起购）、江苏句容农村商业银行股份有限公司、江苏沛县农村商业银行股份有限公司（高端客户专属）客户。</w:t>
            </w:r>
          </w:p>
          <w:p>
            <w:pPr>
              <w:pStyle w:val="null10"/>
              <w:spacing w:lineRule="exact" w:line="200"/>
            </w:pPr>
            <w:r>
              <w:rPr>
                <w:rFonts w:ascii="方正黑体_GBK" w:hAnsi="方正黑体_GBK" w:cs="宋体" w:eastAsia="方正黑体_GBK"/>
                <w:sz w:val="18"/>
                <w:szCs w:val="18"/>
              </w:rPr>
              <w:t>F2份额：南京银行私行客户、钻石客户、新晋私行客户、新晋钻石户及南京银行认定的其他符合标准的客户。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F3份额：南京银行私行客户、钻石客户、新晋私行客户、新晋钻石户及南京银行认定的其他符合标准的客户。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G2份额：成都银行股份有限公司客户。</w:t>
            </w:r>
          </w:p>
          <w:p>
            <w:pPr>
              <w:pStyle w:val="null10"/>
              <w:spacing w:lineRule="exact" w:line="200"/>
            </w:pPr>
            <w:r>
              <w:rPr>
                <w:rFonts w:ascii="方正黑体_GBK" w:hAnsi="方正黑体_GBK" w:cs="宋体" w:eastAsia="方正黑体_GBK"/>
                <w:sz w:val="18"/>
                <w:szCs w:val="18"/>
              </w:rPr>
              <w:t>G3份额：成都银行股份有限公司客户。</w:t>
            </w:r>
          </w:p>
          <w:p>
            <w:pPr>
              <w:pStyle w:val="null10"/>
              <w:spacing w:lineRule="exact" w:line="200"/>
            </w:pPr>
            <w:r>
              <w:rPr>
                <w:rFonts w:ascii="方正黑体_GBK" w:hAnsi="方正黑体_GBK" w:cs="宋体" w:eastAsia="方正黑体_GBK"/>
                <w:sz w:val="18"/>
                <w:szCs w:val="18"/>
              </w:rPr>
              <w:t>F4份额：南京银行私行客户、钻石客户、新晋私行客户、新晋钻石户及南京银行认定的其他符合标准的客户。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G4份额：成都银行股份有限公司客户。</w:t>
            </w:r>
          </w:p>
          <w:p>
            <w:pPr>
              <w:pStyle w:val="null10"/>
              <w:spacing w:lineRule="exact" w:line="200"/>
            </w:pPr>
            <w:r>
              <w:rPr>
                <w:rFonts w:ascii="方正黑体_GBK" w:hAnsi="方正黑体_GBK" w:cs="宋体" w:eastAsia="方正黑体_GBK"/>
                <w:sz w:val="18"/>
                <w:szCs w:val="18"/>
              </w:rPr>
              <w:t>H4份额：南京银行股份有限公司代发客户。</w:t>
            </w:r>
          </w:p>
          <w:p>
            <w:pPr>
              <w:pStyle w:val="null10"/>
              <w:spacing w:lineRule="exact" w:line="200"/>
            </w:pPr>
            <w:r>
              <w:rPr>
                <w:rFonts w:ascii="方正黑体_GBK" w:hAnsi="方正黑体_GBK" w:cs="宋体" w:eastAsia="方正黑体_GBK"/>
                <w:sz w:val="18"/>
                <w:szCs w:val="18"/>
              </w:rPr>
              <w:t>I2份额：南京银行股份有限公司（特定分行新客、新资金（5万）、代发）客户。</w:t>
            </w:r>
          </w:p>
          <w:p>
            <w:pPr>
              <w:pStyle w:val="null10"/>
              <w:spacing w:lineRule="exact" w:line="200"/>
            </w:pPr>
            <w:r>
              <w:rPr>
                <w:rFonts w:ascii="方正黑体_GBK" w:hAnsi="方正黑体_GBK" w:cs="宋体" w:eastAsia="方正黑体_GBK"/>
                <w:sz w:val="18"/>
                <w:szCs w:val="18"/>
              </w:rPr>
              <w:t>J2份额：兴业银行股份有限公司客户。</w:t>
            </w:r>
          </w:p>
          <w:p>
            <w:pPr>
              <w:pStyle w:val="null10"/>
              <w:spacing w:lineRule="exact" w:line="200"/>
            </w:pPr>
            <w:r>
              <w:rPr>
                <w:rFonts w:ascii="方正黑体_GBK" w:hAnsi="方正黑体_GBK" w:cs="宋体" w:eastAsia="方正黑体_GBK"/>
                <w:sz w:val="18"/>
                <w:szCs w:val="18"/>
              </w:rPr>
              <w:t>K2份额：交通银行股份有限公司客户。</w:t>
            </w:r>
          </w:p>
          <w:p>
            <w:pPr>
              <w:pStyle w:val="null10"/>
              <w:spacing w:lineRule="exact" w:line="200"/>
            </w:pPr>
            <w:r>
              <w:rPr>
                <w:rFonts w:ascii="方正黑体_GBK" w:hAnsi="方正黑体_GBK" w:cs="宋体" w:eastAsia="方正黑体_GBK"/>
                <w:sz w:val="18"/>
                <w:szCs w:val="18"/>
              </w:rPr>
              <w:t>J3份额：兴业银行股份有限公司客户。</w:t>
            </w:r>
          </w:p>
          <w:p>
            <w:pPr>
              <w:pStyle w:val="null10"/>
              <w:spacing w:lineRule="exact" w:line="200"/>
            </w:pPr>
            <w:r>
              <w:rPr>
                <w:rFonts w:ascii="方正黑体_GBK" w:hAnsi="方正黑体_GBK" w:cs="宋体" w:eastAsia="方正黑体_GBK"/>
                <w:sz w:val="18"/>
                <w:szCs w:val="18"/>
              </w:rPr>
              <w:t>K3份额：交通银行股份有限公司客户。</w:t>
            </w:r>
          </w:p>
          <w:p>
            <w:pPr>
              <w:pStyle w:val="null10"/>
              <w:spacing w:lineRule="exact" w:line="200"/>
            </w:pPr>
            <w:r>
              <w:rPr>
                <w:rFonts w:ascii="方正黑体_GBK" w:hAnsi="方正黑体_GBK" w:cs="宋体" w:eastAsia="方正黑体_GBK"/>
                <w:sz w:val="18"/>
                <w:szCs w:val="18"/>
              </w:rPr>
              <w:t>L3份额：兴业银行股份有限公司南京分行客户。</w:t>
            </w:r>
          </w:p>
          <w:p>
            <w:pPr>
              <w:pStyle w:val="null10"/>
              <w:spacing w:lineRule="exact" w:line="200"/>
            </w:pPr>
            <w:r>
              <w:rPr>
                <w:rFonts w:ascii="方正黑体_GBK" w:hAnsi="方正黑体_GBK" w:cs="宋体" w:eastAsia="方正黑体_GBK"/>
                <w:sz w:val="18"/>
                <w:szCs w:val="18"/>
              </w:rPr>
              <w:t>J4份额：兴业银行股份有限公司客户。</w:t>
            </w:r>
          </w:p>
          <w:p>
            <w:pPr>
              <w:pStyle w:val="null10"/>
              <w:spacing w:lineRule="exact" w:line="200"/>
            </w:pPr>
            <w:r>
              <w:rPr>
                <w:rFonts w:ascii="方正黑体_GBK" w:hAnsi="方正黑体_GBK" w:cs="宋体" w:eastAsia="方正黑体_GBK"/>
                <w:sz w:val="18"/>
                <w:szCs w:val="18"/>
              </w:rPr>
              <w:t>K4份额：交通银行股份有限公司客户。</w:t>
            </w:r>
          </w:p>
          <w:p>
            <w:pPr>
              <w:pStyle w:val="null10"/>
              <w:spacing w:lineRule="exact" w:line="200"/>
            </w:pPr>
            <w:r>
              <w:rPr>
                <w:rFonts w:ascii="方正黑体_GBK" w:hAnsi="方正黑体_GBK" w:cs="宋体" w:eastAsia="方正黑体_GBK"/>
                <w:sz w:val="18"/>
                <w:szCs w:val="18"/>
              </w:rPr>
              <w:t>I4份额：南京银行股份有限公司（特定分行新客、新资金（5万）、代发）客户。</w:t>
            </w:r>
          </w:p>
          <w:p>
            <w:pPr>
              <w:pStyle w:val="null10"/>
              <w:spacing w:lineRule="exact" w:line="200"/>
            </w:pPr>
            <w:r>
              <w:rPr>
                <w:rFonts w:ascii="方正黑体_GBK" w:hAnsi="方正黑体_GBK" w:cs="宋体" w:eastAsia="方正黑体_GBK"/>
                <w:sz w:val="18"/>
                <w:szCs w:val="18"/>
              </w:rPr>
              <w:t>M2份额：苏州银行股份有限公司、嘉兴银行股份有限公司、宁波通商银行股份有限公司客户。</w:t>
            </w:r>
          </w:p>
          <w:p>
            <w:pPr>
              <w:pStyle w:val="null10"/>
              <w:spacing w:lineRule="exact" w:line="200"/>
            </w:pPr>
            <w:r>
              <w:rPr>
                <w:rFonts w:ascii="方正黑体_GBK" w:hAnsi="方正黑体_GBK" w:cs="宋体" w:eastAsia="方正黑体_GBK"/>
                <w:sz w:val="18"/>
                <w:szCs w:val="18"/>
              </w:rPr>
              <w:t>M3份额：苏州银行股份有限公司、嘉兴银行股份有限公司、宁波通商银行股份有限公司客户。</w:t>
            </w:r>
          </w:p>
          <w:p>
            <w:pPr>
              <w:pStyle w:val="null10"/>
              <w:spacing w:lineRule="exact" w:line="200"/>
            </w:pPr>
            <w:r>
              <w:rPr>
                <w:rFonts w:ascii="方正黑体_GBK" w:hAnsi="方正黑体_GBK" w:cs="宋体" w:eastAsia="方正黑体_GBK"/>
                <w:sz w:val="18"/>
                <w:szCs w:val="18"/>
              </w:rPr>
              <w:t>M4份额：苏州银行股份有限公司、嘉兴银行股份有限公司、宁波通商银行股份有限公司客户。</w:t>
            </w:r>
          </w:p>
          <w:p>
            <w:pPr>
              <w:pStyle w:val="null10"/>
              <w:spacing w:lineRule="exact" w:line="200"/>
            </w:pPr>
            <w:r>
              <w:rPr>
                <w:rFonts w:ascii="方正黑体_GBK" w:hAnsi="方正黑体_GBK" w:cs="宋体" w:eastAsia="方正黑体_GBK"/>
                <w:sz w:val="18"/>
                <w:szCs w:val="18"/>
              </w:rPr>
              <w:t>O2份额：广发银行股份有限公司所有个人客户。</w:t>
            </w:r>
          </w:p>
          <w:p>
            <w:pPr>
              <w:pStyle w:val="null10"/>
              <w:spacing w:lineRule="exact" w:line="200"/>
            </w:pPr>
            <w:r>
              <w:rPr>
                <w:rFonts w:ascii="方正黑体_GBK" w:hAnsi="方正黑体_GBK" w:cs="宋体" w:eastAsia="方正黑体_GBK"/>
                <w:sz w:val="18"/>
                <w:szCs w:val="18"/>
              </w:rPr>
              <w:t>O3份额：广发银行股份有限公司所有个人客户。</w:t>
            </w:r>
          </w:p>
          <w:p>
            <w:pPr>
              <w:pStyle w:val="null10"/>
              <w:spacing w:lineRule="exact" w:line="200"/>
            </w:pPr>
            <w:r>
              <w:rPr>
                <w:rFonts w:ascii="方正黑体_GBK" w:hAnsi="方正黑体_GBK" w:cs="宋体" w:eastAsia="方正黑体_GBK"/>
                <w:sz w:val="18"/>
                <w:szCs w:val="18"/>
              </w:rPr>
              <w:t>O4份额：广发银行股份有限公司所有个人客户。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H份额/J份额/K份额/M份额/N份额/A2份额/B2份额/C2份额/D2份额/E2份额/A3份额/B3份额/C3份额/D3份额/E3份额/A4份额/B4份额/C4份额/D4份额/E4份额/F2份额/F3份额/G2份额/G3份额/F4份额/G4份额/H4份额/I2份额/J2份额/K2份额/J3份额/K3份额/L3份额/J4份额/K4份额/I4份额/M2份额/M3份额/M4份额/O4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O份额/O2份额/O3份额：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2019年08月07日 09:00—2019年08月14日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本理财产品每期封闭期为一年，当期封闭期起止时间以公告为准。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2019年08月15日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2019年08月15日—实际到期日（若本理财产品未被提前终止或延期终止，则实际到期日即为名义到期日，存续期限10年；若本理财产品被提前终止或延期终止，则实际到期日为提前终止日或延期终止日。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2029年12月28日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bookmarkStart w:id="0" w:name="_GoBack"/>
            <w:bookmarkEnd w:id="0"/>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本理财产品存续期内按每一年开放申购，如遇节假日调整，申购开放日和申购确认日以公告为准。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hd w:fill="FFFFFF" w:val="clear"/>
                <w:szCs w:val="18"/>
              </w:rPr>
              <w:t>A份额/F份额：本次开放期为2025年9月18日9：00至2025年9月24日17：00,下一个开放期为2026年11月5日9：00至2026年11月11日17：00，投资者可以提交或撤销申购/赎回申请。</w:t>
            </w:r>
            <w:r>
              <w:rPr>
                <w:rFonts w:ascii="方正黑体_GBK" w:hAnsi="方正黑体_GBK" w:eastAsia="方正黑体_GBK"/>
              </w:rPr>
              <w:br/>
            </w:r>
            <w:r>
              <w:rPr>
                <w:rFonts w:ascii="方正黑体_GBK" w:hAnsi="方正黑体_GBK" w:cs="宋体" w:eastAsia="方正黑体_GBK"/>
                <w:sz w:val="18"/>
                <w:color w:val="000000"/>
                <w:shd w:fill="FFFFFF" w:val="clear"/>
                <w:szCs w:val="18"/>
              </w:rPr>
              <w:t>B份额/C份额/D份额/E份额/G份额/H份额/J份额/K份额/M份额/N份额/O份额：本次开放期为2025年9月18日9：00至2025年9月24日17：00，投资者可以提交或撤销认/申购申请；确认成功的份额均将于下一个开放期（2026年11月5日9：00至2026年11月11日17：00）由系统自动发起赎回申请。</w:t>
            </w:r>
            <w:r>
              <w:rPr>
                <w:rFonts w:ascii="方正黑体_GBK" w:hAnsi="方正黑体_GBK" w:eastAsia="方正黑体_GBK"/>
              </w:rPr>
              <w:br/>
            </w:r>
            <w:r>
              <w:rPr>
                <w:rFonts w:ascii="方正黑体_GBK" w:hAnsi="方正黑体_GBK" w:cs="宋体" w:eastAsia="方正黑体_GBK"/>
                <w:sz w:val="18"/>
                <w:color w:val="000000"/>
                <w:shd w:fill="FFFFFF" w:val="clear"/>
                <w:szCs w:val="18"/>
              </w:rPr>
              <w:t>A2份额/F2份额：本次开放期为2025年9月25日9：00至2025年10月9日17：00,下一个赎回开放期为2026年11月5日9：00至2026年11月11日17：00，投资者可以提交或撤销赎回申请，下一个申购开放期为2026年11月12日9：00至2026年11月18日17：00，投资者可以提交或撤销申购申请。</w:t>
            </w:r>
            <w:r>
              <w:rPr>
                <w:rFonts w:ascii="方正黑体_GBK" w:hAnsi="方正黑体_GBK" w:eastAsia="方正黑体_GBK"/>
              </w:rPr>
              <w:br/>
            </w:r>
            <w:r>
              <w:rPr>
                <w:rFonts w:ascii="方正黑体_GBK" w:hAnsi="方正黑体_GBK" w:cs="宋体" w:eastAsia="方正黑体_GBK"/>
                <w:sz w:val="18"/>
                <w:color w:val="000000"/>
                <w:shd w:fill="FFFFFF" w:val="clear"/>
                <w:szCs w:val="18"/>
              </w:rPr>
              <w:t>B2份额/C2份额/D2份额/E2份额/G2份额/I2份额/J2份额/K2份额/M2份额/O2份额：本次开放期为2025年9月25日9：00至2025年10月9日17：00，投资者可以提交或撤销认/申购申请；确认成功的份额均将于下一个开放期（2026年11月5日9：00至2026年11月11日17：00）由系统自动发起赎回申请。</w:t>
            </w:r>
            <w:r>
              <w:rPr>
                <w:rFonts w:ascii="方正黑体_GBK" w:hAnsi="方正黑体_GBK" w:eastAsia="方正黑体_GBK"/>
              </w:rPr>
              <w:br/>
            </w:r>
            <w:r>
              <w:rPr>
                <w:rFonts w:ascii="方正黑体_GBK" w:hAnsi="方正黑体_GBK" w:cs="宋体" w:eastAsia="方正黑体_GBK"/>
                <w:sz w:val="18"/>
                <w:color w:val="000000"/>
                <w:shd w:fill="FFFFFF" w:val="clear"/>
                <w:szCs w:val="18"/>
              </w:rPr>
              <w:t>A3份额/F3份额：本次开放期为2025年10月10日9：00至2025年10月15日17：00,下一个赎回开放期为2026年11月5日9：00至2026年11月11日17：00，投资者可以提交或撤销赎回申请，下一个申购开放期为2026年11月19日9：00至2026年11月25日17：00，投资者可以提交或撤销申购申请。</w:t>
            </w:r>
            <w:r>
              <w:rPr>
                <w:rFonts w:ascii="方正黑体_GBK" w:hAnsi="方正黑体_GBK" w:eastAsia="方正黑体_GBK"/>
              </w:rPr>
              <w:br/>
            </w:r>
            <w:r>
              <w:rPr>
                <w:rFonts w:ascii="方正黑体_GBK" w:hAnsi="方正黑体_GBK" w:cs="宋体" w:eastAsia="方正黑体_GBK"/>
                <w:sz w:val="18"/>
                <w:color w:val="000000"/>
                <w:shd w:fill="FFFFFF" w:val="clear"/>
                <w:szCs w:val="18"/>
              </w:rPr>
              <w:t>B3份额/C3份额/D3份额/E3份额/G3份额/J3份额/K3份额/L3份额/M3份额/O3份额：本次开放期为2025年10月10日9：00至2025年10月15日17：00，投资者可以提交或撤销认/申购申请；确认成功的份额均将于下一个开放期（2026年11月5日9：00至2026年11月11日17：00）由系统自动发起赎回申请。</w:t>
            </w:r>
            <w:r>
              <w:rPr>
                <w:rFonts w:ascii="方正黑体_GBK" w:hAnsi="方正黑体_GBK" w:eastAsia="方正黑体_GBK"/>
              </w:rPr>
              <w:br/>
            </w:r>
            <w:r>
              <w:rPr>
                <w:rFonts w:ascii="方正黑体_GBK" w:hAnsi="方正黑体_GBK" w:cs="宋体" w:eastAsia="方正黑体_GBK"/>
                <w:sz w:val="18"/>
                <w:color w:val="000000"/>
                <w:shd w:fill="FFFFFF" w:val="clear"/>
                <w:szCs w:val="18"/>
              </w:rPr>
              <w:t>A4份额/F4份额：本次开放期为2025年10月16日9：00至2025年10月22日17：00,下一个赎回开放期为2026年11月5日9：00至2026年11月11日17：00，投资者可以提交或撤销赎回申请，下一个申购开放期为2026年11月26日9：00至2026年12月2日17：00，投资者可以提交或撤销申购申请。</w:t>
            </w:r>
            <w:r>
              <w:rPr>
                <w:rFonts w:ascii="方正黑体_GBK" w:hAnsi="方正黑体_GBK" w:eastAsia="方正黑体_GBK"/>
              </w:rPr>
              <w:br/>
            </w:r>
            <w:r>
              <w:rPr>
                <w:rFonts w:ascii="方正黑体_GBK" w:hAnsi="方正黑体_GBK" w:cs="宋体" w:eastAsia="方正黑体_GBK"/>
                <w:sz w:val="18"/>
                <w:color w:val="000000"/>
                <w:shd w:fill="FFFFFF" w:val="clear"/>
                <w:szCs w:val="18"/>
              </w:rPr>
              <w:t>B4份额/C4份额/D4份额/E4份额/G4份额/H4份额/I4份额/J4份额/K4份额/M4份额/O4份额：本次开放期为2025年10月16日9：00至2025年10月22日17：00，投资者可以提交或撤销认/申购申请；确认成功的份额均将于下一个开放期（2026年11月5日9：00至2026年11月11日17：00）由系统自动发起赎回申请。</w:t>
            </w:r>
            <w:r>
              <w:rPr>
                <w:rFonts w:ascii="方正黑体_GBK" w:hAnsi="方正黑体_GBK" w:eastAsia="方正黑体_GBK"/>
              </w:rPr>
              <w:br/>
            </w:r>
            <w:r>
              <w:rPr>
                <w:rFonts w:ascii="方正黑体_GBK" w:hAnsi="方正黑体_GBK" w:cs="宋体" w:eastAsia="方正黑体_GBK"/>
                <w:sz w:val="18"/>
                <w:color w:val="000000"/>
                <w:shd w:fill="FFFFFF" w:val="clear"/>
                <w:szCs w:val="18"/>
              </w:rPr>
              <w:t>产品开放期如有调整以管理人公告为准。</w:t>
            </w:r>
            <w:r>
              <w:rPr>
                <w:rFonts w:ascii="方正黑体_GBK" w:hAnsi="方正黑体_GBK" w:eastAsia="方正黑体_GBK"/>
              </w:rPr>
              <w:br/>
            </w:r>
            <w:r>
              <w:rPr>
                <w:rFonts w:ascii="方正黑体_GBK" w:hAnsi="方正黑体_GBK" w:cs="宋体" w:eastAsia="方正黑体_GBK"/>
                <w:sz w:val="18"/>
                <w:color w:val="000000"/>
                <w:shd w:fill="FFFFFF" w:val="clear"/>
                <w:szCs w:val="18"/>
              </w:rPr>
              <w:t>在销售机构支持的前提下，认购/申购/赎回开放期末日17:00前可以撤销申请。</w:t>
            </w:r>
            <w:r>
              <w:rPr>
                <w:rFonts w:ascii="方正黑体_GBK" w:hAnsi="方正黑体_GBK" w:eastAsia="方正黑体_GBK"/>
              </w:rPr>
              <w:br/>
            </w:r>
            <w:r>
              <w:rPr>
                <w:rFonts w:ascii="方正黑体_GBK" w:hAnsi="方正黑体_GBK" w:cs="宋体" w:eastAsia="方正黑体_GBK"/>
                <w:sz w:val="18"/>
                <w:color w:val="000000"/>
                <w:shd w:fill="FFFFFF" w:val="clear"/>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jc w:val="left"/>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固定收益类信托计划，底层资产为向融资人绍兴市柯桥区建设集团有限公司发放信托贷款，资产到期日不超过理财产品最近一次开放日。融资人评级为AA+(评级机构为上海新世纪资信评估投资服务有限公司)，融资人第一大股东为绍兴市柯桥区国有资产投资经营集团有限公司，持股比例为100%。经营范围包括:城市基础设施建设;交通道路建设;旧城改造;重大公益性项目的投资、开发、建设;城市综合开发;土地综合开发利用;房地产开发、经营;自有房屋租赁;物业管理;广告经营;物流工程开发;实业投资。(依法须经批准的项目,经相关部门批准后方可开展经营活动)</w:t>
            </w:r>
          </w:p>
          <w:p>
            <w:pPr>
              <w:pStyle w:val="null10"/>
              <w:spacing w:lineRule="exact" w:line="200"/>
            </w:pPr>
            <w:r>
              <w:rPr>
                <w:rFonts w:ascii="方正黑体_GBK" w:hAnsi="方正黑体_GBK" w:cs="宋体" w:eastAsia="方正黑体_GBK"/>
                <w:sz w:val="18"/>
                <w:szCs w:val="18"/>
              </w:rPr>
              <w:t>2.    信托贷款：资产类型为信托公司设立的固定收益类信托计划，底层资产为向融资人常州滨江产城建设发展有限公司发放信托贷款，资产到期日不超过理财产品最近一次开放日。融资人无外部评级，融资人第一大股东为常州滨江投资发展集团有限公司，持股比例为100%。经营范围包括:许可项目：建设工程施工(依法须经批准的项目，经相关部门批准后方可开展经营活动，具体经营项目以审批结果为准)一般项目：环境保护专用设备销售；新能源原动设备销售；技术服务、技术开发、技术咨询、技术交流、技术转让、技术推广；环保咨询服务；化工产品销售(不含许可类化工产品)；工程管理服务；建筑材料销售；建筑装饰材料销售；有色金属合金销售；五金产品零售；住房租赁；非居住房地产租赁；土地整治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3.    信托贷款：资产类型为信托公司设立的固定收益类信托计划，底层资产为向融资人江苏龙城国有控股集团有限公司发放信托贷款，资产到期日不超过理财产品最近一次开放日。融资人评级为AA+(评级机构为中诚信国际信用评级有限责任公司)，融资人第一大股东为常州市人民政府，持股比例为100%。经营范围包括:许可项目:建设工程施工(依法须经批准的项目,经相关部门批准后方可开展经营活动,具体经营项目以审批结果为准)一般项目:自有资金投资的资产管理服务;市政设施管理;园林绿化工程施工;城市绿化管理;物业管理;城乡市容管理;停车场服务;建筑材料销售;租赁服务(不含许可类租赁服务);城市公园管理;森林公园管理;森林经营和管护;园区管理服务;电子产品销售;普通货物仓储服务(不含危险化学品等需许可审批的项目);土地整治服务;水环境污染防治服务;科技中介服务;自然生态系统保护管理;工程管理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4.    信托贷款：资产类型为信托公司设立的固定收益类信托计划，底层资产为向融资人常州市武进建设资产经营有限公司发放信托贷款，资产到期日不超过理财产品最近一次开放日。融资人无外部评级，融资人第一大股东为江苏武进经济发展集团有限公司，持股比例为100%。经营范围包括:一般项目：以自有资金从事投资活动；企业管理；物业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5.    信托贷款：资产类型为信托公司设立的固定收益类信托计划，底层资产为向融资人靖江市城市建设投资发展(集团)有限公司发放信托贷款，资产到期日不超过理财产品最近一次开放日。融资人评级为AA+(评级机构为中证鹏元资信评估股份有限公司)，融资人第一大股东为靖江市人民政府国有资产监督管理办公室，持股比例为100%。经营范围包括:许可项目：住宅室内装饰装修；建设工程质量检测；建设工程施工；建设工程勘察；建设工程设计；房地产开发经营；城市生活垃圾经营性服务；建筑物拆除作业(爆破作业除外)；道路货物运输(不含危险货物)；水产养殖；发电业务、输电业务、供(配)电业务；供电业务；输电、供电、受电电力设施的安装、维修和试验；网络文化经营；互联网直播技术服务(依法须经批准的项目，经相关部门批准后方可开展经营活动，具体经营项目以审批结果为准)一般项目：对外承包工程；工程造价咨询业务；物业管理；信息咨询服务(不含许可类信息咨询服务)；以自有资金从事投资活动；城市绿化管理；工程管理服务；工程和技术研究和试验发展；园林绿化工程施工；房屋拆迁服务；住房租赁；非居住房地产租赁；金属结构销售；市政设施管理；建筑砌块制造；土地调查评估服务；建筑材料销售；金属制品销售；环境卫生公共设施安装服务；农业专业及辅助性活动；土地整治服务；树木种植经营；生态恢复及生态保护服务；休闲观光活动；光伏设备及元器件销售；光伏发电设备租赁；太阳能发电技术服务；太阳能热利用产品销售；太阳能热发电产品销售；太阳能热利用装备销售；太阳能热发电装备销售；养老服务；谷物种植；谷物销售；蔬菜种植；新鲜蔬菜批发；新鲜蔬菜零售；水果种植；新鲜水果批发；新鲜水果零售；粮食收购；花卉种植；礼品花卉销售；食用农产品初加工；食用农产品批发；食用农产品零售；粮油仓储服务；农作物栽培服务；科技推广和应用服务；农村民间工艺及制品、休闲农业和乡村旅游资源的开发经营；市场营销策划；组织文化艺术交流活动；会议及展览服务；广告制作；广告发布；广告设计、代理；农林牧渔业废弃物综合利用；城乡市容管理；园区管理服务；农村生活垃圾经营性服务；土石方工程施工；煤炭及制品销售；货物进出口；进出口代理；充电桩销售；充电控制设备租赁；集中式快速充电站；停车场服务；电动汽车充电基础设施运营；总质量4.5吨及以下普通货运车辆道路货物运输(除网络货运和危险货物)；互联网数据服务；物联网应用服务；人工智能公共服务平台技术咨询服务；人工智能基础资源与技术平台；信息系统集成服务；技术服务、技术开发、技术咨询、技术交流、技术转让、技术推广；软件开发；电子产品销售；通用设备修理；专用设备修理；电气设备修理；计算机软硬件及辅助设备批发；计算机软硬件及辅助设备零售；信息技术咨询服务；网络技术服务；物联网技术服务；云计算装备技术服务；5G通信技术服务；技术推广服务；家用电器销售；机械设备销售；智能基础制造装备制造；智能基础制造装备销售；人工智能基础软件开发；人工智能理论与算法软件开发；人工智能应用软件开发；人工智能公共数据平台；人工智能通用应用系统；智能控制系统集成；智能仪器仪表制造；智能仪器仪表销售；机械设备租赁；储能技术服务；租赁服务(不含许可类租赁服务)；合同能源管理；热力生产和供应(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6.    信托贷款：资产类型为信托公司设立的固定收益类信托计划，底层资产为向融资人泰州市华融城镇建设有限公司发放信托贷款，资产到期日不超过理财产品最近一次开放日。融资人无外部评级，融资人第一大股东为江苏创鸿资产管理有限公司，持股比例为100%。经营范围包括:许可项目：建设工程施工；水产苗种生产(依法须经批准的项目，经相关部门批准后方可开展经营活动，具体经营项目以审批结果为准)  一般项目：建筑装饰材料销售；金属材料销售；农业园艺服务；城市绿化管理；园林绿化工程施工；工程管理服务；农村生活垃圾经营性服务；物业管理；以自有资金从事投资活动；创业投资(限投资未上市企业)；自有资金投资的资产管理服务；树木种植经营；农业科学研究和试验发展；水果种植；新鲜水果零售；花卉种植；蔬菜种植；新鲜蔬菜零售；礼品花卉销售；中草药种植；建筑材料销售；中草药收购；水产品零售；谷物种植；谷物销售；食用农产品批发；食用农产品零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7.    信托贷款：资产类型为信托公司设立的固定收益类信托计划，底层资产为向融资人泰州国控投资集团有限公司发放信托贷款，资产到期日不超过理财产品最近一次开放日。融资人评级为AAA(评级机构为中诚信国际信用评级有限责任公司)，融资人第一大股东为泰州市政府国有资产监督管理委员会，持股比例为100%。经营范围包括:许可项目:房地产开发经营;城市生活垃圾经营性服务;非银行金融业务;金融资产管理服务;发电业务、输电业务、供(配)电业务;输电、供电、受电电力设施的安装、维修和试验;城市建筑垃圾处置(清运)(依法须经批准的项目,经相关部门批准后方可开展经营活动,具体经营项目以审批结果为准)一般项目:机动车充电销售;停车场服务;储能技术服务;集中式快速充电站;电动汽车充电基础设施运营;股权投资;以自有资金从事投资活动;工程管理服务;城市绿化管理;市政设施管理;土地使用权租赁;住房租赁;仓储设备租赁服务;污水处理及其再生利用;水污染治理;水环境污染防治服务;环保咨询服务;物业管理;信息咨询服务(不含许可类信息咨询服务);会议及展览服务;树木种植经营;花卉种植;中草药种植;农产品的生产、销售、加工、运输、贮藏及其他相关服务;养老服务(社区养老服务);养老服务(居家养老服务);养老服务(机构养老服务);从事国际集装箱船、普通货船运输;船舶港口服务;集装箱租赁服务;煤炭及制品销售;石油制品销售(不含危险化学品);有色金属合金销售;金属矿石销售;城乡市容管理;生态恢复及生态保护服务;土壤污染治理与修复服务;大气环境污染防治服务;建筑材料销售;机械设备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8.    信托贷款：资产类型为信托公司设立的固定收益类信托计划，底层资产为向融资人扬州新材料国资控股集团有限公司发放信托贷款，资产到期日不超过理财产品最近一次开放日。融资人评级为AA+(评级机构为中证鹏元资信评估股份有限公司)，融资人第一大股东为扬州市兴仪投资控股集团有限公司，持股比例为62%。经营范围包括:许可项目：建设工程施工；房地产开发经营(依法须经批准的项目，经相关部门批准后方可开展经营活动，具体经营项目以审批结果为准)  一般项目：以自有资金从事投资活动；市政设施管理；土地整治服务；城市绿化管理；物业管理；工程管理服务；房屋拆迁服务；住房租赁；非居住房地产租赁；金属材料销售；建筑装饰材料销售；广告设计、代理；广告制作；广告发布；停车场服务；信息咨询服务(不含许可类信息咨询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9.    信托贷款：资产类型为信托公司设立的固定收益类信托计划，底层资产为向融资人扬州科佳建设工程有限公司发放信托贷款，资产到期日不超过理财产品最近一次开放日。融资人无外部评级，融资人第一大股东为扬州科丰高新产业投资开发集团有限公司，持股比例为100%。经营范围包括:建筑工程、机电安装工程、市政公用工程、水利水电工程、公路工程、景观工程、园林绿化工程、楼宇亮化工程设计、咨询、施工、维护、总承包，地基与基础工程、装潢装饰工程、钢结构工程、消防设施工程、城市及道路工程、园林古建筑工程设计、施工、专业承包，消防设施维护保养，起重设备安装工程专业承包。(依法须经批准的项目，经相关部门批准后方可开展经营活动)</w:t>
            </w:r>
          </w:p>
          <w:p>
            <w:pPr>
              <w:pStyle w:val="null10"/>
              <w:spacing w:lineRule="exact" w:line="200"/>
            </w:pPr>
            <w:r>
              <w:rPr>
                <w:rFonts w:ascii="方正黑体_GBK" w:hAnsi="方正黑体_GBK" w:cs="宋体" w:eastAsia="方正黑体_GBK"/>
                <w:sz w:val="18"/>
                <w:szCs w:val="18"/>
              </w:rPr>
              <w:t>10.  信托贷款：资产类型为信托公司设立的固定收益类信托计划，底层资产为向融资人扬州江淮建设发展有限公司发放信托贷款，资产到期日不超过理财产品最近一次开放日。融资人评级为AA+(评级机构为中证鹏元资信评估股份有限公司)，融资人第一大股东为扬州市国联控股集团有限公司，持股比例为100%。经营范围包括: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11.  信托贷款：资产类型为信托公司设立的固定收益类信托计划，底层资产为向融资人扬州高发产业投资发展集团有限公司发放信托贷款，资产到期日不超过理财产品最近一次开放日。融资人评级为AA+(评级机构为中证鹏元资信评估股份有限公司)，融资人第一大股东为扬州高新国控集团有限公司，持股比例为100%。经营范围包括:投资咨询、投资管理、财务管理、基础设施建设、土地整理服务。(不含需前置审批项目)(依法须经批准的项目，经相关部门批准后方可开展经营活动)一般项目：电子元器件与机电组件设备销售；仪器仪表制造；木材销售；机械设备租赁；城市绿化管理；电子元器件与机电组件设备制造(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12.  信托贷款：资产类型为信托公司设立的固定收益类信托计划，底层资产为向融资人江苏金北翼产业发展集团有限公司发放信托贷款，资产到期日不超过理财产品最近一次开放日。融资人无外部评级，融资人第一大股东为启东市财政局（启东市人民政府国有资产监督管理办公室），持股比例为100%。经营范围包括:一般项目：股权投资；以自有资金从事投资活动；园区管理服务；创业空间服务；企业管理咨询；企业总部管理；非居住房地产租赁；住房租赁；土地使用权租赁；会议及展览服务；供应链管理服务；物业管理；酒店管理；停车场服务；工程管理服务；科技中介服务；市政设施管理；土地整治服务；体育场地设施经营(不含高危险性体育运动)；技术服务、技术开发、技术咨询、技术交流、技术转让、技术推广；社会经济咨询服务；软件开发；通信设备制造(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13.  信托贷款：资产类型为信托公司设立的固定收益类信托计划，底层资产为向融资人启东安瑞达开发建设有限公司发放信托贷款，资产到期日不超过理财产品最近一次开放日。融资人无外部评级，融资人第一大股东为启东市财政局（启东市人民政府国有资产监督管理办公室），持股比例为100%。经营范围包括:项目投资与管理，房屋建筑工程、市政工程、港口与航道工程、隧道工程、桥梁工程、公路工程施工，市政设施管理。(依法须经批准的项目，经相关部门批准后方可开展经营活动)一般项目：建筑材料销售；住房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14.  信托贷款：资产类型为信托公司设立的固定收益类信托计划，底层资产为向融资人江苏开晟产业发展集团有限公司发放信托贷款，资产到期日不超过理财产品最近一次开放日。融资人评级为AA+(评级机构为联合资信评估股份有限公司)，融资人第一大股东为海安经济技术开发区管理委员会，持股比例为100%。经营范围包括:许可项目:建设工程施工;房地产开发经营(依法须经批准的项目,经相关部门批准后方可开展经营活动,具体经营项目以审批结果为准)一般项目:土地整治服务;物业管理;企业管理;土地使用权租赁;非居住房地产租赁;住房租赁(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15.  信托贷款：资产类型为信托公司设立的固定收益类信托计划，底层资产为向融资人淮安兴业控股有限公司发放信托贷款，资产到期日不超过理财产品最近一次开放日。融资人无外部评级，融资人第一大股东为淮安新城投资开发集团有限公司，持股比例为94.28%。经营范围包括:动产、不动产投资和租赁；市政道路建设；物业服务；园林绿化建设及养护；五金交电、日用百货、建筑材料及花卉苗木销售；商业旅游开发和公共设施建设；水环境整治。(依法须经批准的项目，经相关部门批准后方可开展经营活动)  许可项目：建设工程施工(依法须经批准的项目，经相关部门批准后方可开展经营活动，具体经营项目以审批结果为准)  一般项目：停车场服务；工程管理服务；汽车拖车、求援、清障服务(除依法须经批准的项目外，凭营业执照依法自主开展经营活动)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16.  信托贷款：资产类型为信托公司设立的固定收益类信托计划，底层资产为向融资人阜宁县城发控股集团有限公司发放信托贷款，资产到期日不超过理财产品最近一次开放日。融资人评级为AA+(评级机构为大公国际资信评估有限公司)，融资人第一大股东为阜宁县人民政府国有资产监督管理办公室，持股比例为100%。经营范围包括:许可项目:建设工程施工;建设工程监理;第三类医疗器械经营(依法须经批准的项目,经相关部门批准后方可开展经营活动,具体经营项目以审批结果为准)一般项目:非居住房地产租赁;礼品花卉销售;树木种植经营;建筑材料销售;第一类医疗器械销售;第二类医疗器械销售;水果种植;市政设施管理;土地整治服务;以自有资金从事投资活动(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17.  信托贷款：资产类型为信托公司设立的固定收益类信托计划，底层资产为向融资人盐城盛州投资控股集团有限公司发放信托贷款，资产到期日不超过理财产品最近一次开放日。融资人无外部评级，融资人第一大股东为盐城市盐都区政府国有资产监督管理办公室，持股比例为100%。经营范围包括: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18.  信托贷款：资产类型为信托公司设立的固定收益类信托计划，底层资产为向融资人盐城市大纵湖湖区资源开发有限公司发放信托贷款，资产到期日不超过理财产品最近一次开放日。融资人评级为AA(评级机构为中证鹏元资信评估股份有限公司)，融资人第一大股东为盐城市城镇化建设投资集团有限公司，持股比例为100%。经营范围包括: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销售（象牙及其制品除外）；纺织、服装及家庭用品批发；服装服饰零售；农副产品销售；食品销售（仅销售预包装食品）；小微型客车租赁经营服务（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19.  信托贷款：资产类型为信托公司设立的固定收益类信托计划，底层资产为向融资人盐城市水务集团有限公司发放信托贷款，资产到期日不超过理财产品最近一次开放日。融资人无外部评级，融资人第一大股东为盐城市市政公用投资有限公司，持股比例为100%。经营范围包括: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现制现售饮用水(依法须经批准的项目，经相关部门批准后方可开展经营活动，具体经营项目以审批结果为准)</w:t>
            </w:r>
          </w:p>
          <w:p>
            <w:pPr>
              <w:pStyle w:val="null10"/>
              <w:spacing w:lineRule="exact" w:line="200"/>
            </w:pPr>
            <w:r>
              <w:rPr>
                <w:rFonts w:ascii="方正黑体_GBK" w:hAnsi="方正黑体_GBK" w:cs="宋体" w:eastAsia="方正黑体_GBK"/>
                <w:sz w:val="18"/>
                <w:szCs w:val="18"/>
              </w:rPr>
              <w:t>20.  信托贷款：资产类型为信托公司设立的固定收益类信托计划，底层资产为向融资人盐城市城镇化建设投资集团有限公司发放信托贷款，资产到期日不超过理财产品最近一次开放日。融资人评级为AA+(评级机构为东方金诚国际信用评估有限公司)，融资人第一大股东为盐城市人民政府，持股比例为100%。经营范围包括: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p>
            <w:pPr>
              <w:pStyle w:val="null10"/>
              <w:spacing w:lineRule="exact" w:line="200"/>
            </w:pPr>
            <w:r>
              <w:rPr>
                <w:rFonts w:ascii="方正黑体_GBK" w:hAnsi="方正黑体_GBK" w:cs="宋体" w:eastAsia="方正黑体_GBK"/>
                <w:sz w:val="18"/>
                <w:szCs w:val="18"/>
              </w:rPr>
              <w:t>21.  信托贷款：资产类型为信托公司设立的固定收益类信托计划，底层资产为向融资人盐城高新区投资集团有限公司发放信托贷款，资产到期日不超过理财产品最近一次开放日。融资人评级为AA+(评级机构为中诚信国际信用评级有限责任公司)，融资人第一大股东为盐城高新产业控股集团有限公司，持股比例为100%。经营范围包括: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22.  信托贷款：资产类型为信托公司设立的固定收益类信托计划，底层资产为向融资人盐城市城镇化建设投资集团有限公司发放信托贷款，资产到期日不超过理财产品最近一次开放日。融资人评级为AA+(评级机构为东方金诚国际信用评估有限公司)，融资人第一大股东为盐城市人民政府，持股比例为100%。经营范围包括: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p>
            <w:pPr>
              <w:pStyle w:val="null10"/>
              <w:spacing w:lineRule="exact" w:line="200"/>
            </w:pPr>
            <w:r>
              <w:rPr>
                <w:rFonts w:ascii="方正黑体_GBK" w:hAnsi="方正黑体_GBK" w:cs="宋体" w:eastAsia="方正黑体_GBK"/>
                <w:sz w:val="18"/>
                <w:szCs w:val="18"/>
              </w:rPr>
              <w:t>23.  信托贷款：资产类型为信托公司设立的固定收益类信托计划，底层资产为向融资人江苏苏海控股集团有限公司发放信托贷款，资产到期日不超过理财产品最近一次开放日。融资人评级为AA+(评级机构为大公国际资信评估有限公司)，融资人第一大股东为连云港市赣榆区人民政府，持股比例为100%。经营范围包括:许可项目：各类工程建设活动；保税物流中心经营；道路货物运输站经营；城市配送运输服务(不含危险货物)；矿产资源(非煤矿山)开采；自来水生产与供应(依法须经批准的项目，经相关部门批准后方可开展经营活动，具体经营项目以审批结果为准)  一般项目：国内货物运输代理；国内贸易代理；销售代理；园区管理服务；工程管理服务；园林绿化工程施工；城市绿化管理；市政设施管理；公共事业管理服务；建筑材料销售；铁路运输辅助活动；热力生产和供应；普通货物仓储服务(不含危险化学品等需许可审批的项目)；污水处理及其再生利用；船舶港口服务；水污染治理；水环境污染防治服务；供暖服务；土石方工程施工；对外承包工程；水产品批发；水产品零售；非金属矿及制品销售；农副产品销售(除依法须经批准的项目外，凭营业执照依法自主开展经营活动)</w:t>
            </w:r>
          </w:p>
          <w:p>
            <w:pPr>
              <w:pStyle w:val="null10"/>
              <w:spacing w:lineRule="exact" w:line="200"/>
            </w:pPr>
            <w:r>
              <w:rPr>
                <w:rFonts w:ascii="方正黑体_GBK" w:hAnsi="方正黑体_GBK" w:cs="宋体" w:eastAsia="方正黑体_GBK"/>
                <w:sz w:val="18"/>
                <w:szCs w:val="18"/>
              </w:rPr>
              <w:t>24.  信托贷款：资产类型为信托公司设立的固定收益类信托计划，底层资产为向融资人南京吉山国有资产运营集团有限公司发放信托贷款，资产到期日不超过理财产品最近一次开放日。融资人无外部评级，融资人第一大股东为南京江宁经济技术开发集团有限公司，持股比例为100%。经营范围包括: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p>
            <w:pPr>
              <w:pStyle w:val="null10"/>
              <w:spacing w:lineRule="exact" w:line="200"/>
              <w:jc w:val="left"/>
            </w:pPr>
            <w:r>
              <w:rPr>
                <w:rFonts w:ascii="方正黑体_GBK" w:hAnsi="方正黑体_GBK" w:cs="宋体" w:eastAsia="方正黑体_GBK"/>
                <w:sz w:val="18"/>
                <w:szCs w:val="18"/>
              </w:rPr>
              <w:t>25.  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jc w:val="left"/>
            </w:pPr>
            <w:r>
              <w:rPr>
                <w:rFonts w:ascii="方正黑体_GBK" w:hAnsi="方正黑体_GBK" w:cs="宋体" w:eastAsia="方正黑体_GBK"/>
                <w:sz w:val="18"/>
                <w:szCs w:val="18"/>
              </w:rPr>
              <w:t>26.  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jc w:val="left"/>
            </w:pPr>
            <w:r>
              <w:rPr>
                <w:rFonts w:ascii="方正黑体_GBK" w:hAnsi="方正黑体_GBK" w:cs="宋体" w:eastAsia="方正黑体_GBK"/>
                <w:sz w:val="18"/>
                <w:szCs w:val="18"/>
              </w:rPr>
              <w:t>27.  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jc w:val="left"/>
            </w:pPr>
            <w:r>
              <w:rPr>
                <w:rFonts w:ascii="方正黑体_GBK" w:hAnsi="方正黑体_GBK" w:cs="宋体" w:eastAsia="方正黑体_GBK"/>
                <w:sz w:val="18"/>
                <w:szCs w:val="18"/>
              </w:rPr>
              <w:t>28.  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jc w:val="left"/>
            </w:pPr>
            <w:r>
              <w:rPr>
                <w:rFonts w:ascii="方正黑体_GBK" w:hAnsi="方正黑体_GBK" w:cs="宋体" w:eastAsia="方正黑体_GBK"/>
                <w:sz w:val="18"/>
                <w:szCs w:val="18"/>
              </w:rPr>
              <w:t>29.  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jc w:val="left"/>
            </w:pPr>
            <w:r>
              <w:rPr>
                <w:rFonts w:ascii="方正黑体_GBK" w:hAnsi="方正黑体_GBK" w:cs="宋体" w:eastAsia="方正黑体_GBK"/>
                <w:sz w:val="18"/>
                <w:szCs w:val="18"/>
              </w:rPr>
              <w:t>30.  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jc w:val="left"/>
            </w:pPr>
            <w:r>
              <w:rPr>
                <w:rFonts w:ascii="方正黑体_GBK" w:hAnsi="方正黑体_GBK" w:cs="宋体" w:eastAsia="方正黑体_GBK"/>
                <w:sz w:val="18"/>
                <w:szCs w:val="18"/>
              </w:rPr>
              <w:t>31.  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jc w:val="left"/>
            </w:pPr>
            <w:r>
              <w:rPr>
                <w:rFonts w:ascii="方正黑体_GBK" w:hAnsi="方正黑体_GBK" w:cs="宋体" w:eastAsia="方正黑体_GBK"/>
                <w:sz w:val="18"/>
                <w:szCs w:val="18"/>
              </w:rPr>
              <w:t>32.  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33.  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34.  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35.  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36.  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jc w:val="left"/>
            </w:pPr>
            <w:r>
              <w:rPr>
                <w:rFonts w:ascii="方正黑体_GBK" w:hAnsi="方正黑体_GBK" w:cs="宋体" w:eastAsia="方正黑体_GBK"/>
                <w:sz w:val="18"/>
                <w:szCs w:val="18"/>
              </w:rPr>
              <w:t>37.  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38.  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39.  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40.  信托贷款：资产类型为信托公司设立的资金信托计划，底层资产为度小满及信托公司双重审核、信托公司自主风控后发放的“满易贷”个人消费贷款债权，资产到期日不超过理财产品最近一次开放日。</w:t>
            </w:r>
          </w:p>
          <w:p>
            <w:pPr>
              <w:pStyle w:val="null10"/>
              <w:spacing w:lineRule="exact" w:line="200"/>
              <w:jc w:val="left"/>
            </w:pPr>
            <w:r>
              <w:rPr>
                <w:rFonts w:ascii="方正黑体_GBK" w:hAnsi="方正黑体_GBK" w:cs="宋体" w:eastAsia="方正黑体_GBK"/>
                <w:sz w:val="18"/>
                <w:szCs w:val="18"/>
              </w:rPr>
              <w:t>41.  券商收益凭证：资产类型为证券公司发行的收益凭证，资产到期日不超过理财产品最近一次开放日，融资人为华宝证券股份有限公司，融资人评级为AA+（评级机构为联合资信评估股份有限公司）。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42.  券商收益凭证：资产类型为证券公司发行的收益凭证，资产到期日不超过理财产品最近一次开放日，融资人为上海证券有限责任公司，融资人评级为AAA（评级机构为上海新世纪资信评估投资服务有限公司）。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43.  券商收益凭证：资产类型为证券公司发行的收益凭证，资产到期日不超过理财产品最近一次开放日，融资人为山西证券股份有限公司，融资人评级为AAA（评级机构为中诚信国际信用评级有限责任公司）。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44.  券商收益凭证：资产类型为证券公司发行的收益凭证，资产到期日不超过理财产品最近一次开放日，融资人为中银国际证券股份有限公司，融资人评级为AAA（评级机构为中诚信国际信用评级有限责任公司）。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45.  券商收益凭证：资产类型为证券公司发行的收益凭证，资产到期日不超过理财产品最近一次开放日，融资人为首创证券股份有限公司，融资人评级为AAA（评级机构为中诚信国际信用评级有限责任公司）。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46.  同业借款：资产类型为南银理财有限责任公司向持牌金融机构发放的同业借款，资产到期日不超过理财产品最近一次开放日，融资人为中国中信金融资产管理股份有限公司。</w:t>
            </w:r>
          </w:p>
          <w:p>
            <w:pPr>
              <w:pStyle w:val="null10"/>
              <w:spacing w:lineRule="exact" w:line="200"/>
              <w:jc w:val="left"/>
            </w:pPr>
            <w:r>
              <w:rPr>
                <w:rFonts w:ascii="方正黑体_GBK" w:hAnsi="方正黑体_GBK" w:cs="宋体" w:eastAsia="方正黑体_GBK"/>
                <w:sz w:val="18"/>
                <w:szCs w:val="18"/>
              </w:rPr>
              <w:t>47.  同业借款：资产类型为南银理财有限责任公司向持牌金融机构发放的同业借款，资产到期日不超过理财产品最近一次开放日，融资人为中国东方资产管理股份有限公司。</w:t>
            </w:r>
          </w:p>
          <w:p>
            <w:pPr>
              <w:pStyle w:val="null10"/>
              <w:spacing w:lineRule="exact" w:line="200"/>
              <w:jc w:val="left"/>
            </w:pPr>
            <w:r>
              <w:rPr>
                <w:rFonts w:ascii="方正黑体_GBK" w:hAnsi="方正黑体_GBK" w:cs="宋体" w:eastAsia="方正黑体_GBK"/>
                <w:sz w:val="18"/>
                <w:szCs w:val="18"/>
              </w:rPr>
              <w:t>48.  同业借款：资产类型为南银理财有限责任公司向持牌金融机构发放的同业借款，资产到期日不超过理财产品最近一次开放日，融资人为中国信达资产管理股份有限公司。</w:t>
            </w:r>
          </w:p>
          <w:p>
            <w:pPr>
              <w:pStyle w:val="null10"/>
              <w:spacing w:lineRule="exact" w:line="200"/>
              <w:jc w:val="left"/>
            </w:pPr>
            <w:r>
              <w:rPr>
                <w:rFonts w:ascii="方正黑体_GBK" w:hAnsi="方正黑体_GBK" w:cs="宋体" w:eastAsia="方正黑体_GBK"/>
                <w:sz w:val="18"/>
                <w:szCs w:val="18"/>
              </w:rPr>
              <w:t>49.  同业借款：资产类型为南银理财有限责任公司向持牌金融机构发放的同业借款，资产到期日不超过理财产品最近一次开放日，融资人为中国长城资产管理股份有限公司。</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选择优质企业作为融资人，且资产项目已履行内部严格的审批流程，融资人业务经营正常，项目还款来源明确，并在本理财产品的定期报告中进行信息披露</w:t>
            </w:r>
            <w:r>
              <w:rPr>
                <w:rFonts w:ascii="方正黑体_GBK" w:hAnsi="方正黑体_GBK" w:cs="宋体" w:eastAsia="方正黑体_GBK"/>
                <w:sz w:val="18"/>
                <w:b/>
                <w:szCs w:val="18"/>
              </w:rPr>
              <w:t>。</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A份额：业绩比较基准为年化2.6%-3% 。</w:t>
            </w:r>
          </w:p>
          <w:p>
            <w:pPr>
              <w:pStyle w:val="null10"/>
              <w:spacing w:lineRule="exact" w:line="200"/>
            </w:pPr>
            <w:r>
              <w:rPr>
                <w:rFonts w:ascii="方正黑体_GBK" w:hAnsi="方正黑体_GBK" w:cs="宋体" w:eastAsia="方正黑体_GBK"/>
                <w:sz w:val="18"/>
                <w:szCs w:val="18"/>
              </w:rPr>
              <w:t>B份额：业绩比较基准为年化2.6%-3% 。</w:t>
            </w:r>
          </w:p>
          <w:p>
            <w:pPr>
              <w:pStyle w:val="null10"/>
              <w:spacing w:lineRule="exact" w:line="200"/>
            </w:pPr>
            <w:r>
              <w:rPr>
                <w:rFonts w:ascii="方正黑体_GBK" w:hAnsi="方正黑体_GBK" w:cs="宋体" w:eastAsia="方正黑体_GBK"/>
                <w:sz w:val="18"/>
                <w:szCs w:val="18"/>
              </w:rPr>
              <w:t>C份额：业绩比较基准为年化2.65%-3.05% 。</w:t>
            </w:r>
          </w:p>
          <w:p>
            <w:pPr>
              <w:pStyle w:val="null10"/>
              <w:spacing w:lineRule="exact" w:line="200"/>
            </w:pPr>
            <w:r>
              <w:rPr>
                <w:rFonts w:ascii="方正黑体_GBK" w:hAnsi="方正黑体_GBK" w:cs="宋体" w:eastAsia="方正黑体_GBK"/>
                <w:sz w:val="18"/>
                <w:szCs w:val="18"/>
              </w:rPr>
              <w:t>D份额：业绩比较基准为年化2.7%-3.1% 。</w:t>
            </w:r>
          </w:p>
          <w:p>
            <w:pPr>
              <w:pStyle w:val="null10"/>
              <w:spacing w:lineRule="exact" w:line="200"/>
            </w:pPr>
            <w:r>
              <w:rPr>
                <w:rFonts w:ascii="方正黑体_GBK" w:hAnsi="方正黑体_GBK" w:cs="宋体" w:eastAsia="方正黑体_GBK"/>
                <w:sz w:val="18"/>
                <w:szCs w:val="18"/>
              </w:rPr>
              <w:t>E份额：业绩比较基准为年化2.8%-3.2% 。</w:t>
            </w:r>
          </w:p>
          <w:p>
            <w:pPr>
              <w:pStyle w:val="null10"/>
              <w:spacing w:lineRule="exact" w:line="200"/>
            </w:pPr>
            <w:r>
              <w:rPr>
                <w:rFonts w:ascii="方正黑体_GBK" w:hAnsi="方正黑体_GBK" w:cs="宋体" w:eastAsia="方正黑体_GBK"/>
                <w:sz w:val="18"/>
                <w:szCs w:val="18"/>
              </w:rPr>
              <w:t>F份额：业绩比较基准为年化2.7%-3.1% 。</w:t>
            </w:r>
          </w:p>
          <w:p>
            <w:pPr>
              <w:pStyle w:val="null10"/>
              <w:spacing w:lineRule="exact" w:line="200"/>
            </w:pPr>
            <w:r>
              <w:rPr>
                <w:rFonts w:ascii="方正黑体_GBK" w:hAnsi="方正黑体_GBK" w:cs="宋体" w:eastAsia="方正黑体_GBK"/>
                <w:sz w:val="18"/>
                <w:szCs w:val="18"/>
              </w:rPr>
              <w:t>G份额：业绩比较基准为年化2.75%-3.15% 。</w:t>
            </w:r>
          </w:p>
          <w:p>
            <w:pPr>
              <w:pStyle w:val="null10"/>
              <w:spacing w:lineRule="exact" w:line="200"/>
            </w:pPr>
            <w:r>
              <w:rPr>
                <w:rFonts w:ascii="方正黑体_GBK" w:hAnsi="方正黑体_GBK" w:cs="宋体" w:eastAsia="方正黑体_GBK"/>
                <w:sz w:val="18"/>
                <w:szCs w:val="18"/>
              </w:rPr>
              <w:t>H份额：业绩比较基准为年化2.8%-3.2% 。</w:t>
            </w:r>
          </w:p>
          <w:p>
            <w:pPr>
              <w:pStyle w:val="null10"/>
              <w:spacing w:lineRule="exact" w:line="200"/>
            </w:pPr>
            <w:r>
              <w:rPr>
                <w:rFonts w:ascii="方正黑体_GBK" w:hAnsi="方正黑体_GBK" w:cs="宋体" w:eastAsia="方正黑体_GBK"/>
                <w:sz w:val="18"/>
                <w:szCs w:val="18"/>
              </w:rPr>
              <w:t>J份额：业绩比较基准为年化2.6%-3% 。</w:t>
            </w:r>
          </w:p>
          <w:p>
            <w:pPr>
              <w:pStyle w:val="null10"/>
              <w:spacing w:lineRule="exact" w:line="200"/>
            </w:pPr>
            <w:r>
              <w:rPr>
                <w:rFonts w:ascii="方正黑体_GBK" w:hAnsi="方正黑体_GBK" w:cs="宋体" w:eastAsia="方正黑体_GBK"/>
                <w:sz w:val="18"/>
                <w:szCs w:val="18"/>
              </w:rPr>
              <w:t>K份额：业绩比较基准为年化2.6%-3% 。</w:t>
            </w:r>
          </w:p>
          <w:p>
            <w:pPr>
              <w:pStyle w:val="null10"/>
              <w:spacing w:lineRule="exact" w:line="200"/>
            </w:pPr>
            <w:r>
              <w:rPr>
                <w:rFonts w:ascii="方正黑体_GBK" w:hAnsi="方正黑体_GBK" w:cs="宋体" w:eastAsia="方正黑体_GBK"/>
                <w:sz w:val="18"/>
                <w:szCs w:val="18"/>
              </w:rPr>
              <w:t>M份额：业绩比较基准为年化2.6%-3% 。</w:t>
            </w:r>
          </w:p>
          <w:p>
            <w:pPr>
              <w:pStyle w:val="null10"/>
              <w:spacing w:lineRule="exact" w:line="200"/>
            </w:pPr>
            <w:r>
              <w:rPr>
                <w:rFonts w:ascii="方正黑体_GBK" w:hAnsi="方正黑体_GBK" w:cs="宋体" w:eastAsia="方正黑体_GBK"/>
                <w:sz w:val="18"/>
                <w:szCs w:val="18"/>
              </w:rPr>
              <w:t>N份额：业绩比较基准为年化2.85%-3.25% 。</w:t>
            </w:r>
          </w:p>
          <w:p>
            <w:pPr>
              <w:pStyle w:val="null10"/>
              <w:spacing w:lineRule="exact" w:line="200"/>
            </w:pPr>
            <w:r>
              <w:rPr>
                <w:rFonts w:ascii="方正黑体_GBK" w:hAnsi="方正黑体_GBK" w:cs="宋体" w:eastAsia="方正黑体_GBK"/>
                <w:sz w:val="18"/>
                <w:szCs w:val="18"/>
              </w:rPr>
              <w:t>O份额：业绩比较基准为年化2.7%-3.1% 。</w:t>
            </w:r>
          </w:p>
          <w:p>
            <w:pPr>
              <w:pStyle w:val="null10"/>
              <w:spacing w:lineRule="exact" w:line="200"/>
            </w:pPr>
            <w:r>
              <w:rPr>
                <w:rFonts w:ascii="方正黑体_GBK" w:hAnsi="方正黑体_GBK" w:cs="宋体" w:eastAsia="方正黑体_GBK"/>
                <w:sz w:val="18"/>
                <w:szCs w:val="18"/>
              </w:rPr>
              <w:t>A2份额：业绩比较基准为年化2.6%-3% 。</w:t>
            </w:r>
          </w:p>
          <w:p>
            <w:pPr>
              <w:pStyle w:val="null10"/>
              <w:spacing w:lineRule="exact" w:line="200"/>
            </w:pPr>
            <w:r>
              <w:rPr>
                <w:rFonts w:ascii="方正黑体_GBK" w:hAnsi="方正黑体_GBK" w:cs="宋体" w:eastAsia="方正黑体_GBK"/>
                <w:sz w:val="18"/>
                <w:szCs w:val="18"/>
              </w:rPr>
              <w:t>B2份额：业绩比较基准为年化2.6%-3% 。</w:t>
            </w:r>
          </w:p>
          <w:p>
            <w:pPr>
              <w:pStyle w:val="null10"/>
              <w:spacing w:lineRule="exact" w:line="200"/>
            </w:pPr>
            <w:r>
              <w:rPr>
                <w:rFonts w:ascii="方正黑体_GBK" w:hAnsi="方正黑体_GBK" w:cs="宋体" w:eastAsia="方正黑体_GBK"/>
                <w:sz w:val="18"/>
                <w:szCs w:val="18"/>
              </w:rPr>
              <w:t>C2份额：业绩比较基准为年化2.65%-3.05% 。</w:t>
            </w:r>
          </w:p>
          <w:p>
            <w:pPr>
              <w:pStyle w:val="null10"/>
              <w:spacing w:lineRule="exact" w:line="200"/>
            </w:pPr>
            <w:r>
              <w:rPr>
                <w:rFonts w:ascii="方正黑体_GBK" w:hAnsi="方正黑体_GBK" w:cs="宋体" w:eastAsia="方正黑体_GBK"/>
                <w:sz w:val="18"/>
                <w:szCs w:val="18"/>
              </w:rPr>
              <w:t>D2份额：业绩比较基准为年化2.7%-3.1% 。</w:t>
            </w:r>
          </w:p>
          <w:p>
            <w:pPr>
              <w:pStyle w:val="null10"/>
              <w:spacing w:lineRule="exact" w:line="200"/>
            </w:pPr>
            <w:r>
              <w:rPr>
                <w:rFonts w:ascii="方正黑体_GBK" w:hAnsi="方正黑体_GBK" w:cs="宋体" w:eastAsia="方正黑体_GBK"/>
                <w:sz w:val="18"/>
                <w:szCs w:val="18"/>
              </w:rPr>
              <w:t>E2份额：业绩比较基准为年化2.8%-3.2% 。</w:t>
            </w:r>
          </w:p>
          <w:p>
            <w:pPr>
              <w:pStyle w:val="null10"/>
              <w:spacing w:lineRule="exact" w:line="200"/>
            </w:pPr>
            <w:r>
              <w:rPr>
                <w:rFonts w:ascii="方正黑体_GBK" w:hAnsi="方正黑体_GBK" w:cs="宋体" w:eastAsia="方正黑体_GBK"/>
                <w:sz w:val="18"/>
                <w:szCs w:val="18"/>
              </w:rPr>
              <w:t>A3份额：业绩比较基准为年化2.6%-3% 。</w:t>
            </w:r>
          </w:p>
          <w:p>
            <w:pPr>
              <w:pStyle w:val="null10"/>
              <w:spacing w:lineRule="exact" w:line="200"/>
            </w:pPr>
            <w:r>
              <w:rPr>
                <w:rFonts w:ascii="方正黑体_GBK" w:hAnsi="方正黑体_GBK" w:cs="宋体" w:eastAsia="方正黑体_GBK"/>
                <w:sz w:val="18"/>
                <w:szCs w:val="18"/>
              </w:rPr>
              <w:t>B3份额：业绩比较基准为年化2.6%-3% 。</w:t>
            </w:r>
          </w:p>
          <w:p>
            <w:pPr>
              <w:pStyle w:val="null10"/>
              <w:spacing w:lineRule="exact" w:line="200"/>
            </w:pPr>
            <w:r>
              <w:rPr>
                <w:rFonts w:ascii="方正黑体_GBK" w:hAnsi="方正黑体_GBK" w:cs="宋体" w:eastAsia="方正黑体_GBK"/>
                <w:sz w:val="18"/>
                <w:szCs w:val="18"/>
              </w:rPr>
              <w:t>C3份额：业绩比较基准为年化2.65%-3.05% 。</w:t>
            </w:r>
          </w:p>
          <w:p>
            <w:pPr>
              <w:pStyle w:val="null10"/>
              <w:spacing w:lineRule="exact" w:line="200"/>
            </w:pPr>
            <w:r>
              <w:rPr>
                <w:rFonts w:ascii="方正黑体_GBK" w:hAnsi="方正黑体_GBK" w:cs="宋体" w:eastAsia="方正黑体_GBK"/>
                <w:sz w:val="18"/>
                <w:szCs w:val="18"/>
              </w:rPr>
              <w:t>D3份额：业绩比较基准为年化2.7%-3.1% 。</w:t>
            </w:r>
          </w:p>
          <w:p>
            <w:pPr>
              <w:pStyle w:val="null10"/>
              <w:spacing w:lineRule="exact" w:line="200"/>
            </w:pPr>
            <w:r>
              <w:rPr>
                <w:rFonts w:ascii="方正黑体_GBK" w:hAnsi="方正黑体_GBK" w:cs="宋体" w:eastAsia="方正黑体_GBK"/>
                <w:sz w:val="18"/>
                <w:szCs w:val="18"/>
              </w:rPr>
              <w:t>E3份额：业绩比较基准为年化2.8%-3.2% 。</w:t>
            </w:r>
          </w:p>
          <w:p>
            <w:pPr>
              <w:pStyle w:val="null10"/>
              <w:spacing w:lineRule="exact" w:line="200"/>
            </w:pPr>
            <w:r>
              <w:rPr>
                <w:rFonts w:ascii="方正黑体_GBK" w:hAnsi="方正黑体_GBK" w:cs="宋体" w:eastAsia="方正黑体_GBK"/>
                <w:sz w:val="18"/>
                <w:szCs w:val="18"/>
              </w:rPr>
              <w:t>A4份额：业绩比较基准为年化2.6%-3% 。</w:t>
            </w:r>
          </w:p>
          <w:p>
            <w:pPr>
              <w:pStyle w:val="null10"/>
              <w:spacing w:lineRule="exact" w:line="200"/>
            </w:pPr>
            <w:r>
              <w:rPr>
                <w:rFonts w:ascii="方正黑体_GBK" w:hAnsi="方正黑体_GBK" w:cs="宋体" w:eastAsia="方正黑体_GBK"/>
                <w:sz w:val="18"/>
                <w:szCs w:val="18"/>
              </w:rPr>
              <w:t>B4份额：业绩比较基准为年化2.6%-3% 。</w:t>
            </w:r>
          </w:p>
          <w:p>
            <w:pPr>
              <w:pStyle w:val="null10"/>
              <w:spacing w:lineRule="exact" w:line="200"/>
            </w:pPr>
            <w:r>
              <w:rPr>
                <w:rFonts w:ascii="方正黑体_GBK" w:hAnsi="方正黑体_GBK" w:cs="宋体" w:eastAsia="方正黑体_GBK"/>
                <w:sz w:val="18"/>
                <w:szCs w:val="18"/>
              </w:rPr>
              <w:t>C4份额：业绩比较基准为年化2.65%-3.05% 。</w:t>
            </w:r>
          </w:p>
          <w:p>
            <w:pPr>
              <w:pStyle w:val="null10"/>
              <w:spacing w:lineRule="exact" w:line="200"/>
            </w:pPr>
            <w:r>
              <w:rPr>
                <w:rFonts w:ascii="方正黑体_GBK" w:hAnsi="方正黑体_GBK" w:cs="宋体" w:eastAsia="方正黑体_GBK"/>
                <w:sz w:val="18"/>
                <w:szCs w:val="18"/>
              </w:rPr>
              <w:t>D4份额：业绩比较基准为年化2.7%-3.1% 。</w:t>
            </w:r>
          </w:p>
          <w:p>
            <w:pPr>
              <w:pStyle w:val="null10"/>
              <w:spacing w:lineRule="exact" w:line="200"/>
            </w:pPr>
            <w:r>
              <w:rPr>
                <w:rFonts w:ascii="方正黑体_GBK" w:hAnsi="方正黑体_GBK" w:cs="宋体" w:eastAsia="方正黑体_GBK"/>
                <w:sz w:val="18"/>
                <w:szCs w:val="18"/>
              </w:rPr>
              <w:t>E4份额：业绩比较基准为年化2.8%-3.2% 。</w:t>
            </w:r>
          </w:p>
          <w:p>
            <w:pPr>
              <w:pStyle w:val="null10"/>
              <w:spacing w:lineRule="exact" w:line="200"/>
            </w:pPr>
            <w:r>
              <w:rPr>
                <w:rFonts w:ascii="方正黑体_GBK" w:hAnsi="方正黑体_GBK" w:cs="宋体" w:eastAsia="方正黑体_GBK"/>
                <w:sz w:val="18"/>
                <w:szCs w:val="18"/>
              </w:rPr>
              <w:t>F2份额：业绩比较基准为年化2.7%-3.1% 。</w:t>
            </w:r>
          </w:p>
          <w:p>
            <w:pPr>
              <w:pStyle w:val="null10"/>
              <w:spacing w:lineRule="exact" w:line="200"/>
            </w:pPr>
            <w:r>
              <w:rPr>
                <w:rFonts w:ascii="方正黑体_GBK" w:hAnsi="方正黑体_GBK" w:cs="宋体" w:eastAsia="方正黑体_GBK"/>
                <w:sz w:val="18"/>
                <w:szCs w:val="18"/>
              </w:rPr>
              <w:t>F3份额：业绩比较基准为年化2.7%-3.1% 。</w:t>
            </w:r>
          </w:p>
          <w:p>
            <w:pPr>
              <w:pStyle w:val="null10"/>
              <w:spacing w:lineRule="exact" w:line="200"/>
            </w:pPr>
            <w:r>
              <w:rPr>
                <w:rFonts w:ascii="方正黑体_GBK" w:hAnsi="方正黑体_GBK" w:cs="宋体" w:eastAsia="方正黑体_GBK"/>
                <w:sz w:val="18"/>
                <w:szCs w:val="18"/>
              </w:rPr>
              <w:t>G2份额：业绩比较基准为年化2.75%-3.15% 。</w:t>
            </w:r>
          </w:p>
          <w:p>
            <w:pPr>
              <w:pStyle w:val="null10"/>
              <w:spacing w:lineRule="exact" w:line="200"/>
            </w:pPr>
            <w:r>
              <w:rPr>
                <w:rFonts w:ascii="方正黑体_GBK" w:hAnsi="方正黑体_GBK" w:cs="宋体" w:eastAsia="方正黑体_GBK"/>
                <w:sz w:val="18"/>
                <w:szCs w:val="18"/>
              </w:rPr>
              <w:t>G3份额：业绩比较基准为年化2.75%-3.15% 。</w:t>
            </w:r>
          </w:p>
          <w:p>
            <w:pPr>
              <w:pStyle w:val="null10"/>
              <w:spacing w:lineRule="exact" w:line="200"/>
            </w:pPr>
            <w:r>
              <w:rPr>
                <w:rFonts w:ascii="方正黑体_GBK" w:hAnsi="方正黑体_GBK" w:cs="宋体" w:eastAsia="方正黑体_GBK"/>
                <w:sz w:val="18"/>
                <w:szCs w:val="18"/>
              </w:rPr>
              <w:t>F4份额：业绩比较基准为年化2.7%-3.1% 。</w:t>
            </w:r>
          </w:p>
          <w:p>
            <w:pPr>
              <w:pStyle w:val="null10"/>
              <w:spacing w:lineRule="exact" w:line="200"/>
            </w:pPr>
            <w:r>
              <w:rPr>
                <w:rFonts w:ascii="方正黑体_GBK" w:hAnsi="方正黑体_GBK" w:cs="宋体" w:eastAsia="方正黑体_GBK"/>
                <w:sz w:val="18"/>
                <w:szCs w:val="18"/>
              </w:rPr>
              <w:t>G4份额：业绩比较基准为年化2.75%-3.15% 。</w:t>
            </w:r>
          </w:p>
          <w:p>
            <w:pPr>
              <w:pStyle w:val="null10"/>
              <w:spacing w:lineRule="exact" w:line="200"/>
            </w:pPr>
            <w:r>
              <w:rPr>
                <w:rFonts w:ascii="方正黑体_GBK" w:hAnsi="方正黑体_GBK" w:cs="宋体" w:eastAsia="方正黑体_GBK"/>
                <w:sz w:val="18"/>
                <w:szCs w:val="18"/>
              </w:rPr>
              <w:t>H4份额：业绩比较基准为年化2.8%-3.2% 。</w:t>
            </w:r>
          </w:p>
          <w:p>
            <w:pPr>
              <w:pStyle w:val="null10"/>
              <w:spacing w:lineRule="exact" w:line="200"/>
            </w:pPr>
            <w:r>
              <w:rPr>
                <w:rFonts w:ascii="方正黑体_GBK" w:hAnsi="方正黑体_GBK" w:cs="宋体" w:eastAsia="方正黑体_GBK"/>
                <w:sz w:val="18"/>
                <w:szCs w:val="18"/>
              </w:rPr>
              <w:t>I2份额：业绩比较基准为年化2.8%-3.2% 。</w:t>
            </w:r>
          </w:p>
          <w:p>
            <w:pPr>
              <w:pStyle w:val="null10"/>
              <w:spacing w:lineRule="exact" w:line="200"/>
            </w:pPr>
            <w:r>
              <w:rPr>
                <w:rFonts w:ascii="方正黑体_GBK" w:hAnsi="方正黑体_GBK" w:cs="宋体" w:eastAsia="方正黑体_GBK"/>
                <w:sz w:val="18"/>
                <w:szCs w:val="18"/>
              </w:rPr>
              <w:t>J2份额：业绩比较基准为年化2.6%-3% 。</w:t>
            </w:r>
          </w:p>
          <w:p>
            <w:pPr>
              <w:pStyle w:val="null10"/>
              <w:spacing w:lineRule="exact" w:line="200"/>
            </w:pPr>
            <w:r>
              <w:rPr>
                <w:rFonts w:ascii="方正黑体_GBK" w:hAnsi="方正黑体_GBK" w:cs="宋体" w:eastAsia="方正黑体_GBK"/>
                <w:sz w:val="18"/>
                <w:szCs w:val="18"/>
              </w:rPr>
              <w:t>K2份额：业绩比较基准为年化2.6%-3% 。</w:t>
            </w:r>
          </w:p>
          <w:p>
            <w:pPr>
              <w:pStyle w:val="null10"/>
              <w:spacing w:lineRule="exact" w:line="200"/>
            </w:pPr>
            <w:r>
              <w:rPr>
                <w:rFonts w:ascii="方正黑体_GBK" w:hAnsi="方正黑体_GBK" w:cs="宋体" w:eastAsia="方正黑体_GBK"/>
                <w:sz w:val="18"/>
                <w:szCs w:val="18"/>
              </w:rPr>
              <w:t>J3份额：业绩比较基准为年化2.6%-3% 。</w:t>
            </w:r>
          </w:p>
          <w:p>
            <w:pPr>
              <w:pStyle w:val="null10"/>
              <w:spacing w:lineRule="exact" w:line="200"/>
            </w:pPr>
            <w:r>
              <w:rPr>
                <w:rFonts w:ascii="方正黑体_GBK" w:hAnsi="方正黑体_GBK" w:cs="宋体" w:eastAsia="方正黑体_GBK"/>
                <w:sz w:val="18"/>
                <w:szCs w:val="18"/>
              </w:rPr>
              <w:t>K3份额：业绩比较基准为年化2.6%-3% 。</w:t>
            </w:r>
          </w:p>
          <w:p>
            <w:pPr>
              <w:pStyle w:val="null10"/>
              <w:spacing w:lineRule="exact" w:line="200"/>
            </w:pPr>
            <w:r>
              <w:rPr>
                <w:rFonts w:ascii="方正黑体_GBK" w:hAnsi="方正黑体_GBK" w:cs="宋体" w:eastAsia="方正黑体_GBK"/>
                <w:sz w:val="18"/>
                <w:szCs w:val="18"/>
              </w:rPr>
              <w:t>L3份额：业绩比较基准为年化2.7%-3.1% 。</w:t>
            </w:r>
          </w:p>
          <w:p>
            <w:pPr>
              <w:pStyle w:val="null10"/>
              <w:spacing w:lineRule="exact" w:line="200"/>
            </w:pPr>
            <w:r>
              <w:rPr>
                <w:rFonts w:ascii="方正黑体_GBK" w:hAnsi="方正黑体_GBK" w:cs="宋体" w:eastAsia="方正黑体_GBK"/>
                <w:sz w:val="18"/>
                <w:szCs w:val="18"/>
              </w:rPr>
              <w:t>J4份额：业绩比较基准为年化2.6%-3% 。</w:t>
            </w:r>
          </w:p>
          <w:p>
            <w:pPr>
              <w:pStyle w:val="null10"/>
              <w:spacing w:lineRule="exact" w:line="200"/>
            </w:pPr>
            <w:r>
              <w:rPr>
                <w:rFonts w:ascii="方正黑体_GBK" w:hAnsi="方正黑体_GBK" w:cs="宋体" w:eastAsia="方正黑体_GBK"/>
                <w:sz w:val="18"/>
                <w:szCs w:val="18"/>
              </w:rPr>
              <w:t>K4份额：业绩比较基准为年化2.6%-3% 。</w:t>
            </w:r>
          </w:p>
          <w:p>
            <w:pPr>
              <w:pStyle w:val="null10"/>
              <w:spacing w:lineRule="exact" w:line="200"/>
            </w:pPr>
            <w:r>
              <w:rPr>
                <w:rFonts w:ascii="方正黑体_GBK" w:hAnsi="方正黑体_GBK" w:cs="宋体" w:eastAsia="方正黑体_GBK"/>
                <w:sz w:val="18"/>
                <w:szCs w:val="18"/>
              </w:rPr>
              <w:t>I4份额：业绩比较基准为年化2.8%-3.2% 。</w:t>
            </w:r>
          </w:p>
          <w:p>
            <w:pPr>
              <w:pStyle w:val="null10"/>
              <w:spacing w:lineRule="exact" w:line="200"/>
            </w:pPr>
            <w:r>
              <w:rPr>
                <w:rFonts w:ascii="方正黑体_GBK" w:hAnsi="方正黑体_GBK" w:cs="宋体" w:eastAsia="方正黑体_GBK"/>
                <w:sz w:val="18"/>
                <w:szCs w:val="18"/>
              </w:rPr>
              <w:t>M2份额：业绩比较基准为年化2.6%-3% 。</w:t>
            </w:r>
          </w:p>
          <w:p>
            <w:pPr>
              <w:pStyle w:val="null10"/>
              <w:spacing w:lineRule="exact" w:line="200"/>
            </w:pPr>
            <w:r>
              <w:rPr>
                <w:rFonts w:ascii="方正黑体_GBK" w:hAnsi="方正黑体_GBK" w:cs="宋体" w:eastAsia="方正黑体_GBK"/>
                <w:sz w:val="18"/>
                <w:szCs w:val="18"/>
              </w:rPr>
              <w:t>M3份额：业绩比较基准为年化2.6%-3% 。</w:t>
            </w:r>
          </w:p>
          <w:p>
            <w:pPr>
              <w:pStyle w:val="null10"/>
              <w:spacing w:lineRule="exact" w:line="200"/>
            </w:pPr>
            <w:r>
              <w:rPr>
                <w:rFonts w:ascii="方正黑体_GBK" w:hAnsi="方正黑体_GBK" w:cs="宋体" w:eastAsia="方正黑体_GBK"/>
                <w:sz w:val="18"/>
                <w:szCs w:val="18"/>
              </w:rPr>
              <w:t>M4份额：业绩比较基准为年化2.6%-3% 。</w:t>
            </w:r>
          </w:p>
          <w:p>
            <w:pPr>
              <w:pStyle w:val="null10"/>
              <w:spacing w:lineRule="exact" w:line="200"/>
            </w:pPr>
            <w:r>
              <w:rPr>
                <w:rFonts w:ascii="方正黑体_GBK" w:hAnsi="方正黑体_GBK" w:cs="宋体" w:eastAsia="方正黑体_GBK"/>
                <w:sz w:val="18"/>
                <w:szCs w:val="18"/>
              </w:rPr>
              <w:t>O2份额：业绩比较基准为年化2.7%-3.1% 。</w:t>
            </w:r>
          </w:p>
          <w:p>
            <w:pPr>
              <w:pStyle w:val="null10"/>
              <w:spacing w:lineRule="exact" w:line="200"/>
            </w:pPr>
            <w:r>
              <w:rPr>
                <w:rFonts w:ascii="方正黑体_GBK" w:hAnsi="方正黑体_GBK" w:cs="宋体" w:eastAsia="方正黑体_GBK"/>
                <w:sz w:val="18"/>
                <w:szCs w:val="18"/>
              </w:rPr>
              <w:t>O3份额：业绩比较基准为年化2.7%-3.1% 。</w:t>
            </w:r>
          </w:p>
          <w:p>
            <w:pPr>
              <w:pStyle w:val="null10"/>
              <w:spacing w:lineRule="exact" w:line="200"/>
            </w:pPr>
            <w:r>
              <w:rPr>
                <w:rFonts w:ascii="方正黑体_GBK" w:hAnsi="方正黑体_GBK" w:cs="宋体" w:eastAsia="方正黑体_GBK"/>
                <w:sz w:val="18"/>
                <w:szCs w:val="18"/>
              </w:rPr>
              <w:t>O4份额：业绩比较基准为年化2.7%-3.1%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B份额：销售费年化0.2%</w:t>
            </w:r>
          </w:p>
          <w:p>
            <w:pPr>
              <w:pStyle w:val="null10"/>
              <w:spacing w:lineRule="exact" w:line="200"/>
            </w:pPr>
            <w:r>
              <w:rPr>
                <w:rFonts w:ascii="方正黑体_GBK" w:hAnsi="方正黑体_GBK" w:cs="宋体" w:eastAsia="方正黑体_GBK"/>
                <w:sz w:val="18"/>
                <w:b/>
                <w:szCs w:val="18"/>
              </w:rPr>
              <w:t>C份额：销售费年化0.15%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H份额：销售费年化0.1%</w:t>
            </w:r>
          </w:p>
          <w:p>
            <w:pPr>
              <w:pStyle w:val="null10"/>
              <w:spacing w:lineRule="exact" w:line="200"/>
            </w:pPr>
            <w:r>
              <w:rPr>
                <w:rFonts w:ascii="方正黑体_GBK" w:hAnsi="方正黑体_GBK" w:cs="宋体" w:eastAsia="方正黑体_GBK"/>
                <w:sz w:val="18"/>
                <w:b/>
                <w:szCs w:val="18"/>
              </w:rPr>
              <w:t>J份额：销售费年化0.3%</w:t>
            </w:r>
          </w:p>
          <w:p>
            <w:pPr>
              <w:pStyle w:val="null10"/>
              <w:spacing w:lineRule="exact" w:line="200"/>
            </w:pPr>
            <w:r>
              <w:rPr>
                <w:rFonts w:ascii="方正黑体_GBK" w:hAnsi="方正黑体_GBK" w:cs="宋体" w:eastAsia="方正黑体_GBK"/>
                <w:sz w:val="18"/>
                <w:b/>
                <w:szCs w:val="18"/>
              </w:rPr>
              <w:t>K份额：销售费年化0.3%</w:t>
            </w:r>
          </w:p>
          <w:p>
            <w:pPr>
              <w:pStyle w:val="null10"/>
              <w:spacing w:lineRule="exact" w:line="200"/>
            </w:pPr>
            <w:r>
              <w:rPr>
                <w:rFonts w:ascii="方正黑体_GBK" w:hAnsi="方正黑体_GBK" w:cs="宋体" w:eastAsia="方正黑体_GBK"/>
                <w:sz w:val="18"/>
                <w:b/>
                <w:szCs w:val="18"/>
              </w:rPr>
              <w:t>M份额：销售费年化0.2%</w:t>
            </w:r>
          </w:p>
          <w:p>
            <w:pPr>
              <w:pStyle w:val="null10"/>
              <w:spacing w:lineRule="exact" w:line="200"/>
            </w:pPr>
            <w:r>
              <w:rPr>
                <w:rFonts w:ascii="方正黑体_GBK" w:hAnsi="方正黑体_GBK" w:cs="宋体" w:eastAsia="方正黑体_GBK"/>
                <w:sz w:val="18"/>
                <w:b/>
                <w:szCs w:val="18"/>
              </w:rPr>
              <w:t>N份额：销售费年化0.05%</w:t>
            </w:r>
          </w:p>
          <w:p>
            <w:pPr>
              <w:pStyle w:val="null10"/>
              <w:spacing w:lineRule="exact" w:line="200"/>
            </w:pPr>
            <w:r>
              <w:rPr>
                <w:rFonts w:ascii="方正黑体_GBK" w:hAnsi="方正黑体_GBK" w:cs="宋体" w:eastAsia="方正黑体_GBK"/>
                <w:sz w:val="18"/>
                <w:b/>
                <w:szCs w:val="18"/>
              </w:rPr>
              <w:t>O份额：销售费年化0.2%</w:t>
            </w:r>
          </w:p>
          <w:p>
            <w:pPr>
              <w:pStyle w:val="null10"/>
              <w:spacing w:lineRule="exact" w:line="200"/>
            </w:pPr>
            <w:r>
              <w:rPr>
                <w:rFonts w:ascii="方正黑体_GBK" w:hAnsi="方正黑体_GBK" w:cs="宋体" w:eastAsia="方正黑体_GBK"/>
                <w:sz w:val="18"/>
                <w:b/>
                <w:szCs w:val="18"/>
              </w:rPr>
              <w:t>A2份额：销售费年化0.2%</w:t>
            </w:r>
          </w:p>
          <w:p>
            <w:pPr>
              <w:pStyle w:val="null10"/>
              <w:spacing w:lineRule="exact" w:line="200"/>
            </w:pPr>
            <w:r>
              <w:rPr>
                <w:rFonts w:ascii="方正黑体_GBK" w:hAnsi="方正黑体_GBK" w:cs="宋体" w:eastAsia="方正黑体_GBK"/>
                <w:sz w:val="18"/>
                <w:b/>
                <w:szCs w:val="18"/>
              </w:rPr>
              <w:t>B2份额：销售费年化0.2%</w:t>
            </w:r>
          </w:p>
          <w:p>
            <w:pPr>
              <w:pStyle w:val="null10"/>
              <w:spacing w:lineRule="exact" w:line="200"/>
            </w:pPr>
            <w:r>
              <w:rPr>
                <w:rFonts w:ascii="方正黑体_GBK" w:hAnsi="方正黑体_GBK" w:cs="宋体" w:eastAsia="方正黑体_GBK"/>
                <w:sz w:val="18"/>
                <w:b/>
                <w:szCs w:val="18"/>
              </w:rPr>
              <w:t>C2份额：销售费年化0.15%</w:t>
            </w:r>
          </w:p>
          <w:p>
            <w:pPr>
              <w:pStyle w:val="null10"/>
              <w:spacing w:lineRule="exact" w:line="200"/>
            </w:pPr>
            <w:r>
              <w:rPr>
                <w:rFonts w:ascii="方正黑体_GBK" w:hAnsi="方正黑体_GBK" w:cs="宋体" w:eastAsia="方正黑体_GBK"/>
                <w:sz w:val="18"/>
                <w:b/>
                <w:szCs w:val="18"/>
              </w:rPr>
              <w:t>D2份额：销售费年化0.15%</w:t>
            </w:r>
          </w:p>
          <w:p>
            <w:pPr>
              <w:pStyle w:val="null10"/>
              <w:spacing w:lineRule="exact" w:line="200"/>
            </w:pPr>
            <w:r>
              <w:rPr>
                <w:rFonts w:ascii="方正黑体_GBK" w:hAnsi="方正黑体_GBK" w:cs="宋体" w:eastAsia="方正黑体_GBK"/>
                <w:sz w:val="18"/>
                <w:b/>
                <w:szCs w:val="18"/>
              </w:rPr>
              <w:t>E2份额：销售费年化0.05%</w:t>
            </w:r>
          </w:p>
          <w:p>
            <w:pPr>
              <w:pStyle w:val="null10"/>
              <w:spacing w:lineRule="exact" w:line="200"/>
            </w:pPr>
            <w:r>
              <w:rPr>
                <w:rFonts w:ascii="方正黑体_GBK" w:hAnsi="方正黑体_GBK" w:cs="宋体" w:eastAsia="方正黑体_GBK"/>
                <w:sz w:val="18"/>
                <w:b/>
                <w:szCs w:val="18"/>
              </w:rPr>
              <w:t>A3份额：销售费年化0.2%</w:t>
            </w:r>
          </w:p>
          <w:p>
            <w:pPr>
              <w:pStyle w:val="null10"/>
              <w:spacing w:lineRule="exact" w:line="200"/>
            </w:pPr>
            <w:r>
              <w:rPr>
                <w:rFonts w:ascii="方正黑体_GBK" w:hAnsi="方正黑体_GBK" w:cs="宋体" w:eastAsia="方正黑体_GBK"/>
                <w:sz w:val="18"/>
                <w:b/>
                <w:szCs w:val="18"/>
              </w:rPr>
              <w:t>B3份额：销售费年化0.2%</w:t>
            </w:r>
          </w:p>
          <w:p>
            <w:pPr>
              <w:pStyle w:val="null10"/>
              <w:spacing w:lineRule="exact" w:line="200"/>
            </w:pPr>
            <w:r>
              <w:rPr>
                <w:rFonts w:ascii="方正黑体_GBK" w:hAnsi="方正黑体_GBK" w:cs="宋体" w:eastAsia="方正黑体_GBK"/>
                <w:sz w:val="18"/>
                <w:b/>
                <w:szCs w:val="18"/>
              </w:rPr>
              <w:t>C3份额：销售费年化0.15%</w:t>
            </w:r>
          </w:p>
          <w:p>
            <w:pPr>
              <w:pStyle w:val="null10"/>
              <w:spacing w:lineRule="exact" w:line="200"/>
            </w:pPr>
            <w:r>
              <w:rPr>
                <w:rFonts w:ascii="方正黑体_GBK" w:hAnsi="方正黑体_GBK" w:cs="宋体" w:eastAsia="方正黑体_GBK"/>
                <w:sz w:val="18"/>
                <w:b/>
                <w:szCs w:val="18"/>
              </w:rPr>
              <w:t>D3份额：销售费年化0.15%</w:t>
            </w:r>
          </w:p>
          <w:p>
            <w:pPr>
              <w:pStyle w:val="null10"/>
              <w:spacing w:lineRule="exact" w:line="200"/>
            </w:pPr>
            <w:r>
              <w:rPr>
                <w:rFonts w:ascii="方正黑体_GBK" w:hAnsi="方正黑体_GBK" w:cs="宋体" w:eastAsia="方正黑体_GBK"/>
                <w:sz w:val="18"/>
                <w:b/>
                <w:szCs w:val="18"/>
              </w:rPr>
              <w:t>E3份额：销售费年化0.05%</w:t>
            </w:r>
          </w:p>
          <w:p>
            <w:pPr>
              <w:pStyle w:val="null10"/>
              <w:spacing w:lineRule="exact" w:line="200"/>
            </w:pPr>
            <w:r>
              <w:rPr>
                <w:rFonts w:ascii="方正黑体_GBK" w:hAnsi="方正黑体_GBK" w:cs="宋体" w:eastAsia="方正黑体_GBK"/>
                <w:sz w:val="18"/>
                <w:b/>
                <w:szCs w:val="18"/>
              </w:rPr>
              <w:t>A4份额：销售费年化0.2%</w:t>
            </w:r>
          </w:p>
          <w:p>
            <w:pPr>
              <w:pStyle w:val="null10"/>
              <w:spacing w:lineRule="exact" w:line="200"/>
            </w:pPr>
            <w:r>
              <w:rPr>
                <w:rFonts w:ascii="方正黑体_GBK" w:hAnsi="方正黑体_GBK" w:cs="宋体" w:eastAsia="方正黑体_GBK"/>
                <w:sz w:val="18"/>
                <w:b/>
                <w:szCs w:val="18"/>
              </w:rPr>
              <w:t>B4份额：销售费年化0.2%</w:t>
            </w:r>
          </w:p>
          <w:p>
            <w:pPr>
              <w:pStyle w:val="null10"/>
              <w:spacing w:lineRule="exact" w:line="200"/>
            </w:pPr>
            <w:r>
              <w:rPr>
                <w:rFonts w:ascii="方正黑体_GBK" w:hAnsi="方正黑体_GBK" w:cs="宋体" w:eastAsia="方正黑体_GBK"/>
                <w:sz w:val="18"/>
                <w:b/>
                <w:szCs w:val="18"/>
              </w:rPr>
              <w:t>C4份额：销售费年化0.15%</w:t>
            </w:r>
          </w:p>
          <w:p>
            <w:pPr>
              <w:pStyle w:val="null10"/>
              <w:spacing w:lineRule="exact" w:line="200"/>
            </w:pPr>
            <w:r>
              <w:rPr>
                <w:rFonts w:ascii="方正黑体_GBK" w:hAnsi="方正黑体_GBK" w:cs="宋体" w:eastAsia="方正黑体_GBK"/>
                <w:sz w:val="18"/>
                <w:b/>
                <w:szCs w:val="18"/>
              </w:rPr>
              <w:t>D4份额：销售费年化0.15%</w:t>
            </w:r>
          </w:p>
          <w:p>
            <w:pPr>
              <w:pStyle w:val="null10"/>
              <w:spacing w:lineRule="exact" w:line="200"/>
            </w:pPr>
            <w:r>
              <w:rPr>
                <w:rFonts w:ascii="方正黑体_GBK" w:hAnsi="方正黑体_GBK" w:cs="宋体" w:eastAsia="方正黑体_GBK"/>
                <w:sz w:val="18"/>
                <w:b/>
                <w:szCs w:val="18"/>
              </w:rPr>
              <w:t>E4份额：销售费年化0.05%</w:t>
            </w:r>
          </w:p>
          <w:p>
            <w:pPr>
              <w:pStyle w:val="null10"/>
              <w:spacing w:lineRule="exact" w:line="200"/>
            </w:pPr>
            <w:r>
              <w:rPr>
                <w:rFonts w:ascii="方正黑体_GBK" w:hAnsi="方正黑体_GBK" w:cs="宋体" w:eastAsia="方正黑体_GBK"/>
                <w:sz w:val="18"/>
                <w:b/>
                <w:szCs w:val="18"/>
              </w:rPr>
              <w:t>F2份额：销售费年化0.15%</w:t>
            </w:r>
          </w:p>
          <w:p>
            <w:pPr>
              <w:pStyle w:val="null10"/>
              <w:spacing w:lineRule="exact" w:line="200"/>
            </w:pPr>
            <w:r>
              <w:rPr>
                <w:rFonts w:ascii="方正黑体_GBK" w:hAnsi="方正黑体_GBK" w:cs="宋体" w:eastAsia="方正黑体_GBK"/>
                <w:sz w:val="18"/>
                <w:b/>
                <w:szCs w:val="18"/>
              </w:rPr>
              <w:t>F3份额：销售费年化0.15%</w:t>
            </w:r>
          </w:p>
          <w:p>
            <w:pPr>
              <w:pStyle w:val="null10"/>
              <w:spacing w:lineRule="exact" w:line="200"/>
            </w:pPr>
            <w:r>
              <w:rPr>
                <w:rFonts w:ascii="方正黑体_GBK" w:hAnsi="方正黑体_GBK" w:cs="宋体" w:eastAsia="方正黑体_GBK"/>
                <w:sz w:val="18"/>
                <w:b/>
                <w:szCs w:val="18"/>
              </w:rPr>
              <w:t>G2份额：销售费年化0.1%</w:t>
            </w:r>
          </w:p>
          <w:p>
            <w:pPr>
              <w:pStyle w:val="null10"/>
              <w:spacing w:lineRule="exact" w:line="200"/>
            </w:pPr>
            <w:r>
              <w:rPr>
                <w:rFonts w:ascii="方正黑体_GBK" w:hAnsi="方正黑体_GBK" w:cs="宋体" w:eastAsia="方正黑体_GBK"/>
                <w:sz w:val="18"/>
                <w:b/>
                <w:szCs w:val="18"/>
              </w:rPr>
              <w:t>G3份额：销售费年化0.1%</w:t>
            </w:r>
          </w:p>
          <w:p>
            <w:pPr>
              <w:pStyle w:val="null10"/>
              <w:spacing w:lineRule="exact" w:line="200"/>
            </w:pPr>
            <w:r>
              <w:rPr>
                <w:rFonts w:ascii="方正黑体_GBK" w:hAnsi="方正黑体_GBK" w:cs="宋体" w:eastAsia="方正黑体_GBK"/>
                <w:sz w:val="18"/>
                <w:b/>
                <w:szCs w:val="18"/>
              </w:rPr>
              <w:t>F4份额：销售费年化0.15%</w:t>
            </w:r>
          </w:p>
          <w:p>
            <w:pPr>
              <w:pStyle w:val="null10"/>
              <w:spacing w:lineRule="exact" w:line="200"/>
            </w:pPr>
            <w:r>
              <w:rPr>
                <w:rFonts w:ascii="方正黑体_GBK" w:hAnsi="方正黑体_GBK" w:cs="宋体" w:eastAsia="方正黑体_GBK"/>
                <w:sz w:val="18"/>
                <w:b/>
                <w:szCs w:val="18"/>
              </w:rPr>
              <w:t>G4份额：销售费年化0.1%</w:t>
            </w:r>
          </w:p>
          <w:p>
            <w:pPr>
              <w:pStyle w:val="null10"/>
              <w:spacing w:lineRule="exact" w:line="200"/>
            </w:pPr>
            <w:r>
              <w:rPr>
                <w:rFonts w:ascii="方正黑体_GBK" w:hAnsi="方正黑体_GBK" w:cs="宋体" w:eastAsia="方正黑体_GBK"/>
                <w:sz w:val="18"/>
                <w:b/>
                <w:szCs w:val="18"/>
              </w:rPr>
              <w:t>H4份额：销售费年化0.1%</w:t>
            </w:r>
          </w:p>
          <w:p>
            <w:pPr>
              <w:pStyle w:val="null10"/>
              <w:spacing w:lineRule="exact" w:line="200"/>
            </w:pPr>
            <w:r>
              <w:rPr>
                <w:rFonts w:ascii="方正黑体_GBK" w:hAnsi="方正黑体_GBK" w:cs="宋体" w:eastAsia="方正黑体_GBK"/>
                <w:sz w:val="18"/>
                <w:b/>
                <w:szCs w:val="18"/>
              </w:rPr>
              <w:t>I2份额：销售费年化0.1%</w:t>
            </w:r>
          </w:p>
          <w:p>
            <w:pPr>
              <w:pStyle w:val="null10"/>
              <w:spacing w:lineRule="exact" w:line="200"/>
            </w:pPr>
            <w:r>
              <w:rPr>
                <w:rFonts w:ascii="方正黑体_GBK" w:hAnsi="方正黑体_GBK" w:cs="宋体" w:eastAsia="方正黑体_GBK"/>
                <w:sz w:val="18"/>
                <w:b/>
                <w:szCs w:val="18"/>
              </w:rPr>
              <w:t>J2份额：销售费年化0.3%</w:t>
            </w:r>
          </w:p>
          <w:p>
            <w:pPr>
              <w:pStyle w:val="null10"/>
              <w:spacing w:lineRule="exact" w:line="200"/>
            </w:pPr>
            <w:r>
              <w:rPr>
                <w:rFonts w:ascii="方正黑体_GBK" w:hAnsi="方正黑体_GBK" w:cs="宋体" w:eastAsia="方正黑体_GBK"/>
                <w:sz w:val="18"/>
                <w:b/>
                <w:szCs w:val="18"/>
              </w:rPr>
              <w:t>K2份额：销售费年化0.3%</w:t>
            </w:r>
          </w:p>
          <w:p>
            <w:pPr>
              <w:pStyle w:val="null10"/>
              <w:spacing w:lineRule="exact" w:line="200"/>
            </w:pPr>
            <w:r>
              <w:rPr>
                <w:rFonts w:ascii="方正黑体_GBK" w:hAnsi="方正黑体_GBK" w:cs="宋体" w:eastAsia="方正黑体_GBK"/>
                <w:sz w:val="18"/>
                <w:b/>
                <w:szCs w:val="18"/>
              </w:rPr>
              <w:t>J3份额：销售费年化0.3%</w:t>
            </w:r>
          </w:p>
          <w:p>
            <w:pPr>
              <w:pStyle w:val="null10"/>
              <w:spacing w:lineRule="exact" w:line="200"/>
            </w:pPr>
            <w:r>
              <w:rPr>
                <w:rFonts w:ascii="方正黑体_GBK" w:hAnsi="方正黑体_GBK" w:cs="宋体" w:eastAsia="方正黑体_GBK"/>
                <w:sz w:val="18"/>
                <w:b/>
                <w:szCs w:val="18"/>
              </w:rPr>
              <w:t>K3份额：销售费年化0.3%</w:t>
            </w:r>
          </w:p>
          <w:p>
            <w:pPr>
              <w:pStyle w:val="null10"/>
              <w:spacing w:lineRule="exact" w:line="200"/>
            </w:pPr>
            <w:r>
              <w:rPr>
                <w:rFonts w:ascii="方正黑体_GBK" w:hAnsi="方正黑体_GBK" w:cs="宋体" w:eastAsia="方正黑体_GBK"/>
                <w:sz w:val="18"/>
                <w:b/>
                <w:szCs w:val="18"/>
              </w:rPr>
              <w:t>L3份额：销售费年化0.2%</w:t>
            </w:r>
          </w:p>
          <w:p>
            <w:pPr>
              <w:pStyle w:val="null10"/>
              <w:spacing w:lineRule="exact" w:line="200"/>
            </w:pPr>
            <w:r>
              <w:rPr>
                <w:rFonts w:ascii="方正黑体_GBK" w:hAnsi="方正黑体_GBK" w:cs="宋体" w:eastAsia="方正黑体_GBK"/>
                <w:sz w:val="18"/>
                <w:b/>
                <w:szCs w:val="18"/>
              </w:rPr>
              <w:t>J4份额：销售费年化0.3%</w:t>
            </w:r>
          </w:p>
          <w:p>
            <w:pPr>
              <w:pStyle w:val="null10"/>
              <w:spacing w:lineRule="exact" w:line="200"/>
            </w:pPr>
            <w:r>
              <w:rPr>
                <w:rFonts w:ascii="方正黑体_GBK" w:hAnsi="方正黑体_GBK" w:cs="宋体" w:eastAsia="方正黑体_GBK"/>
                <w:sz w:val="18"/>
                <w:b/>
                <w:szCs w:val="18"/>
              </w:rPr>
              <w:t>K4份额：销售费年化0.3%</w:t>
            </w:r>
          </w:p>
          <w:p>
            <w:pPr>
              <w:pStyle w:val="null10"/>
              <w:spacing w:lineRule="exact" w:line="200"/>
            </w:pPr>
            <w:r>
              <w:rPr>
                <w:rFonts w:ascii="方正黑体_GBK" w:hAnsi="方正黑体_GBK" w:cs="宋体" w:eastAsia="方正黑体_GBK"/>
                <w:sz w:val="18"/>
                <w:b/>
                <w:szCs w:val="18"/>
              </w:rPr>
              <w:t>I4份额：销售费年化0.1%</w:t>
            </w:r>
          </w:p>
          <w:p>
            <w:pPr>
              <w:pStyle w:val="null10"/>
              <w:spacing w:lineRule="exact" w:line="200"/>
            </w:pPr>
            <w:r>
              <w:rPr>
                <w:rFonts w:ascii="方正黑体_GBK" w:hAnsi="方正黑体_GBK" w:cs="宋体" w:eastAsia="方正黑体_GBK"/>
                <w:sz w:val="18"/>
                <w:b/>
                <w:szCs w:val="18"/>
              </w:rPr>
              <w:t>M2份额：销售费年化0.2%</w:t>
            </w:r>
          </w:p>
          <w:p>
            <w:pPr>
              <w:pStyle w:val="null10"/>
              <w:spacing w:lineRule="exact" w:line="200"/>
            </w:pPr>
            <w:r>
              <w:rPr>
                <w:rFonts w:ascii="方正黑体_GBK" w:hAnsi="方正黑体_GBK" w:cs="宋体" w:eastAsia="方正黑体_GBK"/>
                <w:sz w:val="18"/>
                <w:b/>
                <w:szCs w:val="18"/>
              </w:rPr>
              <w:t>M3份额：销售费年化0.2%</w:t>
            </w:r>
          </w:p>
          <w:p>
            <w:pPr>
              <w:pStyle w:val="null10"/>
              <w:spacing w:lineRule="exact" w:line="200"/>
            </w:pPr>
            <w:r>
              <w:rPr>
                <w:rFonts w:ascii="方正黑体_GBK" w:hAnsi="方正黑体_GBK" w:cs="宋体" w:eastAsia="方正黑体_GBK"/>
                <w:sz w:val="18"/>
                <w:b/>
                <w:szCs w:val="18"/>
              </w:rPr>
              <w:t>M4份额：销售费年化0.2%</w:t>
            </w:r>
          </w:p>
          <w:p>
            <w:pPr>
              <w:pStyle w:val="null10"/>
              <w:spacing w:lineRule="exact" w:line="200"/>
            </w:pPr>
            <w:r>
              <w:rPr>
                <w:rFonts w:ascii="方正黑体_GBK" w:hAnsi="方正黑体_GBK" w:cs="宋体" w:eastAsia="方正黑体_GBK"/>
                <w:sz w:val="18"/>
                <w:b/>
                <w:szCs w:val="18"/>
              </w:rPr>
              <w:t>O2份额：销售费年化0.2%</w:t>
            </w:r>
          </w:p>
          <w:p>
            <w:pPr>
              <w:pStyle w:val="null10"/>
              <w:spacing w:lineRule="exact" w:line="200"/>
            </w:pPr>
            <w:r>
              <w:rPr>
                <w:rFonts w:ascii="方正黑体_GBK" w:hAnsi="方正黑体_GBK" w:cs="宋体" w:eastAsia="方正黑体_GBK"/>
                <w:sz w:val="18"/>
                <w:b/>
                <w:szCs w:val="18"/>
              </w:rPr>
              <w:t>O3份额：销售费年化0.2%</w:t>
            </w:r>
          </w:p>
          <w:p>
            <w:pPr>
              <w:pStyle w:val="null10"/>
              <w:spacing w:lineRule="exact" w:line="200"/>
            </w:pPr>
            <w:r>
              <w:rPr>
                <w:rFonts w:ascii="方正黑体_GBK" w:hAnsi="方正黑体_GBK" w:cs="宋体" w:eastAsia="方正黑体_GBK"/>
                <w:sz w:val="18"/>
                <w:b/>
                <w:szCs w:val="18"/>
              </w:rPr>
              <w:t>O4份额：销售费年化0.2%</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D份额：固定管理费年化0.15%</w:t>
            </w:r>
          </w:p>
          <w:p>
            <w:pPr>
              <w:pStyle w:val="null10"/>
              <w:spacing w:lineRule="exact" w:line="200"/>
            </w:pPr>
            <w:r>
              <w:rPr>
                <w:rFonts w:ascii="方正黑体_GBK" w:hAnsi="方正黑体_GBK" w:cs="宋体" w:eastAsia="方正黑体_GBK"/>
                <w:sz w:val="18"/>
                <w:b/>
                <w:szCs w:val="18"/>
              </w:rPr>
              <w:t>E份额：固定管理费年化0.15%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M份额：固定管理费年化0.2%</w:t>
            </w:r>
          </w:p>
          <w:p>
            <w:pPr>
              <w:pStyle w:val="null10"/>
              <w:spacing w:lineRule="exact" w:line="200"/>
            </w:pPr>
            <w:r>
              <w:rPr>
                <w:rFonts w:ascii="方正黑体_GBK" w:hAnsi="方正黑体_GBK" w:cs="宋体" w:eastAsia="方正黑体_GBK"/>
                <w:sz w:val="18"/>
                <w:b/>
                <w:szCs w:val="18"/>
              </w:rPr>
              <w:t>N份额：固定管理费年化0.1%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B2份额：固定管理费年化0.2%</w:t>
            </w:r>
          </w:p>
          <w:p>
            <w:pPr>
              <w:pStyle w:val="null10"/>
              <w:spacing w:lineRule="exact" w:line="200"/>
            </w:pPr>
            <w:r>
              <w:rPr>
                <w:rFonts w:ascii="方正黑体_GBK" w:hAnsi="方正黑体_GBK" w:cs="宋体" w:eastAsia="方正黑体_GBK"/>
                <w:sz w:val="18"/>
                <w:b/>
                <w:szCs w:val="18"/>
              </w:rPr>
              <w:t>C2份额：固定管理费年化0.2%</w:t>
            </w:r>
          </w:p>
          <w:p>
            <w:pPr>
              <w:pStyle w:val="null10"/>
              <w:spacing w:lineRule="exact" w:line="200"/>
            </w:pPr>
            <w:r>
              <w:rPr>
                <w:rFonts w:ascii="方正黑体_GBK" w:hAnsi="方正黑体_GBK" w:cs="宋体" w:eastAsia="方正黑体_GBK"/>
                <w:sz w:val="18"/>
                <w:b/>
                <w:szCs w:val="18"/>
              </w:rPr>
              <w:t>D2份额：固定管理费年化0.15%</w:t>
            </w:r>
          </w:p>
          <w:p>
            <w:pPr>
              <w:pStyle w:val="null10"/>
              <w:spacing w:lineRule="exact" w:line="200"/>
            </w:pPr>
            <w:r>
              <w:rPr>
                <w:rFonts w:ascii="方正黑体_GBK" w:hAnsi="方正黑体_GBK" w:cs="宋体" w:eastAsia="方正黑体_GBK"/>
                <w:sz w:val="18"/>
                <w:b/>
                <w:szCs w:val="18"/>
              </w:rPr>
              <w:t>E2份额：固定管理费年化0.15%</w:t>
            </w:r>
          </w:p>
          <w:p>
            <w:pPr>
              <w:pStyle w:val="null10"/>
              <w:spacing w:lineRule="exact" w:line="200"/>
            </w:pPr>
            <w:r>
              <w:rPr>
                <w:rFonts w:ascii="方正黑体_GBK" w:hAnsi="方正黑体_GBK" w:cs="宋体" w:eastAsia="方正黑体_GBK"/>
                <w:sz w:val="18"/>
                <w:b/>
                <w:szCs w:val="18"/>
              </w:rPr>
              <w:t>A3份额：固定管理费年化0.2%</w:t>
            </w:r>
          </w:p>
          <w:p>
            <w:pPr>
              <w:pStyle w:val="null10"/>
              <w:spacing w:lineRule="exact" w:line="200"/>
            </w:pPr>
            <w:r>
              <w:rPr>
                <w:rFonts w:ascii="方正黑体_GBK" w:hAnsi="方正黑体_GBK" w:cs="宋体" w:eastAsia="方正黑体_GBK"/>
                <w:sz w:val="18"/>
                <w:b/>
                <w:szCs w:val="18"/>
              </w:rPr>
              <w:t>B3份额：固定管理费年化0.2%</w:t>
            </w:r>
          </w:p>
          <w:p>
            <w:pPr>
              <w:pStyle w:val="null10"/>
              <w:spacing w:lineRule="exact" w:line="200"/>
            </w:pPr>
            <w:r>
              <w:rPr>
                <w:rFonts w:ascii="方正黑体_GBK" w:hAnsi="方正黑体_GBK" w:cs="宋体" w:eastAsia="方正黑体_GBK"/>
                <w:sz w:val="18"/>
                <w:b/>
                <w:szCs w:val="18"/>
              </w:rPr>
              <w:t>C3份额：固定管理费年化0.2%</w:t>
            </w:r>
          </w:p>
          <w:p>
            <w:pPr>
              <w:pStyle w:val="null10"/>
              <w:spacing w:lineRule="exact" w:line="200"/>
            </w:pPr>
            <w:r>
              <w:rPr>
                <w:rFonts w:ascii="方正黑体_GBK" w:hAnsi="方正黑体_GBK" w:cs="宋体" w:eastAsia="方正黑体_GBK"/>
                <w:sz w:val="18"/>
                <w:b/>
                <w:szCs w:val="18"/>
              </w:rPr>
              <w:t>D3份额：固定管理费年化0.15%</w:t>
            </w:r>
          </w:p>
          <w:p>
            <w:pPr>
              <w:pStyle w:val="null10"/>
              <w:spacing w:lineRule="exact" w:line="200"/>
            </w:pPr>
            <w:r>
              <w:rPr>
                <w:rFonts w:ascii="方正黑体_GBK" w:hAnsi="方正黑体_GBK" w:cs="宋体" w:eastAsia="方正黑体_GBK"/>
                <w:sz w:val="18"/>
                <w:b/>
                <w:szCs w:val="18"/>
              </w:rPr>
              <w:t>E3份额：固定管理费年化0.15%</w:t>
            </w:r>
          </w:p>
          <w:p>
            <w:pPr>
              <w:pStyle w:val="null10"/>
              <w:spacing w:lineRule="exact" w:line="200"/>
            </w:pPr>
            <w:r>
              <w:rPr>
                <w:rFonts w:ascii="方正黑体_GBK" w:hAnsi="方正黑体_GBK" w:cs="宋体" w:eastAsia="方正黑体_GBK"/>
                <w:sz w:val="18"/>
                <w:b/>
                <w:szCs w:val="18"/>
              </w:rPr>
              <w:t>A4份额：固定管理费年化0.2%</w:t>
            </w:r>
          </w:p>
          <w:p>
            <w:pPr>
              <w:pStyle w:val="null10"/>
              <w:spacing w:lineRule="exact" w:line="200"/>
            </w:pPr>
            <w:r>
              <w:rPr>
                <w:rFonts w:ascii="方正黑体_GBK" w:hAnsi="方正黑体_GBK" w:cs="宋体" w:eastAsia="方正黑体_GBK"/>
                <w:sz w:val="18"/>
                <w:b/>
                <w:szCs w:val="18"/>
              </w:rPr>
              <w:t>B4份额：固定管理费年化0.2%</w:t>
            </w:r>
          </w:p>
          <w:p>
            <w:pPr>
              <w:pStyle w:val="null10"/>
              <w:spacing w:lineRule="exact" w:line="200"/>
            </w:pPr>
            <w:r>
              <w:rPr>
                <w:rFonts w:ascii="方正黑体_GBK" w:hAnsi="方正黑体_GBK" w:cs="宋体" w:eastAsia="方正黑体_GBK"/>
                <w:sz w:val="18"/>
                <w:b/>
                <w:szCs w:val="18"/>
              </w:rPr>
              <w:t>C4份额：固定管理费年化0.2%</w:t>
            </w:r>
          </w:p>
          <w:p>
            <w:pPr>
              <w:pStyle w:val="null10"/>
              <w:spacing w:lineRule="exact" w:line="200"/>
            </w:pPr>
            <w:r>
              <w:rPr>
                <w:rFonts w:ascii="方正黑体_GBK" w:hAnsi="方正黑体_GBK" w:cs="宋体" w:eastAsia="方正黑体_GBK"/>
                <w:sz w:val="18"/>
                <w:b/>
                <w:szCs w:val="18"/>
              </w:rPr>
              <w:t>D4份额：固定管理费年化0.15%</w:t>
            </w:r>
          </w:p>
          <w:p>
            <w:pPr>
              <w:pStyle w:val="null10"/>
              <w:spacing w:lineRule="exact" w:line="200"/>
            </w:pPr>
            <w:r>
              <w:rPr>
                <w:rFonts w:ascii="方正黑体_GBK" w:hAnsi="方正黑体_GBK" w:cs="宋体" w:eastAsia="方正黑体_GBK"/>
                <w:sz w:val="18"/>
                <w:b/>
                <w:szCs w:val="18"/>
              </w:rPr>
              <w:t>E4份额：固定管理费年化0.15%</w:t>
            </w:r>
          </w:p>
          <w:p>
            <w:pPr>
              <w:pStyle w:val="null10"/>
              <w:spacing w:lineRule="exact" w:line="200"/>
            </w:pPr>
            <w:r>
              <w:rPr>
                <w:rFonts w:ascii="方正黑体_GBK" w:hAnsi="方正黑体_GBK" w:cs="宋体" w:eastAsia="方正黑体_GBK"/>
                <w:sz w:val="18"/>
                <w:b/>
                <w:szCs w:val="18"/>
              </w:rPr>
              <w:t>F2份额：固定管理费年化0.15%</w:t>
            </w:r>
          </w:p>
          <w:p>
            <w:pPr>
              <w:pStyle w:val="null10"/>
              <w:spacing w:lineRule="exact" w:line="200"/>
            </w:pPr>
            <w:r>
              <w:rPr>
                <w:rFonts w:ascii="方正黑体_GBK" w:hAnsi="方正黑体_GBK" w:cs="宋体" w:eastAsia="方正黑体_GBK"/>
                <w:sz w:val="18"/>
                <w:b/>
                <w:szCs w:val="18"/>
              </w:rPr>
              <w:t>F3份额：固定管理费年化0.15%</w:t>
            </w:r>
          </w:p>
          <w:p>
            <w:pPr>
              <w:pStyle w:val="null10"/>
              <w:spacing w:lineRule="exact" w:line="200"/>
            </w:pPr>
            <w:r>
              <w:rPr>
                <w:rFonts w:ascii="方正黑体_GBK" w:hAnsi="方正黑体_GBK" w:cs="宋体" w:eastAsia="方正黑体_GBK"/>
                <w:sz w:val="18"/>
                <w:b/>
                <w:szCs w:val="18"/>
              </w:rPr>
              <w:t>G2份额：固定管理费年化0.15%</w:t>
            </w:r>
          </w:p>
          <w:p>
            <w:pPr>
              <w:pStyle w:val="null10"/>
              <w:spacing w:lineRule="exact" w:line="200"/>
            </w:pPr>
            <w:r>
              <w:rPr>
                <w:rFonts w:ascii="方正黑体_GBK" w:hAnsi="方正黑体_GBK" w:cs="宋体" w:eastAsia="方正黑体_GBK"/>
                <w:sz w:val="18"/>
                <w:b/>
                <w:szCs w:val="18"/>
              </w:rPr>
              <w:t>G3份额：固定管理费年化0.15%</w:t>
            </w:r>
          </w:p>
          <w:p>
            <w:pPr>
              <w:pStyle w:val="null10"/>
              <w:spacing w:lineRule="exact" w:line="200"/>
            </w:pPr>
            <w:r>
              <w:rPr>
                <w:rFonts w:ascii="方正黑体_GBK" w:hAnsi="方正黑体_GBK" w:cs="宋体" w:eastAsia="方正黑体_GBK"/>
                <w:sz w:val="18"/>
                <w:b/>
                <w:szCs w:val="18"/>
              </w:rPr>
              <w:t>F4份额：固定管理费年化0.15%</w:t>
            </w:r>
          </w:p>
          <w:p>
            <w:pPr>
              <w:pStyle w:val="null10"/>
              <w:spacing w:lineRule="exact" w:line="200"/>
            </w:pPr>
            <w:r>
              <w:rPr>
                <w:rFonts w:ascii="方正黑体_GBK" w:hAnsi="方正黑体_GBK" w:cs="宋体" w:eastAsia="方正黑体_GBK"/>
                <w:sz w:val="18"/>
                <w:b/>
                <w:szCs w:val="18"/>
              </w:rPr>
              <w:t>G4份额：固定管理费年化0.15%</w:t>
            </w:r>
          </w:p>
          <w:p>
            <w:pPr>
              <w:pStyle w:val="null10"/>
              <w:spacing w:lineRule="exact" w:line="200"/>
            </w:pPr>
            <w:r>
              <w:rPr>
                <w:rFonts w:ascii="方正黑体_GBK" w:hAnsi="方正黑体_GBK" w:cs="宋体" w:eastAsia="方正黑体_GBK"/>
                <w:sz w:val="18"/>
                <w:b/>
                <w:szCs w:val="18"/>
              </w:rPr>
              <w:t>H4份额：固定管理费年化0.1%</w:t>
            </w:r>
          </w:p>
          <w:p>
            <w:pPr>
              <w:pStyle w:val="null10"/>
              <w:spacing w:lineRule="exact" w:line="200"/>
            </w:pPr>
            <w:r>
              <w:rPr>
                <w:rFonts w:ascii="方正黑体_GBK" w:hAnsi="方正黑体_GBK" w:cs="宋体" w:eastAsia="方正黑体_GBK"/>
                <w:sz w:val="18"/>
                <w:b/>
                <w:szCs w:val="18"/>
              </w:rPr>
              <w:t>I2份额：固定管理费年化0.1%</w:t>
            </w:r>
          </w:p>
          <w:p>
            <w:pPr>
              <w:pStyle w:val="null10"/>
              <w:spacing w:lineRule="exact" w:line="200"/>
            </w:pPr>
            <w:r>
              <w:rPr>
                <w:rFonts w:ascii="方正黑体_GBK" w:hAnsi="方正黑体_GBK" w:cs="宋体" w:eastAsia="方正黑体_GBK"/>
                <w:sz w:val="18"/>
                <w:b/>
                <w:szCs w:val="18"/>
              </w:rPr>
              <w:t>J2份额：固定管理费年化0.1%</w:t>
            </w:r>
          </w:p>
          <w:p>
            <w:pPr>
              <w:pStyle w:val="null10"/>
              <w:spacing w:lineRule="exact" w:line="200"/>
            </w:pPr>
            <w:r>
              <w:rPr>
                <w:rFonts w:ascii="方正黑体_GBK" w:hAnsi="方正黑体_GBK" w:cs="宋体" w:eastAsia="方正黑体_GBK"/>
                <w:sz w:val="18"/>
                <w:b/>
                <w:szCs w:val="18"/>
              </w:rPr>
              <w:t>K2份额：固定管理费年化0.1%</w:t>
            </w:r>
          </w:p>
          <w:p>
            <w:pPr>
              <w:pStyle w:val="null10"/>
              <w:spacing w:lineRule="exact" w:line="200"/>
            </w:pPr>
            <w:r>
              <w:rPr>
                <w:rFonts w:ascii="方正黑体_GBK" w:hAnsi="方正黑体_GBK" w:cs="宋体" w:eastAsia="方正黑体_GBK"/>
                <w:sz w:val="18"/>
                <w:b/>
                <w:szCs w:val="18"/>
              </w:rPr>
              <w:t>J3份额：固定管理费年化0.1%</w:t>
            </w:r>
          </w:p>
          <w:p>
            <w:pPr>
              <w:pStyle w:val="null10"/>
              <w:spacing w:lineRule="exact" w:line="200"/>
            </w:pPr>
            <w:r>
              <w:rPr>
                <w:rFonts w:ascii="方正黑体_GBK" w:hAnsi="方正黑体_GBK" w:cs="宋体" w:eastAsia="方正黑体_GBK"/>
                <w:sz w:val="18"/>
                <w:b/>
                <w:szCs w:val="18"/>
              </w:rPr>
              <w:t>K3份额：固定管理费年化0.1%</w:t>
            </w:r>
          </w:p>
          <w:p>
            <w:pPr>
              <w:pStyle w:val="null10"/>
              <w:spacing w:lineRule="exact" w:line="200"/>
            </w:pPr>
            <w:r>
              <w:rPr>
                <w:rFonts w:ascii="方正黑体_GBK" w:hAnsi="方正黑体_GBK" w:cs="宋体" w:eastAsia="方正黑体_GBK"/>
                <w:sz w:val="18"/>
                <w:b/>
                <w:szCs w:val="18"/>
              </w:rPr>
              <w:t>L3份额：固定管理费年化0.1%</w:t>
            </w:r>
          </w:p>
          <w:p>
            <w:pPr>
              <w:pStyle w:val="null10"/>
              <w:spacing w:lineRule="exact" w:line="200"/>
            </w:pPr>
            <w:r>
              <w:rPr>
                <w:rFonts w:ascii="方正黑体_GBK" w:hAnsi="方正黑体_GBK" w:cs="宋体" w:eastAsia="方正黑体_GBK"/>
                <w:sz w:val="18"/>
                <w:b/>
                <w:szCs w:val="18"/>
              </w:rPr>
              <w:t>J4份额：固定管理费年化0.1%</w:t>
            </w:r>
          </w:p>
          <w:p>
            <w:pPr>
              <w:pStyle w:val="null10"/>
              <w:spacing w:lineRule="exact" w:line="200"/>
            </w:pPr>
            <w:r>
              <w:rPr>
                <w:rFonts w:ascii="方正黑体_GBK" w:hAnsi="方正黑体_GBK" w:cs="宋体" w:eastAsia="方正黑体_GBK"/>
                <w:sz w:val="18"/>
                <w:b/>
                <w:szCs w:val="18"/>
              </w:rPr>
              <w:t>K4份额：固定管理费年化0.1%</w:t>
            </w:r>
          </w:p>
          <w:p>
            <w:pPr>
              <w:pStyle w:val="null10"/>
              <w:spacing w:lineRule="exact" w:line="200"/>
            </w:pPr>
            <w:r>
              <w:rPr>
                <w:rFonts w:ascii="方正黑体_GBK" w:hAnsi="方正黑体_GBK" w:cs="宋体" w:eastAsia="方正黑体_GBK"/>
                <w:sz w:val="18"/>
                <w:b/>
                <w:szCs w:val="18"/>
              </w:rPr>
              <w:t>I4份额：固定管理费年化0.1%</w:t>
            </w:r>
          </w:p>
          <w:p>
            <w:pPr>
              <w:pStyle w:val="null10"/>
              <w:spacing w:lineRule="exact" w:line="200"/>
            </w:pPr>
            <w:r>
              <w:rPr>
                <w:rFonts w:ascii="方正黑体_GBK" w:hAnsi="方正黑体_GBK" w:cs="宋体" w:eastAsia="方正黑体_GBK"/>
                <w:sz w:val="18"/>
                <w:b/>
                <w:szCs w:val="18"/>
              </w:rPr>
              <w:t>M2份额：固定管理费年化0.2%</w:t>
            </w:r>
          </w:p>
          <w:p>
            <w:pPr>
              <w:pStyle w:val="null10"/>
              <w:spacing w:lineRule="exact" w:line="200"/>
            </w:pPr>
            <w:r>
              <w:rPr>
                <w:rFonts w:ascii="方正黑体_GBK" w:hAnsi="方正黑体_GBK" w:cs="宋体" w:eastAsia="方正黑体_GBK"/>
                <w:sz w:val="18"/>
                <w:b/>
                <w:szCs w:val="18"/>
              </w:rPr>
              <w:t>M3份额：固定管理费年化0.2%</w:t>
            </w:r>
          </w:p>
          <w:p>
            <w:pPr>
              <w:pStyle w:val="null10"/>
              <w:spacing w:lineRule="exact" w:line="200"/>
            </w:pPr>
            <w:r>
              <w:rPr>
                <w:rFonts w:ascii="方正黑体_GBK" w:hAnsi="方正黑体_GBK" w:cs="宋体" w:eastAsia="方正黑体_GBK"/>
                <w:sz w:val="18"/>
                <w:b/>
                <w:szCs w:val="18"/>
              </w:rPr>
              <w:t>M4份额：固定管理费年化0.2%</w:t>
            </w:r>
          </w:p>
          <w:p>
            <w:pPr>
              <w:pStyle w:val="null10"/>
              <w:spacing w:lineRule="exact" w:line="200"/>
            </w:pPr>
            <w:r>
              <w:rPr>
                <w:rFonts w:ascii="方正黑体_GBK" w:hAnsi="方正黑体_GBK" w:cs="宋体" w:eastAsia="方正黑体_GBK"/>
                <w:sz w:val="18"/>
                <w:b/>
                <w:szCs w:val="18"/>
              </w:rPr>
              <w:t>O2份额：固定管理费年化0.1%</w:t>
            </w:r>
          </w:p>
          <w:p>
            <w:pPr>
              <w:pStyle w:val="null10"/>
              <w:spacing w:lineRule="exact" w:line="200"/>
            </w:pPr>
            <w:r>
              <w:rPr>
                <w:rFonts w:ascii="方正黑体_GBK" w:hAnsi="方正黑体_GBK" w:cs="宋体" w:eastAsia="方正黑体_GBK"/>
                <w:sz w:val="18"/>
                <w:b/>
                <w:szCs w:val="18"/>
              </w:rPr>
              <w:t>O3份额：固定管理费年化0.1%</w:t>
            </w:r>
          </w:p>
          <w:p>
            <w:pPr>
              <w:pStyle w:val="null10"/>
              <w:spacing w:lineRule="exact" w:line="200"/>
            </w:pPr>
            <w:r>
              <w:rPr>
                <w:rFonts w:ascii="方正黑体_GBK" w:hAnsi="方正黑体_GBK" w:cs="宋体" w:eastAsia="方正黑体_GBK"/>
                <w:sz w:val="18"/>
                <w:b/>
                <w:szCs w:val="18"/>
              </w:rPr>
              <w:t>O4份额：固定管理费年化0.1%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申购/赎回确认日和产品实际到期时，当期产品投资的实际资产组合收益（扣除销售费、固定管理费、托管费等相关费用）超过3.05%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N份额：申购/赎回确认日和产品实际到期时，当期产品投资的实际资产组合收益（扣除销售费、固定管理费、托管费等相关费用）超过3.25%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2份额：申购/赎回确认日和产品实际到期时，当期产品投资的实际资产组合收益（扣除销售费、固定管理费、托管费等相关费用）超过3.05%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2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2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3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3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3份额：申购/赎回确认日和产品实际到期时，当期产品投资的实际资产组合收益（扣除销售费、固定管理费、托管费等相关费用）超过3.05%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3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3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A4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4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4份额：申购/赎回确认日和产品实际到期时，当期产品投资的实际资产组合收益（扣除销售费、固定管理费、托管费等相关费用）超过3.05%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4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4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2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3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2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3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4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4份额：申购/赎回确认日和产品实际到期时，当期产品投资的实际资产组合收益（扣除销售费、固定管理费、托管费等相关费用）超过3.15%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4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2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3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3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3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4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4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4份额：申购/赎回确认日和产品实际到期时，当期产品投资的实际资产组合收益（扣除销售费、固定管理费、托管费等相关费用）超过3.2%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2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3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4份额：申购/赎回确认日和产品实际到期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2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3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O4份额：申购/赎回确认日和产品实际到期时，当期产品投资的实际资产组合收益（扣除销售费、固定管理费、托管费等相关费用）超过3.1%（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嘉兴银行股份有限公司、江苏常熟农村商业银行股份有限公司、江苏苏州农村商业银行股份有限公司、秦皇岛银行股份有限公司、齐鲁银行股份有限公司、贵阳银行股份有限公司、云南红塔银行股份有限公司、中原银行股份有限公司、九江银行股份有限公司、天津农村商业银行股份有限公司、江苏紫金农村商业银行股份有限公司、苏州银行股份有限公司、桂林银行股份有限公司、宁波通商银行股份有限公司、石嘴山银行股份有限公司、江苏丹阳农村商业银行股份有限公司、江苏宜兴农村商业银行股份有限公司、江苏靖江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镇江农村商业银行股份有限公司、徐州农村商业银行股份有限公司、江苏苏商银行股份有限公司、江苏丰县农村商业银行股份有限公司、江苏句容农村商业银行股份有限公司、廊坊银行股份有限公司、乌鲁木齐银行股份有限公司、河北银行股份有限公司、江苏沛县农村商业银行股份有限公司、交通银行股份有限公司、江苏仪征农村商业银行股份有限公司、成都银行股份有限公司、广发银行股份有限公司、江苏沭阳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重庆国际信托股份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广东粤财信托有限公司成立于1985年03月07日，注册资本金380000万元。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重庆国际信托股份有限公司成立于1984年10月22日，注册资本金150亿元。</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395d2b73"/>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dc3fb4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dc3fb48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dc3fb4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dc3fb483"/>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dc3fb4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dc3fb4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dc3fb4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dc3fb483"/>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南银理财珠联璧合安稳1908一年定开公募人民币理财产品</w:t>
      </w:r>
      <w:r>
        <w:rPr>
          <w:rFonts w:ascii="方正黑体_GBK" w:eastAsia="方正黑体_GBK" w:hint="eastAsia" w:hAnsi="方正黑体_GBK"/>
          <w:vanish w:val="0"/>
          <w:color w:val="3D3D3D"/>
          <w:kern w:val="0"/>
          <w:sz w:val="15"/>
          <w:szCs w:val="15"/>
        </w:rPr>
        <w:t>。</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dc3fb483"/>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dc3fb483"/>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dc3fb483"/>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dc3fb48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305427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305427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305427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305427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305427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305427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dc3fb48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dc3fb483"/>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dc3fb483"/>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以上数据为假设情形中的模拟数据，不代表实际收益，投资需谨慎。</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305427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395d2b73"/>
        <w:keepNext w:val="0"/>
        <w:keepLines w:val="0"/>
        <w:pageBreakBefore w:val="0"/>
        <w:widowControl/>
        <w:suppressLineNumbers w:val="0"/>
        <w:suppressAutoHyphens w:val="0"/>
        <w:spacing w:line="200" w:lineRule="exact"/>
        <w:ind w:firstLineChars="200" w:firstLine="300"/>
        <w:rPr>
          <w:rStyle w:val="1305427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280"/>
        <w:jc w:val="left"/>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280"/>
        <w:jc w:val="left"/>
      </w:pPr>
      <w:r>
        <w:rPr>
          <w:rFonts w:ascii="方正黑体_GBK" w:hAnsi="方正黑体_GBK" w:cs="宋体" w:eastAsia="方正黑体_GBK"/>
          <w:sz w:val="15"/>
          <w:szCs w:val="20"/>
        </w:rPr>
        <w:t>1.银行存款、回购等货币市场工具</w:t>
      </w:r>
    </w:p>
    <w:p>
      <w:pPr>
        <w:pStyle w:val="null10"/>
        <w:spacing w:lineRule="exact" w:line="200"/>
        <w:ind w:firstLine="280"/>
        <w:jc w:val="left"/>
      </w:pPr>
      <w:r>
        <w:rPr>
          <w:rFonts w:ascii="方正黑体_GBK" w:hAnsi="方正黑体_GBK" w:cs="宋体" w:eastAsia="方正黑体_GBK"/>
          <w:sz w:val="15"/>
          <w:szCs w:val="20"/>
        </w:rPr>
        <w:t>以本金列示，按商定的利率在实际持有期间内逐日计提。</w:t>
      </w:r>
    </w:p>
    <w:p>
      <w:pPr>
        <w:pStyle w:val="null10"/>
        <w:spacing w:lineRule="exact" w:line="200"/>
        <w:ind w:firstLine="280"/>
        <w:jc w:val="left"/>
      </w:pPr>
      <w:r>
        <w:rPr>
          <w:rFonts w:ascii="方正黑体_GBK" w:hAnsi="方正黑体_GBK" w:cs="宋体" w:eastAsia="方正黑体_GBK"/>
          <w:sz w:val="15"/>
          <w:color w:val="3D3D3D"/>
          <w:szCs w:val="20"/>
        </w:rPr>
        <w:t>2.债券类资产</w:t>
      </w:r>
    </w:p>
    <w:p>
      <w:pPr>
        <w:pStyle w:val="null10"/>
        <w:spacing w:lineRule="exact" w:line="200"/>
        <w:ind w:firstLine="280"/>
        <w:jc w:val="left"/>
      </w:pPr>
      <w:r>
        <w:rPr>
          <w:rFonts w:ascii="方正黑体_GBK" w:hAnsi="方正黑体_GBK" w:cs="宋体" w:eastAsia="方正黑体_GBK"/>
          <w:sz w:val="15"/>
          <w:color w:val="3D3D3D"/>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以摊余成本计量的金融资产”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pPr>
        <w:pStyle w:val="null10"/>
        <w:spacing w:lineRule="exact" w:line="200"/>
        <w:ind w:firstLine="280"/>
        <w:jc w:val="left"/>
      </w:pPr>
      <w:r>
        <w:rPr>
          <w:rFonts w:ascii="方正黑体_GBK" w:hAnsi="方正黑体_GBK" w:cs="宋体" w:eastAsia="方正黑体_GBK"/>
          <w:sz w:val="15"/>
          <w:color w:val="3D3D3D"/>
          <w:szCs w:val="20"/>
        </w:rPr>
        <w:t>3.非标准化债权类资产</w:t>
      </w:r>
    </w:p>
    <w:p>
      <w:pPr>
        <w:pStyle w:val="null10"/>
        <w:spacing w:lineRule="exact" w:line="200"/>
        <w:ind w:firstLine="280"/>
        <w:jc w:val="left"/>
      </w:pPr>
      <w:r>
        <w:rPr>
          <w:rFonts w:ascii="方正黑体_GBK" w:hAnsi="方正黑体_GBK" w:cs="宋体" w:eastAsia="方正黑体_GBK"/>
          <w:sz w:val="15"/>
          <w:color w:val="3D3D3D"/>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280"/>
        <w:jc w:val="left"/>
      </w:pPr>
      <w:r>
        <w:rPr>
          <w:rFonts w:ascii="方正黑体_GBK" w:hAnsi="方正黑体_GBK" w:cs="宋体" w:eastAsia="方正黑体_GBK"/>
          <w:sz w:val="15"/>
          <w:color w:val="3D3D3D"/>
          <w:szCs w:val="20"/>
        </w:rPr>
        <w:t>4.证券投资基金</w:t>
      </w:r>
    </w:p>
    <w:p>
      <w:pPr>
        <w:pStyle w:val="null10"/>
        <w:spacing w:lineRule="exact" w:line="200"/>
        <w:ind w:firstLine="280"/>
        <w:jc w:val="left"/>
      </w:pPr>
      <w:r>
        <w:rPr>
          <w:rFonts w:ascii="方正黑体_GBK" w:hAnsi="方正黑体_GBK" w:cs="宋体" w:eastAsia="方正黑体_GBK"/>
          <w:sz w:val="15"/>
          <w:color w:val="3D3D3D"/>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pPr>
        <w:pStyle w:val="null10"/>
        <w:spacing w:lineRule="exact" w:line="200"/>
        <w:ind w:firstLine="280"/>
        <w:jc w:val="left"/>
      </w:pPr>
      <w:r>
        <w:rPr>
          <w:rFonts w:ascii="方正黑体_GBK" w:hAnsi="方正黑体_GBK" w:cs="宋体" w:eastAsia="方正黑体_GBK"/>
          <w:sz w:val="15"/>
          <w:color w:val="3D3D3D"/>
          <w:szCs w:val="20"/>
        </w:rPr>
        <w:t>5.股权类资产</w:t>
      </w:r>
    </w:p>
    <w:p>
      <w:pPr>
        <w:pStyle w:val="null10"/>
        <w:spacing w:lineRule="exact" w:line="200"/>
        <w:ind w:firstLine="280"/>
        <w:jc w:val="left"/>
      </w:pPr>
      <w:r>
        <w:rPr>
          <w:rFonts w:ascii="方正黑体_GBK" w:hAnsi="方正黑体_GBK" w:cs="宋体" w:eastAsia="方正黑体_GBK"/>
          <w:sz w:val="15"/>
          <w:color w:val="3D3D3D"/>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6.资管计划、信托计划等资产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w:t>
      </w:r>
    </w:p>
    <w:p>
      <w:pPr>
        <w:pStyle w:val="null10"/>
        <w:spacing w:lineRule="exact" w:line="200"/>
        <w:ind w:firstLine="280"/>
        <w:jc w:val="left"/>
      </w:pPr>
      <w:r>
        <w:rPr>
          <w:rFonts w:ascii="方正黑体_GBK" w:hAnsi="方正黑体_GBK" w:cs="宋体" w:eastAsia="方正黑体_GBK"/>
          <w:sz w:val="15"/>
          <w:color w:val="3D3D3D"/>
          <w:szCs w:val="20"/>
        </w:rPr>
        <w:t>7.其他资产</w:t>
      </w:r>
    </w:p>
    <w:p>
      <w:pPr>
        <w:pStyle w:val="null10"/>
        <w:spacing w:lineRule="exact" w:line="200"/>
        <w:ind w:firstLine="280"/>
        <w:jc w:val="left"/>
      </w:pPr>
      <w:r>
        <w:rPr>
          <w:rFonts w:ascii="方正黑体_GBK" w:hAnsi="方正黑体_GBK" w:cs="宋体" w:eastAsia="方正黑体_GBK"/>
          <w:sz w:val="15"/>
          <w:color w:val="3D3D3D"/>
          <w:szCs w:val="20"/>
        </w:rPr>
        <w:t>存在公允价值的，按照公允价值估值，或采用估值技术确定估值，也可采用被委托机构提供的估值或计量报告。具体可参考《企业会计准则》以及相关监管政策的规定。</w:t>
      </w:r>
    </w:p>
    <w:p>
      <w:pPr>
        <w:pStyle w:val="null10"/>
        <w:spacing w:lineRule="exact" w:line="200"/>
        <w:ind w:firstLine="280"/>
        <w:jc w:val="left"/>
      </w:pPr>
      <w:r>
        <w:rPr>
          <w:rFonts w:ascii="方正黑体_GBK" w:hAnsi="方正黑体_GBK" w:cs="宋体" w:eastAsia="方正黑体_GBK"/>
          <w:sz w:val="15"/>
          <w:color w:val="3D3D3D"/>
          <w:szCs w:val="20"/>
        </w:rPr>
        <w:t>8.如果管理人或托管人认为按以上规定的方法对产品资产进行估值不能客观反映其公允价值的，可提出异议，管理人和托管人协商一致后，变更公允价值的确定方式，并从经管理人与托管人协商一致日起执行。</w:t>
      </w:r>
    </w:p>
    <w:p>
      <w:pPr>
        <w:pStyle w:val="null10"/>
        <w:spacing w:lineRule="exact" w:line="200"/>
        <w:ind w:firstLine="280"/>
        <w:jc w:val="left"/>
      </w:pPr>
      <w:r>
        <w:rPr>
          <w:rFonts w:ascii="方正黑体_GBK" w:hAnsi="方正黑体_GBK" w:cs="宋体" w:eastAsia="方正黑体_GBK"/>
          <w:sz w:val="15"/>
          <w:color w:val="3D3D3D"/>
          <w:szCs w:val="20"/>
        </w:rPr>
        <w:t>9.如有新增事项或变更事项，按国家最新规定或管理人最新的约定估值。</w:t>
      </w:r>
    </w:p>
    <w:p>
      <w:pPr>
        <w:pStyle w:val="null10"/>
        <w:spacing w:lineRule="exact" w:line="200"/>
        <w:ind w:firstLine="280"/>
        <w:jc w:val="left"/>
      </w:pPr>
      <w:r>
        <w:rPr>
          <w:rFonts w:ascii="方正黑体_GBK" w:hAnsi="方正黑体_GBK" w:cs="宋体" w:eastAsia="方正黑体_GBK"/>
          <w:sz w:val="15"/>
          <w:szCs w:val="20"/>
        </w:rPr>
        <w:t>开放式理财产品在前一估值日内，产品资产净值50%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3个交易日内告知投资者，并说明运用相关措施的原因、拟采取的应对安排等，投资者需重新进行资金安排。</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395d2b7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395d2b73"/>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395d2b7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按月</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395d2b7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395d2b7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395d2b7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395d2b7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395d2b7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395d2b7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395d2b7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395d2b73"/>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395d2b7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395d2b7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395d2b73"/>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395d2b73"/>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395d2b73"/>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def363e9">
    <w:name w:val="Normaldef363e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18a2bde">
    <w:name w:val="heading 1f18a2bde"/>
    <w:basedOn w:val="def363e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f4adb98">
    <w:name w:val="heading 27f4adb98"/>
    <w:basedOn w:val="def363e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6f5fbf6">
    <w:name w:val="heading 3c6f5fbf6"/>
    <w:basedOn w:val="def363e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77c8419">
    <w:name w:val="Default Paragraph Fontc77c8419"/>
  </w:style>
  <w:style xmlns:r="http://schemas.openxmlformats.org/officeDocument/2006/relationships" w:type="paragraph" w:styleId="b7a7f32e">
    <w:name w:val="toc 1b7a7f32e"/>
    <w:basedOn w:val="def363e9"/>
    <w:autoRedefine/>
    <w:next w:val="0"/>
  </w:style>
  <w:style xmlns:r="http://schemas.openxmlformats.org/officeDocument/2006/relationships" w:type="paragraph" w:styleId="8caf2a39">
    <w:name w:val="toc 28caf2a39"/>
    <w:basedOn w:val="def363e9"/>
    <w:autoRedefine/>
    <w:next w:val="0"/>
    <w:pPr>
      <w:ind w:left="420"/>
    </w:pPr>
  </w:style>
  <w:style xmlns:r="http://schemas.openxmlformats.org/officeDocument/2006/relationships" w:type="paragraph" w:styleId="88e31cae">
    <w:name w:val="toc 388e31cae"/>
    <w:basedOn w:val="def363e9"/>
    <w:autoRedefine/>
    <w:next w:val="0"/>
    <w:pPr>
      <w:ind w:left="840"/>
    </w:pPr>
  </w:style>
  <w:style xmlns:r="http://schemas.openxmlformats.org/officeDocument/2006/relationships" w:type="paragraph" w:styleId="2ed5e187">
    <w:name w:val="toc 42ed5e187"/>
    <w:basedOn w:val="def363e9"/>
    <w:autoRedefine/>
    <w:next w:val="0"/>
    <w:pPr>
      <w:ind w:left="1260"/>
    </w:pPr>
  </w:style>
  <w:style xmlns:r="http://schemas.openxmlformats.org/officeDocument/2006/relationships" w:type="paragraph" w:styleId="020d3952">
    <w:name w:val="toc 5020d3952"/>
    <w:basedOn w:val="def363e9"/>
    <w:autoRedefine/>
    <w:next w:val="0"/>
    <w:pPr>
      <w:ind w:left="1680"/>
    </w:pPr>
  </w:style>
  <w:style xmlns:r="http://schemas.openxmlformats.org/officeDocument/2006/relationships" w:type="paragraph" w:styleId="416f4584">
    <w:name w:val="header416f4584"/>
    <w:basedOn w:val="def363e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a51e642">
    <w:name w:val="footer6a51e642"/>
    <w:basedOn w:val="def363e9"/>
    <w:pPr>
      <w:tabs>
        <w:tab w:val="center" w:pos="4153"/>
        <w:tab w:val="right" w:pos="8307"/>
      </w:tabs>
      <w:adjustRightInd/>
      <w:snapToGrid w:val="0"/>
      <w:contextualSpacing w:val="0"/>
      <w:jc w:val="left"/>
    </w:pPr>
    <w:rPr>
      <w:sz w:val="18"/>
    </w:rPr>
  </w:style>
  <w:style xmlns:r="http://schemas.openxmlformats.org/officeDocument/2006/relationships" w:type="character" w:styleId="8842444b">
    <w:name w:val="Strong8842444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395d2b73">
    <w:name w:val="Normal395d2b7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6eb50cb9">
    <w:name w:val="heading 16eb50cb9"/>
    <w:basedOn w:val="395d2b7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a721934">
    <w:name w:val="heading 2aa721934"/>
    <w:basedOn w:val="395d2b7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01f7e26">
    <w:name w:val="heading 3101f7e26"/>
    <w:basedOn w:val="395d2b7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4aa51bc">
    <w:name w:val="Default Paragraph Font44aa51bc"/>
  </w:style>
  <w:style xmlns:r="http://schemas.openxmlformats.org/officeDocument/2006/relationships" w:type="paragraph" w:styleId="563da8a9">
    <w:name w:val="Normal Indent563da8a9"/>
    <w:basedOn w:val="395d2b73"/>
    <w:pPr>
      <w:ind w:firstLineChars="200" w:firstLine="200"/>
    </w:pPr>
  </w:style>
  <w:style xmlns:r="http://schemas.openxmlformats.org/officeDocument/2006/relationships" w:type="paragraph" w:styleId="2626b123">
    <w:name w:val="toc 52626b123"/>
    <w:basedOn w:val="395d2b73"/>
    <w:next w:val="0"/>
    <w:pPr>
      <w:ind w:left="1680"/>
    </w:pPr>
  </w:style>
  <w:style xmlns:r="http://schemas.openxmlformats.org/officeDocument/2006/relationships" w:type="paragraph" w:styleId="3c9991db">
    <w:name w:val="toc 33c9991db"/>
    <w:basedOn w:val="395d2b73"/>
    <w:next w:val="0"/>
    <w:pPr>
      <w:ind w:left="840"/>
    </w:pPr>
  </w:style>
  <w:style xmlns:r="http://schemas.openxmlformats.org/officeDocument/2006/relationships" w:type="paragraph" w:styleId="dd2f3185">
    <w:name w:val="footerdd2f3185"/>
    <w:basedOn w:val="395d2b73"/>
    <w:pPr>
      <w:tabs>
        <w:tab w:val="center" w:pos="4153"/>
        <w:tab w:val="right" w:pos="8307"/>
      </w:tabs>
      <w:adjustRightInd/>
      <w:snapToGrid w:val="0"/>
      <w:contextualSpacing w:val="0"/>
      <w:jc w:val="left"/>
    </w:pPr>
    <w:rPr>
      <w:sz w:val="18"/>
    </w:rPr>
  </w:style>
  <w:style xmlns:r="http://schemas.openxmlformats.org/officeDocument/2006/relationships" w:type="paragraph" w:styleId="8d2778e7">
    <w:name w:val="header8d2778e7"/>
    <w:basedOn w:val="395d2b7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5bf6780">
    <w:name w:val="toc 155bf6780"/>
    <w:basedOn w:val="395d2b73"/>
    <w:next w:val="0"/>
  </w:style>
  <w:style xmlns:r="http://schemas.openxmlformats.org/officeDocument/2006/relationships" w:type="paragraph" w:styleId="59252a04">
    <w:name w:val="toc 459252a04"/>
    <w:basedOn w:val="395d2b73"/>
    <w:next w:val="0"/>
    <w:pPr>
      <w:ind w:left="1260"/>
    </w:pPr>
  </w:style>
  <w:style xmlns:r="http://schemas.openxmlformats.org/officeDocument/2006/relationships" w:type="paragraph" w:styleId="6acbd70c">
    <w:name w:val="toc 26acbd70c"/>
    <w:basedOn w:val="395d2b73"/>
    <w:next w:val="0"/>
    <w:pPr>
      <w:ind w:left="420"/>
    </w:pPr>
  </w:style>
  <w:style xmlns:r="http://schemas.openxmlformats.org/officeDocument/2006/relationships" w:type="paragraph" w:styleId="aeffd32a">
    <w:name w:val="Normal (Web)aeffd32a"/>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c3fb483">
    <w:name w:val="Normaldc3fb483dc3fb48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019f90df">
    <w:name w:val="heading 1019f90df019f90df"/>
    <w:basedOn w:val="dc3fb483"/>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2c4e63c">
    <w:name w:val="heading 2f2c4e63cf2c4e63c"/>
    <w:basedOn w:val="dc3fb483"/>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63d6e93">
    <w:name w:val="heading 3963d6e93963d6e93"/>
    <w:basedOn w:val="dc3fb483"/>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85d5768">
    <w:name w:val="Default Paragraph Font585d5768585d5768"/>
  </w:style>
  <w:style xmlns:r="http://schemas.openxmlformats.org/officeDocument/2006/relationships" w:type="paragraph" w:customStyle="1" w:styleId="de045fd2">
    <w:name w:val="引文目录1de045fd2de045fd2"/>
    <w:basedOn w:val="dc3fb483"/>
    <w:next w:val="0"/>
    <w:pPr>
      <w:ind w:leftChars="200" w:left="200"/>
    </w:pPr>
  </w:style>
  <w:style xmlns:r="http://schemas.openxmlformats.org/officeDocument/2006/relationships" w:type="paragraph" w:styleId="d9e7934e">
    <w:name w:val="toc 5d9e7934ed9e7934e"/>
    <w:basedOn w:val="dc3fb483"/>
    <w:next w:val="0"/>
    <w:pPr>
      <w:ind w:left="1680"/>
    </w:pPr>
  </w:style>
  <w:style xmlns:r="http://schemas.openxmlformats.org/officeDocument/2006/relationships" w:type="paragraph" w:styleId="b33536c4">
    <w:name w:val="toc 3b33536c4b33536c4"/>
    <w:basedOn w:val="dc3fb483"/>
    <w:next w:val="0"/>
    <w:pPr>
      <w:ind w:left="840"/>
    </w:pPr>
  </w:style>
  <w:style xmlns:r="http://schemas.openxmlformats.org/officeDocument/2006/relationships" w:type="paragraph" w:styleId="72ce830d">
    <w:name w:val="footer72ce830d72ce830d"/>
    <w:basedOn w:val="dc3fb483"/>
    <w:pPr>
      <w:tabs>
        <w:tab w:val="center" w:pos="4153"/>
        <w:tab w:val="right" w:pos="8307"/>
      </w:tabs>
      <w:adjustRightInd/>
      <w:snapToGrid w:val="0"/>
      <w:contextualSpacing w:val="0"/>
      <w:jc w:val="left"/>
    </w:pPr>
    <w:rPr>
      <w:sz w:val="18"/>
    </w:rPr>
  </w:style>
  <w:style xmlns:r="http://schemas.openxmlformats.org/officeDocument/2006/relationships" w:type="paragraph" w:styleId="f4f3a737">
    <w:name w:val="headerf4f3a737f4f3a737"/>
    <w:basedOn w:val="dc3fb483"/>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51cc684">
    <w:name w:val="toc 1751cc684751cc684"/>
    <w:basedOn w:val="dc3fb483"/>
    <w:next w:val="0"/>
  </w:style>
  <w:style xmlns:r="http://schemas.openxmlformats.org/officeDocument/2006/relationships" w:type="paragraph" w:styleId="ab40dcbf">
    <w:name w:val="toc 4ab40dcbfab40dcbf"/>
    <w:basedOn w:val="dc3fb483"/>
    <w:next w:val="0"/>
    <w:pPr>
      <w:ind w:left="1260"/>
    </w:pPr>
  </w:style>
  <w:style xmlns:r="http://schemas.openxmlformats.org/officeDocument/2006/relationships" w:type="paragraph" w:styleId="76804ef1">
    <w:name w:val="toc 276804ef176804ef1"/>
    <w:basedOn w:val="dc3fb483"/>
    <w:next w:val="0"/>
    <w:pPr>
      <w:ind w:left="420"/>
    </w:pPr>
  </w:style>
  <w:style xmlns:r="http://schemas.openxmlformats.org/officeDocument/2006/relationships" w:type="paragraph" w:customStyle="1" w:styleId="13054270">
    <w:name w:val="列出段落1130542701305427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