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cf047b8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cf047b8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cf047b8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196天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cf047b8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cf047b8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cf047b8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cf047b8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cf047b8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cf047b8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cf047b8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cf047b85"/>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d749e1ed"/>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d749e1ed"/>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5af19926"/>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南银理财珠联璧合鑫逸稳半年143期封闭式公募人民币理财产品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ZZ700322500501</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Z7003225000318(投资者可依据该编码在中国理财网www.chinawealth.com.cn查询理财产品相关信息）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A份额：Y70143</w:t>
            </w:r>
          </w:p>
          <w:p>
            <w:pPr>
              <w:pStyle w:val="null10"/>
              <w:spacing w:lineRule="exact" w:line="200"/>
            </w:pPr>
            <w:r>
              <w:rPr>
                <w:rFonts w:ascii="方正黑体_GBK" w:hAnsi="方正黑体_GBK" w:cs="宋体" w:eastAsia="方正黑体_GBK"/>
                <w:sz w:val="18"/>
                <w:szCs w:val="18"/>
              </w:rPr>
              <w:t>B份额：Y71143</w:t>
            </w:r>
          </w:p>
          <w:p>
            <w:pPr>
              <w:pStyle w:val="null10"/>
              <w:spacing w:lineRule="exact" w:line="200"/>
            </w:pPr>
            <w:r>
              <w:rPr>
                <w:rFonts w:ascii="方正黑体_GBK" w:hAnsi="方正黑体_GBK" w:cs="宋体" w:eastAsia="方正黑体_GBK"/>
                <w:sz w:val="18"/>
                <w:szCs w:val="18"/>
              </w:rPr>
              <w:t>C份额：Y72143</w:t>
            </w:r>
          </w:p>
          <w:p>
            <w:pPr>
              <w:pStyle w:val="null10"/>
              <w:spacing w:lineRule="exact" w:line="200"/>
            </w:pPr>
            <w:r>
              <w:rPr>
                <w:rFonts w:ascii="方正黑体_GBK" w:hAnsi="方正黑体_GBK" w:cs="宋体" w:eastAsia="方正黑体_GBK"/>
                <w:sz w:val="18"/>
                <w:szCs w:val="18"/>
              </w:rPr>
              <w:t>D份额：Y73143</w:t>
            </w:r>
          </w:p>
          <w:p>
            <w:pPr>
              <w:pStyle w:val="null10"/>
              <w:spacing w:lineRule="exact" w:line="200"/>
            </w:pPr>
            <w:r>
              <w:rPr>
                <w:rFonts w:ascii="方正黑体_GBK" w:hAnsi="方正黑体_GBK" w:cs="宋体" w:eastAsia="方正黑体_GBK"/>
                <w:sz w:val="18"/>
                <w:szCs w:val="18"/>
              </w:rPr>
              <w:t>F份额：Y75143</w:t>
            </w:r>
          </w:p>
          <w:p>
            <w:pPr>
              <w:pStyle w:val="null10"/>
              <w:spacing w:lineRule="exact" w:line="200"/>
            </w:pPr>
            <w:r>
              <w:rPr>
                <w:rFonts w:ascii="方正黑体_GBK" w:hAnsi="方正黑体_GBK" w:cs="宋体" w:eastAsia="方正黑体_GBK"/>
                <w:sz w:val="18"/>
                <w:szCs w:val="18"/>
              </w:rPr>
              <w:t>G份额：Y76143</w:t>
            </w:r>
          </w:p>
          <w:p>
            <w:pPr>
              <w:pStyle w:val="null10"/>
              <w:spacing w:lineRule="exact" w:line="200"/>
            </w:pPr>
            <w:r>
              <w:rPr>
                <w:rFonts w:ascii="方正黑体_GBK" w:hAnsi="方正黑体_GBK" w:cs="宋体" w:eastAsia="方正黑体_GBK"/>
                <w:sz w:val="18"/>
                <w:szCs w:val="18"/>
              </w:rPr>
              <w:t>H份额：Y77143</w:t>
            </w:r>
          </w:p>
          <w:p>
            <w:pPr>
              <w:pStyle w:val="null10"/>
              <w:spacing w:lineRule="exact" w:line="200"/>
            </w:pPr>
            <w:r>
              <w:rPr>
                <w:rFonts w:ascii="方正黑体_GBK" w:hAnsi="方正黑体_GBK" w:cs="宋体" w:eastAsia="方正黑体_GBK"/>
                <w:sz w:val="18"/>
                <w:szCs w:val="18"/>
              </w:rPr>
              <w:t>J份额：Y79143</w:t>
            </w:r>
          </w:p>
          <w:p>
            <w:pPr>
              <w:pStyle w:val="null10"/>
              <w:spacing w:lineRule="exact" w:line="200"/>
            </w:pPr>
            <w:r>
              <w:rPr>
                <w:rFonts w:ascii="方正黑体_GBK" w:hAnsi="方正黑体_GBK" w:cs="宋体" w:eastAsia="方正黑体_GBK"/>
                <w:sz w:val="18"/>
                <w:szCs w:val="18"/>
              </w:rPr>
              <w:t>L份额：YB70143</w:t>
            </w:r>
          </w:p>
          <w:p>
            <w:pPr>
              <w:pStyle w:val="null10"/>
              <w:spacing w:lineRule="exact" w:line="200"/>
            </w:pPr>
            <w:r>
              <w:rPr>
                <w:rFonts w:ascii="方正黑体_GBK" w:hAnsi="方正黑体_GBK" w:cs="宋体" w:eastAsia="方正黑体_GBK"/>
                <w:sz w:val="18"/>
                <w:szCs w:val="18"/>
              </w:rPr>
              <w:t>M份额：YC70143</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A份额：除B、C、D、F、G、H、J、L、M份额以外的所有客户（详见“销售机构”条款）。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)、青岛银行股份有限公司( 私行客户)、徽商银行股份有限公司( 大众客群)、杭州银行股份有限公司( 大众客群)、温州银行股份有限公司、江苏张家港农村商业银行股份有限公司( 所有客户)、烟台银行股份有限公司(工会卡 )、浙江民泰商业银行股份有限公司、广州银行股份有限公司、江苏常熟农村商业银行股份有限公司(专属客户)、江苏苏州农村商业银行股份有限公司( 专属客户)、江苏江南农村商业银行股份有限公司(财富客户)、秦皇岛银行股份有限公司、齐鲁银行股份有限公司(政务服务中心支行开业专享)、甘肃银行股份有限公司、台州银行股份有限公司(普通客群)、天津农村商业银行股份有限公司(滨海分行专属)、云南红塔银行股份有限公司( 代发客户)、中原银行股份有限公司(县域客群专属)、桂林银行股份有限公司(常规客户)、石嘴山银行股份有限公司( 分行特供)、江苏淮安农村商业银行股份有限公司( 财富客户)、江苏大丰农村商业银行股份有限公司、江苏镇江农村商业银行股份有限公司( 20万元起购)、江苏如皋农村商业银行股份有限公司(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财富客群)、江苏紫金农村商业银行股份有限公司、江苏沛县农村商业银行股份有限公司、江苏仪征农村商业银行股份有限公司(20万元起购 )、江苏海安农村商业银行股份有限公司。</w:t>
            </w:r>
          </w:p>
          <w:p>
            <w:pPr>
              <w:pStyle w:val="null10"/>
              <w:spacing w:lineRule="exact" w:line="200"/>
            </w:pPr>
            <w:r>
              <w:rPr>
                <w:rFonts w:ascii="方正黑体_GBK" w:hAnsi="方正黑体_GBK" w:cs="宋体" w:eastAsia="方正黑体_GBK"/>
                <w:sz w:val="18"/>
                <w:szCs w:val="18"/>
              </w:rPr>
              <w:t>C份额：徽商银行股份有限公司(特定分行专享)、杭州银行股份有限公司( 私行客群)、四川天府银行股份有限公司( 新客新资金客户)、江苏张家港农村商业银行股份有限公司(特定客户)、江苏江南农村商业银行股份有限公司(私享客户)、蒙商银行股份有限公司(特邀客户)、郑州银行股份有限公司、吉林银行股份有限公司、日照银行股份有限公司、泰安银行股份有限公司、台州银行股份有限公司( 新客专享)、天津农村商业银行股份有限公司(军人客户)、山西银行股份有限公司(10万元起购)、云南红塔银行股份有限公司( 财富客户)、兰州银行股份有限公司、桂林银行股份有限公司( 特供客户)、江苏泰兴农村商业银行股份有限公司、江苏响水农村商业银行股份有限公司(起点金额50万)、江苏靖江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沛县农村商业银行股份有限公司( 财富客户)、江苏仪征农村商业银行股份有限公司(50万元起购 )。</w:t>
            </w:r>
          </w:p>
          <w:p>
            <w:pPr>
              <w:pStyle w:val="null10"/>
              <w:spacing w:lineRule="exact" w:line="200"/>
            </w:pPr>
            <w:r>
              <w:rPr>
                <w:rFonts w:ascii="方正黑体_GBK" w:hAnsi="方正黑体_GBK" w:cs="宋体" w:eastAsia="方正黑体_GBK"/>
                <w:sz w:val="18"/>
                <w:szCs w:val="18"/>
              </w:rPr>
              <w:t>D份额：天津农村商业银行股份有限公司( 新客户)。</w:t>
            </w:r>
          </w:p>
          <w:p>
            <w:pPr>
              <w:pStyle w:val="null10"/>
              <w:spacing w:lineRule="exact" w:line="200"/>
            </w:pPr>
            <w:r>
              <w:rPr>
                <w:rFonts w:ascii="方正黑体_GBK" w:hAnsi="方正黑体_GBK" w:cs="宋体" w:eastAsia="方正黑体_GBK"/>
                <w:sz w:val="18"/>
                <w:szCs w:val="18"/>
              </w:rPr>
              <w:t>F份额：兴业银行股份有限公司(普通客户)。</w:t>
            </w:r>
          </w:p>
          <w:p>
            <w:pPr>
              <w:pStyle w:val="null10"/>
              <w:spacing w:lineRule="exact" w:line="200"/>
            </w:pPr>
            <w:r>
              <w:rPr>
                <w:rFonts w:ascii="方正黑体_GBK" w:hAnsi="方正黑体_GBK" w:cs="宋体" w:eastAsia="方正黑体_GBK"/>
                <w:sz w:val="18"/>
                <w:szCs w:val="18"/>
              </w:rPr>
              <w:t>G份额：兴业银行股份有限公司( 新客户)。</w:t>
            </w:r>
          </w:p>
          <w:p>
            <w:pPr>
              <w:pStyle w:val="null10"/>
              <w:spacing w:lineRule="exact" w:line="200"/>
            </w:pPr>
            <w:r>
              <w:rPr>
                <w:rFonts w:ascii="方正黑体_GBK" w:hAnsi="方正黑体_GBK" w:cs="宋体" w:eastAsia="方正黑体_GBK"/>
                <w:sz w:val="18"/>
                <w:szCs w:val="18"/>
              </w:rPr>
              <w:t>H份额：广发银行股份有限公司所有个人客户。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L份额：江苏江南农村商业银行股份有限公司(高净值客户专属份额)、天津农村商业银行股份有限公司( 私行客群)、云南红塔银行股份有限公司( 分行特供)、江苏兴化农村商业银行股份有限公司。</w:t>
            </w:r>
          </w:p>
          <w:p>
            <w:pPr>
              <w:pStyle w:val="null10"/>
              <w:spacing w:lineRule="exact" w:line="200"/>
            </w:pPr>
            <w:r>
              <w:rPr>
                <w:rFonts w:ascii="方正黑体_GBK" w:hAnsi="方正黑体_GBK" w:cs="宋体" w:eastAsia="方正黑体_GBK"/>
                <w:sz w:val="18"/>
                <w:szCs w:val="18"/>
              </w:rPr>
              <w:t>M份额：徽商银行股份有限公司（蚌埠分行客户专属）。</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A份额/B份额/C份额/D份额/F份额/G份额/J份额/L份额：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H份额/M份额：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A份额/B份额/C份额/D份额/F份额/G份额/H份额/J份额/L份额/M份额：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2025年09月17日 09:00—2025年09月23日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2025年09月24日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2025年09月24日—实际到期日（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196天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2026年04月08日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A份额：业绩比较基准为2.23%(年化)。</w:t>
            </w:r>
          </w:p>
          <w:p>
            <w:pPr>
              <w:pStyle w:val="null10"/>
              <w:spacing w:lineRule="exact" w:line="200"/>
            </w:pPr>
            <w:r>
              <w:rPr>
                <w:rFonts w:ascii="方正黑体_GBK" w:hAnsi="方正黑体_GBK" w:cs="宋体" w:eastAsia="方正黑体_GBK"/>
                <w:sz w:val="18"/>
                <w:szCs w:val="18"/>
              </w:rPr>
              <w:t>B份额：业绩比较基准为2.33%(年化)。</w:t>
            </w:r>
          </w:p>
          <w:p>
            <w:pPr>
              <w:pStyle w:val="null10"/>
              <w:spacing w:lineRule="exact" w:line="200"/>
            </w:pPr>
            <w:r>
              <w:rPr>
                <w:rFonts w:ascii="方正黑体_GBK" w:hAnsi="方正黑体_GBK" w:cs="宋体" w:eastAsia="方正黑体_GBK"/>
                <w:sz w:val="18"/>
                <w:szCs w:val="18"/>
              </w:rPr>
              <w:t>C份额：业绩比较基准为2.43%(年化)。</w:t>
            </w:r>
          </w:p>
          <w:p>
            <w:pPr>
              <w:pStyle w:val="null10"/>
              <w:spacing w:lineRule="exact" w:line="200"/>
            </w:pPr>
            <w:r>
              <w:rPr>
                <w:rFonts w:ascii="方正黑体_GBK" w:hAnsi="方正黑体_GBK" w:cs="宋体" w:eastAsia="方正黑体_GBK"/>
                <w:sz w:val="18"/>
                <w:szCs w:val="18"/>
              </w:rPr>
              <w:t>D份额：业绩比较基准为2.53%(年化)。</w:t>
            </w:r>
          </w:p>
          <w:p>
            <w:pPr>
              <w:pStyle w:val="null10"/>
              <w:spacing w:lineRule="exact" w:line="200"/>
            </w:pPr>
            <w:r>
              <w:rPr>
                <w:rFonts w:ascii="方正黑体_GBK" w:hAnsi="方正黑体_GBK" w:cs="宋体" w:eastAsia="方正黑体_GBK"/>
                <w:sz w:val="18"/>
                <w:szCs w:val="18"/>
              </w:rPr>
              <w:t>F份额：业绩比较基准为2.28%(年化)。</w:t>
            </w:r>
          </w:p>
          <w:p>
            <w:pPr>
              <w:pStyle w:val="null10"/>
              <w:spacing w:lineRule="exact" w:line="200"/>
            </w:pPr>
            <w:r>
              <w:rPr>
                <w:rFonts w:ascii="方正黑体_GBK" w:hAnsi="方正黑体_GBK" w:cs="宋体" w:eastAsia="方正黑体_GBK"/>
                <w:sz w:val="18"/>
                <w:szCs w:val="18"/>
              </w:rPr>
              <w:t>G份额：业绩比较基准为2.33%(年化)。</w:t>
            </w:r>
          </w:p>
          <w:p>
            <w:pPr>
              <w:pStyle w:val="null10"/>
              <w:spacing w:lineRule="exact" w:line="200"/>
            </w:pPr>
            <w:r>
              <w:rPr>
                <w:rFonts w:ascii="方正黑体_GBK" w:hAnsi="方正黑体_GBK" w:cs="宋体" w:eastAsia="方正黑体_GBK"/>
                <w:sz w:val="18"/>
                <w:szCs w:val="18"/>
              </w:rPr>
              <w:t>H份额：业绩比较基准为2.33%(年化)。</w:t>
            </w:r>
          </w:p>
          <w:p>
            <w:pPr>
              <w:pStyle w:val="null10"/>
              <w:spacing w:lineRule="exact" w:line="200"/>
            </w:pPr>
            <w:r>
              <w:rPr>
                <w:rFonts w:ascii="方正黑体_GBK" w:hAnsi="方正黑体_GBK" w:cs="宋体" w:eastAsia="方正黑体_GBK"/>
                <w:sz w:val="18"/>
                <w:szCs w:val="18"/>
              </w:rPr>
              <w:t>J份额：业绩比较基准为2.23%(年化)。</w:t>
            </w:r>
          </w:p>
          <w:p>
            <w:pPr>
              <w:pStyle w:val="null10"/>
              <w:spacing w:lineRule="exact" w:line="200"/>
            </w:pPr>
            <w:r>
              <w:rPr>
                <w:rFonts w:ascii="方正黑体_GBK" w:hAnsi="方正黑体_GBK" w:cs="宋体" w:eastAsia="方正黑体_GBK"/>
                <w:sz w:val="18"/>
                <w:szCs w:val="18"/>
              </w:rPr>
              <w:t>L份额：业绩比较基准为2.48%(年化)。</w:t>
            </w:r>
          </w:p>
          <w:p>
            <w:pPr>
              <w:pStyle w:val="null10"/>
              <w:spacing w:lineRule="exact" w:line="200"/>
            </w:pPr>
            <w:r>
              <w:rPr>
                <w:rFonts w:ascii="方正黑体_GBK" w:hAnsi="方正黑体_GBK" w:cs="宋体" w:eastAsia="方正黑体_GBK"/>
                <w:sz w:val="18"/>
                <w:szCs w:val="18"/>
              </w:rPr>
              <w:t>M份额：业绩比较基准为2.38%(年化)。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F份额：销售费年化0.25%</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H份额：销售费年化0.15%</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M份额：销售费年化0.15%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A份额：固定管理费年化0.18%</w:t>
            </w:r>
          </w:p>
          <w:p>
            <w:pPr>
              <w:pStyle w:val="null10"/>
              <w:spacing w:lineRule="exact" w:line="200"/>
            </w:pPr>
            <w:r>
              <w:rPr>
                <w:rFonts w:ascii="方正黑体_GBK" w:hAnsi="方正黑体_GBK" w:cs="宋体" w:eastAsia="方正黑体_GBK"/>
                <w:sz w:val="18"/>
                <w:b/>
                <w:szCs w:val="18"/>
              </w:rPr>
              <w:t>B份额：固定管理费年化0.13%</w:t>
            </w:r>
          </w:p>
          <w:p>
            <w:pPr>
              <w:pStyle w:val="null10"/>
              <w:spacing w:lineRule="exact" w:line="200"/>
            </w:pPr>
            <w:r>
              <w:rPr>
                <w:rFonts w:ascii="方正黑体_GBK" w:hAnsi="方正黑体_GBK" w:cs="宋体" w:eastAsia="方正黑体_GBK"/>
                <w:sz w:val="18"/>
                <w:b/>
                <w:szCs w:val="18"/>
              </w:rPr>
              <w:t>C份额：固定管理费年化0.13%</w:t>
            </w:r>
          </w:p>
          <w:p>
            <w:pPr>
              <w:pStyle w:val="null10"/>
              <w:spacing w:lineRule="exact" w:line="200"/>
            </w:pPr>
            <w:r>
              <w:rPr>
                <w:rFonts w:ascii="方正黑体_GBK" w:hAnsi="方正黑体_GBK" w:cs="宋体" w:eastAsia="方正黑体_GBK"/>
                <w:sz w:val="18"/>
                <w:b/>
                <w:szCs w:val="18"/>
              </w:rPr>
              <w:t>D份额：固定管理费年化0.08%</w:t>
            </w:r>
          </w:p>
          <w:p>
            <w:pPr>
              <w:pStyle w:val="null10"/>
              <w:spacing w:lineRule="exact" w:line="200"/>
            </w:pPr>
            <w:r>
              <w:rPr>
                <w:rFonts w:ascii="方正黑体_GBK" w:hAnsi="方正黑体_GBK" w:cs="宋体" w:eastAsia="方正黑体_GBK"/>
                <w:sz w:val="18"/>
                <w:b/>
                <w:szCs w:val="18"/>
              </w:rPr>
              <w:t>F份额：固定管理费年化0.08%</w:t>
            </w:r>
          </w:p>
          <w:p>
            <w:pPr>
              <w:pStyle w:val="null10"/>
              <w:spacing w:lineRule="exact" w:line="200"/>
            </w:pPr>
            <w:r>
              <w:rPr>
                <w:rFonts w:ascii="方正黑体_GBK" w:hAnsi="方正黑体_GBK" w:cs="宋体" w:eastAsia="方正黑体_GBK"/>
                <w:sz w:val="18"/>
                <w:b/>
                <w:szCs w:val="18"/>
              </w:rPr>
              <w:t>G份额：固定管理费年化0.08%</w:t>
            </w:r>
          </w:p>
          <w:p>
            <w:pPr>
              <w:pStyle w:val="null10"/>
              <w:spacing w:lineRule="exact" w:line="200"/>
            </w:pPr>
            <w:r>
              <w:rPr>
                <w:rFonts w:ascii="方正黑体_GBK" w:hAnsi="方正黑体_GBK" w:cs="宋体" w:eastAsia="方正黑体_GBK"/>
                <w:sz w:val="18"/>
                <w:b/>
                <w:szCs w:val="18"/>
              </w:rPr>
              <w:t>H份额：固定管理费年化0.13%</w:t>
            </w:r>
          </w:p>
          <w:p>
            <w:pPr>
              <w:pStyle w:val="null10"/>
              <w:spacing w:lineRule="exact" w:line="200"/>
            </w:pPr>
            <w:r>
              <w:rPr>
                <w:rFonts w:ascii="方正黑体_GBK" w:hAnsi="方正黑体_GBK" w:cs="宋体" w:eastAsia="方正黑体_GBK"/>
                <w:sz w:val="18"/>
                <w:b/>
                <w:szCs w:val="18"/>
              </w:rPr>
              <w:t>J份额：固定管理费年化0.18%</w:t>
            </w:r>
          </w:p>
          <w:p>
            <w:pPr>
              <w:pStyle w:val="null10"/>
              <w:spacing w:lineRule="exact" w:line="200"/>
            </w:pPr>
            <w:r>
              <w:rPr>
                <w:rFonts w:ascii="方正黑体_GBK" w:hAnsi="方正黑体_GBK" w:cs="宋体" w:eastAsia="方正黑体_GBK"/>
                <w:sz w:val="18"/>
                <w:b/>
                <w:szCs w:val="18"/>
              </w:rPr>
              <w:t>L份额：固定管理费年化0.08%</w:t>
            </w:r>
          </w:p>
          <w:p>
            <w:pPr>
              <w:pStyle w:val="null10"/>
              <w:spacing w:lineRule="exact" w:line="200"/>
            </w:pPr>
            <w:r>
              <w:rPr>
                <w:rFonts w:ascii="方正黑体_GBK" w:hAnsi="方正黑体_GBK" w:cs="宋体" w:eastAsia="方正黑体_GBK"/>
                <w:sz w:val="18"/>
                <w:b/>
                <w:szCs w:val="18"/>
              </w:rPr>
              <w:t>M份额：固定管理费年化0.08%</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A份额：到期兑付时，当期产品投资的实际资产组合收益（扣除销售费、固定管理费、托管费等相关费用）超过2.23%（年化，即产品该份额对应的业绩报酬计提基准）时，超过部分管理人将按60%收取业绩报酬。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B份额：到期兑付时，当期产品投资的实际资产组合收益（扣除销售费、固定管理费、托管费等相关费用）超过2.33%（年化，即产品该份额对应的业绩报酬计提基准）时，超过部分管理人将按60%收取业绩报酬。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C份额：到期兑付时，当期产品投资的实际资产组合收益（扣除销售费、固定管理费、托管费等相关费用）超过2.43%（年化，即产品该份额对应的业绩报酬计提基准）时，超过部分管理人将按60%收取业绩报酬。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D份额：到期兑付时，当期产品投资的实际资产组合收益（扣除销售费、固定管理费、托管费等相关费用）超过2.53%（年化，即产品该份额对应的业绩报酬计提基准）时，超过部分管理人将按60%收取业绩报酬。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F份额：到期兑付时，当期产品投资的实际资产组合收益（扣除销售费、固定管理费、托管费等相关费用）超过2.28%（年化，即产品该份额对应的业绩报酬计提基准）时，超过部分管理人将按60%收取业绩报酬。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G份额：到期兑付时，当期产品投资的实际资产组合收益（扣除销售费、固定管理费、托管费等相关费用）超过2.33%（年化，即产品该份额对应的业绩报酬计提基准）时，超过部分管理人将按60%收取业绩报酬。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H份额：到期兑付时，当期产品投资的实际资产组合收益（扣除销售费、固定管理费、托管费等相关费用）超过2.33%（年化，即产品该份额对应的业绩报酬计提基准）时，超过部分管理人将按60%收取业绩报酬。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J份额：到期兑付时，当期产品投资的实际资产组合收益（扣除销售费、固定管理费、托管费等相关费用）超过2.23%（年化，即产品该份额对应的业绩报酬计提基准）时，超过部分管理人将按60%收取业绩报酬。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L份额：到期兑付时，当期产品投资的实际资产组合收益（扣除销售费、固定管理费、托管费等相关费用）超过2.48%（年化，即产品该份额对应的业绩报酬计提基准）时，超过部分管理人将按60%收取业绩报酬。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M份额：到期兑付时，当期产品投资的实际资产组合收益（扣除销售费、固定管理费、托管费等相关费用）超过2.38%（年化，即产品该份额对应的业绩报酬计提基准）时，超过部分管理人将按60%收取业绩报酬。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r>
              <w:rPr>
                <w:rFonts w:ascii="方正黑体_GBK" w:hAnsi="方正黑体_GBK" w:cs="宋体" w:eastAsia="方正黑体_GBK"/>
                <w:sz w:val="18"/>
                <w:b/>
                <w:szCs w:val="18"/>
              </w:rPr>
              <w:t>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杭州银行股份有限公司、嘉兴银行股份有限公司、江苏常熟农村商业银行股份有限公司、江苏苏州农村商业银行股份有限公司、福建海峡银行股份有限公司、秦皇岛银行股份有限公司、泰安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四川天府银行股份有限公司、北京农村商业银行股份有限公司、上海农村商业银行股份有限公司、广发银行股份有限公司、江苏沭阳农村商业银行股份有限公司、湖州银行股份有限公司、江苏灌云农村商业银行股份有限公司、江苏海安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d749e1ed"/>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08e7d34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08e7d34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08e7d34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08e7d34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08e7d348"/>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08e7d34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08e7d34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08e7d34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08e7d34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08e7d34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08e7d34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08e7d34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08e7d34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08e7d34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08e7d34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08e7d34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08e7d34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08e7d34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08e7d34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08e7d34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08e7d34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08e7d34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08e7d34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08e7d34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08e7d34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08e7d34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08e7d34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08e7d34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08e7d34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08e7d34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08e7d34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08e7d348"/>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南银理财珠联璧合鑫逸稳半年143期封闭式公募人民币理财产品</w:t>
      </w:r>
      <w:r>
        <w:rPr>
          <w:rFonts w:ascii="方正黑体_GBK" w:eastAsia="方正黑体_GBK" w:hint="eastAsia" w:hAnsi="方正黑体_GBK"/>
          <w:vanish w:val="0"/>
          <w:color w:val="3D3D3D"/>
          <w:kern w:val="0"/>
          <w:sz w:val="15"/>
          <w:szCs w:val="15"/>
        </w:rPr>
        <w:t>。</w:t>
      </w:r>
    </w:p>
    <w:p>
      <w:pPr>
        <w:pStyle w:val="08e7d34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08e7d34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08e7d34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08e7d34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08e7d348"/>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08e7d34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08e7d34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08e7d34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08e7d34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08e7d34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08e7d34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08e7d34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08e7d34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08e7d34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08e7d34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08e7d34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08e7d34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08e7d34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08e7d348"/>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a577a50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a577a50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a577a50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a577a50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a577a50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a577a50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08e7d348"/>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08e7d348"/>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08e7d348"/>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d749e1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d749e1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a577a501"/>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d749e1ed"/>
        <w:keepNext w:val="0"/>
        <w:keepLines w:val="0"/>
        <w:pageBreakBefore w:val="0"/>
        <w:widowControl/>
        <w:suppressLineNumbers w:val="0"/>
        <w:suppressAutoHyphens w:val="0"/>
        <w:spacing w:line="200" w:lineRule="exact"/>
        <w:ind w:firstLineChars="200" w:firstLine="300"/>
        <w:rPr>
          <w:rStyle w:val="a577a501"/>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d749e1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d749e1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d749e1ed"/>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d749e1ed"/>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d749e1e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d749e1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d749e1e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d749e1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d749e1e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d749e1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d749e1e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d749e1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d749e1e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d749e1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d749e1e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d749e1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d749e1e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d749e1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d749e1e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d749e1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d749e1e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d749e1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d749e1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d749e1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d749e1ed"/>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d749e1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d749e1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d749e1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d749e1ed"/>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d749e1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d749e1ed"/>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d749e1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d749e1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d749e1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d749e1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d749e1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d749e1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d749e1ed"/>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cf047b85">
    <w:name w:val="Normalcf047b8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fb7ff56f">
    <w:name w:val="heading 1fb7ff56f"/>
    <w:basedOn w:val="cf047b85"/>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f3ebb954">
    <w:name w:val="heading 2f3ebb954"/>
    <w:basedOn w:val="cf047b85"/>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d6205311">
    <w:name w:val="heading 3d6205311"/>
    <w:basedOn w:val="cf047b85"/>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84a9299d">
    <w:name w:val="Default Paragraph Font84a9299d"/>
  </w:style>
  <w:style xmlns:r="http://schemas.openxmlformats.org/officeDocument/2006/relationships" w:type="paragraph" w:styleId="98f213d8">
    <w:name w:val="toc 198f213d8"/>
    <w:basedOn w:val="cf047b85"/>
    <w:autoRedefine/>
    <w:next w:val="0"/>
  </w:style>
  <w:style xmlns:r="http://schemas.openxmlformats.org/officeDocument/2006/relationships" w:type="paragraph" w:styleId="cc27a405">
    <w:name w:val="toc 2cc27a405"/>
    <w:basedOn w:val="cf047b85"/>
    <w:autoRedefine/>
    <w:next w:val="0"/>
    <w:pPr>
      <w:ind w:left="420"/>
    </w:pPr>
  </w:style>
  <w:style xmlns:r="http://schemas.openxmlformats.org/officeDocument/2006/relationships" w:type="paragraph" w:styleId="3c055745">
    <w:name w:val="toc 33c055745"/>
    <w:basedOn w:val="cf047b85"/>
    <w:autoRedefine/>
    <w:next w:val="0"/>
    <w:pPr>
      <w:ind w:left="840"/>
    </w:pPr>
  </w:style>
  <w:style xmlns:r="http://schemas.openxmlformats.org/officeDocument/2006/relationships" w:type="paragraph" w:styleId="bc8e6ee5">
    <w:name w:val="toc 4bc8e6ee5"/>
    <w:basedOn w:val="cf047b85"/>
    <w:autoRedefine/>
    <w:next w:val="0"/>
    <w:pPr>
      <w:ind w:left="1260"/>
    </w:pPr>
  </w:style>
  <w:style xmlns:r="http://schemas.openxmlformats.org/officeDocument/2006/relationships" w:type="paragraph" w:styleId="9df16da2">
    <w:name w:val="toc 59df16da2"/>
    <w:basedOn w:val="cf047b85"/>
    <w:autoRedefine/>
    <w:next w:val="0"/>
    <w:pPr>
      <w:ind w:left="1680"/>
    </w:pPr>
  </w:style>
  <w:style xmlns:r="http://schemas.openxmlformats.org/officeDocument/2006/relationships" w:type="paragraph" w:styleId="8dd60d2c">
    <w:name w:val="header8dd60d2c"/>
    <w:basedOn w:val="cf047b85"/>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ae398a4a">
    <w:name w:val="footerae398a4a"/>
    <w:basedOn w:val="cf047b85"/>
    <w:pPr>
      <w:tabs>
        <w:tab w:val="center" w:pos="4153"/>
        <w:tab w:val="right" w:pos="8307"/>
      </w:tabs>
      <w:adjustRightInd/>
      <w:snapToGrid w:val="0"/>
      <w:contextualSpacing w:val="0"/>
      <w:jc w:val="left"/>
    </w:pPr>
    <w:rPr>
      <w:sz w:val="18"/>
    </w:rPr>
  </w:style>
  <w:style xmlns:r="http://schemas.openxmlformats.org/officeDocument/2006/relationships" w:type="character" w:styleId="5c433f05">
    <w:name w:val="Strong5c433f05"/>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d749e1ed">
    <w:name w:val="Normald749e1ed"/>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c614b120">
    <w:name w:val="heading 1c614b120"/>
    <w:basedOn w:val="d749e1ed"/>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0602813c">
    <w:name w:val="heading 20602813c"/>
    <w:basedOn w:val="d749e1ed"/>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0d808904">
    <w:name w:val="heading 30d808904"/>
    <w:basedOn w:val="d749e1ed"/>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c36e7b5d">
    <w:name w:val="Default Paragraph Fontc36e7b5d"/>
  </w:style>
  <w:style xmlns:r="http://schemas.openxmlformats.org/officeDocument/2006/relationships" w:type="paragraph" w:styleId="3faf015b">
    <w:name w:val="Normal Indent3faf015b"/>
    <w:basedOn w:val="d749e1ed"/>
    <w:pPr>
      <w:ind w:firstLineChars="200" w:firstLine="200"/>
    </w:pPr>
  </w:style>
  <w:style xmlns:r="http://schemas.openxmlformats.org/officeDocument/2006/relationships" w:type="paragraph" w:styleId="ecdfbe91">
    <w:name w:val="toc 5ecdfbe91"/>
    <w:basedOn w:val="d749e1ed"/>
    <w:next w:val="0"/>
    <w:pPr>
      <w:ind w:left="1680"/>
    </w:pPr>
  </w:style>
  <w:style xmlns:r="http://schemas.openxmlformats.org/officeDocument/2006/relationships" w:type="paragraph" w:styleId="ab403d51">
    <w:name w:val="toc 3ab403d51"/>
    <w:basedOn w:val="d749e1ed"/>
    <w:next w:val="0"/>
    <w:pPr>
      <w:ind w:left="840"/>
    </w:pPr>
  </w:style>
  <w:style xmlns:r="http://schemas.openxmlformats.org/officeDocument/2006/relationships" w:type="paragraph" w:styleId="d8ea55ef">
    <w:name w:val="footerd8ea55ef"/>
    <w:basedOn w:val="d749e1ed"/>
    <w:pPr>
      <w:tabs>
        <w:tab w:val="center" w:pos="4153"/>
        <w:tab w:val="right" w:pos="8307"/>
      </w:tabs>
      <w:adjustRightInd/>
      <w:snapToGrid w:val="0"/>
      <w:contextualSpacing w:val="0"/>
      <w:jc w:val="left"/>
    </w:pPr>
    <w:rPr>
      <w:sz w:val="18"/>
    </w:rPr>
  </w:style>
  <w:style xmlns:r="http://schemas.openxmlformats.org/officeDocument/2006/relationships" w:type="paragraph" w:styleId="091cd5dd">
    <w:name w:val="header091cd5dd"/>
    <w:basedOn w:val="d749e1ed"/>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ffa33aea">
    <w:name w:val="toc 1ffa33aea"/>
    <w:basedOn w:val="d749e1ed"/>
    <w:next w:val="0"/>
  </w:style>
  <w:style xmlns:r="http://schemas.openxmlformats.org/officeDocument/2006/relationships" w:type="paragraph" w:styleId="66d34501">
    <w:name w:val="toc 466d34501"/>
    <w:basedOn w:val="d749e1ed"/>
    <w:next w:val="0"/>
    <w:pPr>
      <w:ind w:left="1260"/>
    </w:pPr>
  </w:style>
  <w:style xmlns:r="http://schemas.openxmlformats.org/officeDocument/2006/relationships" w:type="paragraph" w:styleId="c59fe742">
    <w:name w:val="toc 2c59fe742"/>
    <w:basedOn w:val="d749e1ed"/>
    <w:next w:val="0"/>
    <w:pPr>
      <w:ind w:left="420"/>
    </w:pPr>
  </w:style>
  <w:style xmlns:r="http://schemas.openxmlformats.org/officeDocument/2006/relationships" w:type="paragraph" w:styleId="5af19926">
    <w:name w:val="Normal (Web)5af19926"/>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08e7d348">
    <w:name w:val="Normal08e7d34808e7d348"/>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8fab8c41">
    <w:name w:val="heading 18fab8c418fab8c41"/>
    <w:basedOn w:val="08e7d348"/>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8a846dfc">
    <w:name w:val="heading 28a846dfc8a846dfc"/>
    <w:basedOn w:val="08e7d348"/>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2300073c">
    <w:name w:val="heading 32300073c2300073c"/>
    <w:basedOn w:val="08e7d348"/>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a6926193">
    <w:name w:val="Default Paragraph Fonta6926193a6926193"/>
  </w:style>
  <w:style xmlns:r="http://schemas.openxmlformats.org/officeDocument/2006/relationships" w:type="paragraph" w:customStyle="1" w:styleId="c64d9d85">
    <w:name w:val="引文目录1c64d9d85c64d9d85"/>
    <w:basedOn w:val="08e7d348"/>
    <w:next w:val="0"/>
    <w:pPr>
      <w:ind w:leftChars="200" w:left="200"/>
    </w:pPr>
  </w:style>
  <w:style xmlns:r="http://schemas.openxmlformats.org/officeDocument/2006/relationships" w:type="paragraph" w:styleId="df96d30a">
    <w:name w:val="toc 5df96d30adf96d30a"/>
    <w:basedOn w:val="08e7d348"/>
    <w:next w:val="0"/>
    <w:pPr>
      <w:ind w:left="1680"/>
    </w:pPr>
  </w:style>
  <w:style xmlns:r="http://schemas.openxmlformats.org/officeDocument/2006/relationships" w:type="paragraph" w:styleId="8f5328f0">
    <w:name w:val="toc 38f5328f08f5328f0"/>
    <w:basedOn w:val="08e7d348"/>
    <w:next w:val="0"/>
    <w:pPr>
      <w:ind w:left="840"/>
    </w:pPr>
  </w:style>
  <w:style xmlns:r="http://schemas.openxmlformats.org/officeDocument/2006/relationships" w:type="paragraph" w:styleId="53187909">
    <w:name w:val="footer5318790953187909"/>
    <w:basedOn w:val="08e7d348"/>
    <w:pPr>
      <w:tabs>
        <w:tab w:val="center" w:pos="4153"/>
        <w:tab w:val="right" w:pos="8307"/>
      </w:tabs>
      <w:adjustRightInd/>
      <w:snapToGrid w:val="0"/>
      <w:contextualSpacing w:val="0"/>
      <w:jc w:val="left"/>
    </w:pPr>
    <w:rPr>
      <w:sz w:val="18"/>
    </w:rPr>
  </w:style>
  <w:style xmlns:r="http://schemas.openxmlformats.org/officeDocument/2006/relationships" w:type="paragraph" w:styleId="0a8709b3">
    <w:name w:val="header0a8709b30a8709b3"/>
    <w:basedOn w:val="08e7d348"/>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4e474a38">
    <w:name w:val="toc 14e474a384e474a38"/>
    <w:basedOn w:val="08e7d348"/>
    <w:next w:val="0"/>
  </w:style>
  <w:style xmlns:r="http://schemas.openxmlformats.org/officeDocument/2006/relationships" w:type="paragraph" w:styleId="ff4d2fd5">
    <w:name w:val="toc 4ff4d2fd5ff4d2fd5"/>
    <w:basedOn w:val="08e7d348"/>
    <w:next w:val="0"/>
    <w:pPr>
      <w:ind w:left="1260"/>
    </w:pPr>
  </w:style>
  <w:style xmlns:r="http://schemas.openxmlformats.org/officeDocument/2006/relationships" w:type="paragraph" w:styleId="3138f8e9">
    <w:name w:val="toc 23138f8e93138f8e9"/>
    <w:basedOn w:val="08e7d348"/>
    <w:next w:val="0"/>
    <w:pPr>
      <w:ind w:left="420"/>
    </w:pPr>
  </w:style>
  <w:style xmlns:r="http://schemas.openxmlformats.org/officeDocument/2006/relationships" w:type="paragraph" w:customStyle="1" w:styleId="a577a501">
    <w:name w:val="列出段落1a577a501a577a501"/>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