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32a7497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（2）若本理财产品已成立，则管理人有权提前终止本理财产品，自产品成立至提前终止日期间不计任何收益。</w:t>
      </w:r>
    </w:p>
    <w:p>
      <w:pPr>
        <w:pStyle w:val="32a7497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32a7497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750天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32a7497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32a7497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32a7497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32a7497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32a7497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32a7497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32a7497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32a74972"/>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57da6fab"/>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57da6fab"/>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04882f83"/>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南银理财珠联璧合鑫逸稳两年136期封闭式公募人民币理财产品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ZZ700322500503</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Z7003225000316(投资者可依据该编码在中国理财网www.chinawealth.com.cn查询理财产品相关信息）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A份额：Y60136</w:t>
            </w:r>
          </w:p>
          <w:p>
            <w:pPr>
              <w:pStyle w:val="null10"/>
              <w:spacing w:lineRule="exact" w:line="200"/>
            </w:pPr>
            <w:r>
              <w:rPr>
                <w:rFonts w:ascii="方正黑体_GBK" w:hAnsi="方正黑体_GBK" w:cs="宋体" w:eastAsia="方正黑体_GBK"/>
                <w:sz w:val="18"/>
                <w:szCs w:val="18"/>
              </w:rPr>
              <w:t>B份额：Y61136</w:t>
            </w:r>
          </w:p>
          <w:p>
            <w:pPr>
              <w:pStyle w:val="null10"/>
              <w:spacing w:lineRule="exact" w:line="200"/>
            </w:pPr>
            <w:r>
              <w:rPr>
                <w:rFonts w:ascii="方正黑体_GBK" w:hAnsi="方正黑体_GBK" w:cs="宋体" w:eastAsia="方正黑体_GBK"/>
                <w:sz w:val="18"/>
                <w:szCs w:val="18"/>
              </w:rPr>
              <w:t>C份额：Y62136</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 除B、C份额以外的所有客户（详见“销售机构”条款）。</w:t>
            </w:r>
          </w:p>
          <w:p>
            <w:pPr>
              <w:pStyle w:val="null10"/>
              <w:spacing w:lineRule="exact" w:line="200"/>
            </w:pPr>
            <w:r>
              <w:rPr>
                <w:rFonts w:ascii="方正黑体_GBK" w:hAnsi="方正黑体_GBK" w:cs="宋体" w:eastAsia="方正黑体_GBK"/>
                <w:sz w:val="18"/>
                <w:szCs w:val="18"/>
              </w:rPr>
              <w:t>B份额：南京银行股份有限公司(新客或新资金或代发客户 )、杭州银行股份有限公司( 大众客户)、温州银行股份有限公司、齐商银行股份有限公司、长沙银行股份有限公司、吉林银行股份有限公司、秦皇岛银行股份有限公司、齐鲁银行股份有限公司( 白金/私行客户)、甘肃银行股份有限公司、天津农村商业银行股份有限公司( 代发客户)、云南红塔银行股份有限公司( 颐养特供)、乌鲁木齐银行股份有限公司、桂林银行股份有限公司( 普通客户)、江苏大丰农村商业银行股份有限公司、江苏镇江农村商业银行股份有限公司( 20万元起购)、江苏如皋农村商业银行股份有限公司( 代发客户)、江苏紫金农村商业银行股份有限公司、江苏沛县农村商业银行股份有限公司。</w:t>
            </w:r>
          </w:p>
          <w:p>
            <w:pPr>
              <w:pStyle w:val="null10"/>
              <w:spacing w:lineRule="exact" w:line="200"/>
            </w:pPr>
            <w:r>
              <w:rPr>
                <w:rFonts w:ascii="方正黑体_GBK" w:hAnsi="方正黑体_GBK" w:cs="宋体" w:eastAsia="方正黑体_GBK"/>
                <w:sz w:val="18"/>
                <w:szCs w:val="18"/>
              </w:rPr>
              <w:t>C份额：徽商银行股份有限公司、杭州银行股份有限公司( 私行客户)、泰安银行股份有限公司、云南红塔银行股份有限公司( 财富客户（100万）)、兰州银行股份有限公司、桂林银行股份有限公司(高端客户)、江苏泰兴农村商业银行股份有限公司、江苏靖江农村商业银行股份有限公司、江苏镇江农村商业银行股份有限公司( 100万元起购)、江苏滨海农村商业银行股份有限公司、江苏射阳农村商业银行股份有限公司、江苏句容农村商业银行股份有限公司、江苏如东农村商业银行股份有限公司。</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新客是指2025年理财年日均余额为0的客户。新资金（5万）是指金融资产余额较上月月日均增长5万元及以上的客户。代发是指近90天内有过代发记录的客户（不含跨行代发、批量兑付、批量付息）。</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后续在符合监管政策规定的条件下，理财产品管理人有权对上述投资起点金额和递增金额进行调整,并在调整日前至少3个工作日进行信息披露。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w:t>
            </w:r>
          </w:p>
          <w:p>
            <w:pPr>
              <w:pStyle w:val="null10"/>
              <w:spacing w:lineRule="exact" w:line="200"/>
            </w:pPr>
            <w:r>
              <w:rPr>
                <w:rFonts w:ascii="方正黑体_GBK" w:hAnsi="方正黑体_GBK" w:cs="宋体" w:eastAsia="方正黑体_GBK"/>
                <w:sz w:val="18"/>
                <w:szCs w:val="18"/>
              </w:rPr>
              <w:t>暂不设置单个投资者持有金额上限；</w:t>
            </w:r>
          </w:p>
          <w:p>
            <w:pPr>
              <w:pStyle w:val="null10"/>
              <w:spacing w:lineRule="exact" w:line="200"/>
              <w:jc w:val="left"/>
            </w:pPr>
            <w:r>
              <w:rPr>
                <w:rFonts w:ascii="方正黑体_GBK" w:hAnsi="方正黑体_GBK" w:cs="宋体" w:eastAsia="方正黑体_GBK"/>
                <w:sz w:val="18"/>
                <w:szCs w:val="18"/>
              </w:rPr>
              <w:t>注：1.管理人有权对上述单个投资者持有金额上限进行调整或取消，并在调整或取消前至少3个工作日公告。</w:t>
            </w:r>
          </w:p>
          <w:p>
            <w:pPr>
              <w:pStyle w:val="null10"/>
              <w:spacing w:lineRule="exact" w:line="200"/>
              <w:jc w:val="left"/>
            </w:pPr>
            <w:r>
              <w:rPr>
                <w:rFonts w:ascii="方正黑体_GBK" w:hAnsi="方正黑体_GBK" w:cs="宋体" w:eastAsia="方正黑体_GBK"/>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2025年09月17日 09:00—2025年09月23日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auto" w:line="36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2025年09月24日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2025年09月24日—实际到期日（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750天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2027年10月14日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到期资金将于实际到期日后5个工作日内划入投资者授权指定账户，实际到期日后至投资者收益划到投资者授权指定账户之前不计任何收益。</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pPr>
              <w:pStyle w:val="null10"/>
              <w:spacing w:lineRule="exact" w:line="200"/>
            </w:pPr>
            <w:r>
              <w:rPr>
                <w:rFonts w:ascii="方正黑体_GBK" w:hAnsi="方正黑体_GBK" w:cs="宋体" w:eastAsia="方正黑体_GBK"/>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8.信托贷款：资产类型为信托公司设立的资金信托计划，底层资产为京东及信托公司双重审核、信托公司自主风控后发放的“白条”个人消费贷款债权，资产到期日不超过理财产品到期日。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9.信托贷款：资产类型为信托公司设立的资金信托计划，底层资产为京东及信托公司双重审核、信托公司自主风控后发放的“金条”个人消费贷款债权，资产到期日不超过理财产品到期日。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10.信托贷款：资产类型为信托公司设立的资金信托计划，底层资产为京东及信托公司双重审核、信托公司自主风控后发放的“白条取现”个人消费贷款债权，资产到期日不超过理财产品到期日。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11.信托贷款：资产类型为信托公司设立的资金信托计划，底层资产为抖音及信托公司双重审核、信托公司自主风控后发放的“月付”个人消费贷款债权，资产到期日不超过理财产品到期日。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12.信托贷款：资产类型为信托公司设立的资金信托计划，底层资产为抖音及信托公司双重审核、信托公司自主风控后发放的“放心借”贷款资产，资产到期日不超过理财产品到期日。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13.信托贷款：资产类型为信托公司设立的资金信托计划，底层资产为蚂蚁及信托公司双重审核、信托公司自主风控后发放的“花呗”个人消费贷款债权，资产到期日不超过理财产品到期日。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14.信托贷款：资产类型为信托公司设立的资金信托计划，底层资产为蚂蚁及信托公司双重审核、信托公司自主风控后发放的“借呗”个人消费贷款债权，资产到期日不超过理财产品到期日。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15.信托贷款：资产类型为信托公司设立的资金信托计划，底层资产为微信及信托公司双重审核、信托公司自主风控后发放的“分付”个人消费贷款债权，资产到期日不超过理财产品到期日。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szCs w:val="18"/>
              </w:rPr>
              <w:t>16.信托贷款：资产类型为信托公司设立的资金信托计划，底层资产为度小满及信托公司双重审核、信托公司自主风控后发放的“满易贷”个人消费贷款债权，资产到期日不超过理财产品到期日。</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A份额：业绩比较基准为2.7%(年化)。</w:t>
            </w:r>
          </w:p>
          <w:p>
            <w:pPr>
              <w:pStyle w:val="null10"/>
              <w:spacing w:lineRule="exact" w:line="200"/>
            </w:pPr>
            <w:r>
              <w:rPr>
                <w:rFonts w:ascii="方正黑体_GBK" w:hAnsi="方正黑体_GBK" w:cs="宋体" w:eastAsia="方正黑体_GBK"/>
                <w:sz w:val="18"/>
                <w:szCs w:val="18"/>
              </w:rPr>
              <w:t>B份额：业绩比较基准为2.8%(年化)。</w:t>
            </w:r>
          </w:p>
          <w:p>
            <w:pPr>
              <w:pStyle w:val="null10"/>
              <w:spacing w:lineRule="exact" w:line="200"/>
            </w:pPr>
            <w:r>
              <w:rPr>
                <w:rFonts w:ascii="方正黑体_GBK" w:hAnsi="方正黑体_GBK" w:cs="宋体" w:eastAsia="方正黑体_GBK"/>
                <w:sz w:val="18"/>
                <w:szCs w:val="18"/>
              </w:rPr>
              <w:t>C份额：业绩比较基准为2.9%(年化)。</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A份额：销售费年化0.2%</w:t>
            </w:r>
          </w:p>
          <w:p>
            <w:pPr>
              <w:pStyle w:val="null10"/>
              <w:spacing w:lineRule="exact" w:line="200"/>
            </w:pPr>
            <w:r>
              <w:rPr>
                <w:rFonts w:ascii="方正黑体_GBK" w:hAnsi="方正黑体_GBK" w:cs="宋体" w:eastAsia="方正黑体_GBK"/>
                <w:sz w:val="18"/>
                <w:b/>
                <w:szCs w:val="18"/>
              </w:rPr>
              <w:t>B份额：销售费年化0.15%</w:t>
            </w:r>
          </w:p>
          <w:p>
            <w:pPr>
              <w:pStyle w:val="null10"/>
              <w:spacing w:lineRule="exact" w:line="200"/>
            </w:pPr>
            <w:r>
              <w:rPr>
                <w:rFonts w:ascii="方正黑体_GBK" w:hAnsi="方正黑体_GBK" w:cs="宋体" w:eastAsia="方正黑体_GBK"/>
                <w:sz w:val="18"/>
                <w:b/>
                <w:szCs w:val="18"/>
              </w:rPr>
              <w:t>C份额：销售费年化0.05%</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A份额：固定管理费年化0.25%</w:t>
            </w:r>
          </w:p>
          <w:p>
            <w:pPr>
              <w:pStyle w:val="null10"/>
              <w:spacing w:lineRule="exact" w:line="200"/>
            </w:pPr>
            <w:r>
              <w:rPr>
                <w:rFonts w:ascii="方正黑体_GBK" w:hAnsi="方正黑体_GBK" w:cs="宋体" w:eastAsia="方正黑体_GBK"/>
                <w:sz w:val="18"/>
                <w:b/>
                <w:szCs w:val="18"/>
              </w:rPr>
              <w:t>B份额：固定管理费年化0.2%</w:t>
            </w:r>
          </w:p>
          <w:p>
            <w:pPr>
              <w:pStyle w:val="null10"/>
              <w:spacing w:lineRule="exact" w:line="200"/>
            </w:pPr>
            <w:r>
              <w:rPr>
                <w:rFonts w:ascii="方正黑体_GBK" w:hAnsi="方正黑体_GBK" w:cs="宋体" w:eastAsia="方正黑体_GBK"/>
                <w:sz w:val="18"/>
                <w:b/>
                <w:szCs w:val="18"/>
              </w:rPr>
              <w:t>C份额：固定管理费年化0.2%</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A份额：到期兑付时，当期产品投资的实际资产组合收益（扣除销售费、固定管理费、托管费等相关费用）超过2.7%（年化，即产品该份额对应的业绩报酬计提基准）时，超过部分管理人将按60%收取业绩报酬。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B份额：到期兑付时，当期产品投资的实际资产组合收益（扣除销售费、固定管理费、托管费等相关费用）超过2.8%（年化，即产品该份额对应的业绩报酬计提基准）时，超过部分管理人将按60%收取业绩报酬。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C份额：到期兑付时，当期产品投资的实际资产组合收益（扣除销售费、固定管理费、托管费等相关费用）超过2.9%（年化，即产品该份额对应的业绩报酬计提基准）时，超过部分管理人将按60%收取业绩报酬。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r>
              <w:rPr>
                <w:rFonts w:ascii="方正黑体_GBK" w:hAnsi="方正黑体_GBK" w:cs="宋体" w:eastAsia="方正黑体_GBK"/>
                <w:sz w:val="18"/>
                <w:b/>
                <w:szCs w:val="18"/>
              </w:rPr>
              <w:t>本理财产品终止日起，清算过程中各项利息及费用与实际结算金额的尾差（如有）由管理人承担。</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江苏太仓农村商业银行股份有限公司、青岛银行股份有限公司、杭州银行股份有限公司、齐商银行股份有限公司、江苏常熟农村商业银行股份有限公司、江苏苏州农村商业银行股份有限公司、长沙银行股份有限公司、秦皇岛银行股份有限公司、泰安银行股份有限公司、齐鲁银行股份有限公司、贵阳银行股份有限公司、云南红塔银行股份有限公司、九江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桂林银行股份有限公司、宁波通商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靖江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河北银行股份有限公司、江苏姜堰农村商业银行股份有限公司、山西银行股份有限公司、江苏如东农村商业银行股份有限公司、北京银行股份有限公司、江苏赣榆农村商业银行股份有限公司、兰州银行股份有限公司、东营银行股份有限公司、江苏沛县农村商业银行股份有限公司、甘肃银行股份有限公司、江苏仪征农村商业银行股份有限公司、吉林银行股份有限公司、连云港东方农村商业银行股份有限公司、上海农村商业银行股份有限公司、江苏沭阳农村商业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产管理有限责任公司、天津信托有限责任公司、中国对外经济贸易信托有限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1.合作机构为理财产品所投资资产管理产品的发行机构，主要承担资产管理产品的管理人职责：平安资产管理有限责任公司、泰康资产管理有限责任公司、太平洋资产管理有限责任公司。</w:t>
            </w:r>
          </w:p>
          <w:p>
            <w:pPr>
              <w:pStyle w:val="null10"/>
              <w:spacing w:lineRule="exact" w:line="200"/>
            </w:pPr>
            <w:r>
              <w:rPr>
                <w:rFonts w:ascii="方正黑体_GBK" w:hAnsi="方正黑体_GBK" w:cs="宋体" w:eastAsia="方正黑体_GBK"/>
                <w:sz w:val="18"/>
                <w:szCs w:val="18"/>
              </w:rPr>
              <w:t>2.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天津信托有限责任公司、中国对外经济贸易信托有限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平安资产管理有限责任公司成立于2005年05月27日，注册资本金15亿元。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太平洋资产管理有限责任公司成立于2006年06月09日，注册资本金21亿元。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中国对外经济贸易信托有限公司成立于1987年09月30日，注册资本金800000万元人民币。</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57da6fab"/>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9eeae21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9eeae21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9eeae213"/>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9eeae21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9eeae213"/>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9eeae21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9eeae21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9eeae21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9eeae21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9eeae213"/>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9eeae21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9eeae21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9eeae21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9eeae21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9eeae21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9eeae21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9eeae213"/>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9eeae21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9eeae21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9eeae21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9eeae21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9eeae21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9eeae21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9eeae21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9eeae21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9eeae21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9eeae21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9eeae21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9eeae21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9eeae21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9eeae213"/>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9eeae213"/>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南银理财珠联璧合鑫逸稳两年136期封闭式公募人民币理财产品</w:t>
      </w:r>
      <w:r>
        <w:rPr>
          <w:rFonts w:ascii="方正黑体_GBK" w:eastAsia="方正黑体_GBK" w:hint="eastAsia" w:hAnsi="方正黑体_GBK"/>
          <w:vanish w:val="0"/>
          <w:color w:val="3D3D3D"/>
          <w:kern w:val="0"/>
          <w:sz w:val="15"/>
          <w:szCs w:val="15"/>
        </w:rPr>
        <w:t>。</w:t>
      </w:r>
    </w:p>
    <w:p>
      <w:pPr>
        <w:pStyle w:val="9eeae21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9eeae21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9eeae21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9eeae21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9eeae213"/>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9eeae21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9eeae21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9eeae21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9eeae21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9eeae21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9eeae21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9eeae21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9eeae21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9eeae21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9eeae21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9eeae21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9eeae21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9eeae213"/>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9eeae213"/>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db6b63d0"/>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db6b63d0"/>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db6b63d0"/>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db6b63d0"/>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db6b63d0"/>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db6b63d0"/>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9eeae213"/>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9eeae213"/>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9eeae213"/>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57da6fa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57da6fa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db6b63d0"/>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57da6fab"/>
        <w:keepNext w:val="0"/>
        <w:keepLines w:val="0"/>
        <w:pageBreakBefore w:val="0"/>
        <w:widowControl/>
        <w:suppressLineNumbers w:val="0"/>
        <w:suppressAutoHyphens w:val="0"/>
        <w:spacing w:line="200" w:lineRule="exact"/>
        <w:ind w:firstLineChars="200" w:firstLine="300"/>
        <w:rPr>
          <w:rStyle w:val="db6b63d0"/>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57da6fa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57da6fa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57da6fab"/>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57da6fab"/>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57da6fab"/>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57da6fa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57da6fab"/>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57da6fa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57da6fab"/>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57da6fa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57da6fab"/>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57da6fa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57da6fab"/>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57da6fa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57da6fab"/>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57da6fa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57da6fab"/>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57da6fa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57da6fab"/>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57da6fa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57da6fab"/>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在本理财产品存续期内：</w:t>
      </w:r>
    </w:p>
    <w:p>
      <w:pPr>
        <w:pStyle w:val="57da6fa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1</w:t>
      </w:r>
      <w:r>
        <w:rPr>
          <w:rFonts w:ascii="方正黑体_GBK" w:eastAsia="方正黑体_GBK" w:cs="Times New Roman" w:hint="eastAsia" w:hAnsi="方正黑体_GBK"/>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57da6fa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2</w:t>
      </w: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bookmarkStart w:id="0" w:name="_GoBack"/>
      <w:bookmarkEnd w:id="0"/>
    </w:p>
    <w:p>
      <w:pPr>
        <w:pStyle w:val="57da6fa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57da6fab"/>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57da6fa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57da6fa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57da6fa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57da6fab"/>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57da6fa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57da6fab"/>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57da6fa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57da6fa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57da6fa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57da6fa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57da6fa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57da6fa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57da6fab"/>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4"/>
  </w:num>
  <w:num w:numId="2">
    <w:abstractNumId w:val="1"/>
  </w:num>
  <w:num w:numId="3">
    <w:abstractNumId w:val="2"/>
  </w:num>
  <w:num w:numId="4">
    <w:abstractNumId w:val="3"/>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32a74972">
    <w:name w:val="Normal32a7497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ce757a16">
    <w:name w:val="heading 1ce757a16"/>
    <w:basedOn w:val="32a74972"/>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1480c68a">
    <w:name w:val="heading 21480c68a"/>
    <w:basedOn w:val="32a74972"/>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afcf683c">
    <w:name w:val="heading 3afcf683c"/>
    <w:basedOn w:val="32a74972"/>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68eaed73">
    <w:name w:val="Default Paragraph Font68eaed73"/>
  </w:style>
  <w:style xmlns:r="http://schemas.openxmlformats.org/officeDocument/2006/relationships" w:type="paragraph" w:styleId="c30b85de">
    <w:name w:val="toc 1c30b85de"/>
    <w:basedOn w:val="32a74972"/>
    <w:autoRedefine/>
    <w:next w:val="0"/>
  </w:style>
  <w:style xmlns:r="http://schemas.openxmlformats.org/officeDocument/2006/relationships" w:type="paragraph" w:styleId="2f46c5e5">
    <w:name w:val="toc 22f46c5e5"/>
    <w:basedOn w:val="32a74972"/>
    <w:autoRedefine/>
    <w:next w:val="0"/>
    <w:pPr>
      <w:ind w:left="420"/>
    </w:pPr>
  </w:style>
  <w:style xmlns:r="http://schemas.openxmlformats.org/officeDocument/2006/relationships" w:type="paragraph" w:styleId="ab15043e">
    <w:name w:val="toc 3ab15043e"/>
    <w:basedOn w:val="32a74972"/>
    <w:autoRedefine/>
    <w:next w:val="0"/>
    <w:pPr>
      <w:ind w:left="840"/>
    </w:pPr>
  </w:style>
  <w:style xmlns:r="http://schemas.openxmlformats.org/officeDocument/2006/relationships" w:type="paragraph" w:styleId="0dc32f4b">
    <w:name w:val="toc 40dc32f4b"/>
    <w:basedOn w:val="32a74972"/>
    <w:autoRedefine/>
    <w:next w:val="0"/>
    <w:pPr>
      <w:ind w:left="1260"/>
    </w:pPr>
  </w:style>
  <w:style xmlns:r="http://schemas.openxmlformats.org/officeDocument/2006/relationships" w:type="paragraph" w:styleId="67efa5f2">
    <w:name w:val="toc 567efa5f2"/>
    <w:basedOn w:val="32a74972"/>
    <w:autoRedefine/>
    <w:next w:val="0"/>
    <w:pPr>
      <w:ind w:left="1680"/>
    </w:pPr>
  </w:style>
  <w:style xmlns:r="http://schemas.openxmlformats.org/officeDocument/2006/relationships" w:type="paragraph" w:styleId="ea33ec97">
    <w:name w:val="headerea33ec97"/>
    <w:basedOn w:val="32a74972"/>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51290763">
    <w:name w:val="footer51290763"/>
    <w:basedOn w:val="32a74972"/>
    <w:pPr>
      <w:tabs>
        <w:tab w:val="center" w:pos="4153"/>
        <w:tab w:val="right" w:pos="8307"/>
      </w:tabs>
      <w:adjustRightInd/>
      <w:snapToGrid w:val="0"/>
      <w:contextualSpacing w:val="0"/>
      <w:jc w:val="left"/>
    </w:pPr>
    <w:rPr>
      <w:sz w:val="18"/>
    </w:rPr>
  </w:style>
  <w:style xmlns:r="http://schemas.openxmlformats.org/officeDocument/2006/relationships" w:type="character" w:styleId="3d01004a">
    <w:name w:val="Strong3d01004a"/>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57da6fab">
    <w:name w:val="Normal57da6fab"/>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7c0b76fd">
    <w:name w:val="heading 17c0b76fd"/>
    <w:basedOn w:val="57da6fab"/>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7f34ecaa">
    <w:name w:val="heading 27f34ecaa"/>
    <w:basedOn w:val="57da6fab"/>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ece64ea4">
    <w:name w:val="heading 3ece64ea4"/>
    <w:basedOn w:val="57da6fab"/>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49d01716">
    <w:name w:val="Default Paragraph Font49d01716"/>
  </w:style>
  <w:style xmlns:r="http://schemas.openxmlformats.org/officeDocument/2006/relationships" w:type="paragraph" w:styleId="b5cde3df">
    <w:name w:val="Normal Indentb5cde3df"/>
    <w:basedOn w:val="57da6fab"/>
    <w:pPr>
      <w:ind w:firstLineChars="200" w:firstLine="200"/>
    </w:pPr>
  </w:style>
  <w:style xmlns:r="http://schemas.openxmlformats.org/officeDocument/2006/relationships" w:type="paragraph" w:styleId="06d5843f">
    <w:name w:val="toc 506d5843f"/>
    <w:basedOn w:val="57da6fab"/>
    <w:next w:val="0"/>
    <w:pPr>
      <w:ind w:left="1680"/>
    </w:pPr>
  </w:style>
  <w:style xmlns:r="http://schemas.openxmlformats.org/officeDocument/2006/relationships" w:type="paragraph" w:styleId="a6c8a3b8">
    <w:name w:val="toc 3a6c8a3b8"/>
    <w:basedOn w:val="57da6fab"/>
    <w:next w:val="0"/>
    <w:pPr>
      <w:ind w:left="840"/>
    </w:pPr>
  </w:style>
  <w:style xmlns:r="http://schemas.openxmlformats.org/officeDocument/2006/relationships" w:type="paragraph" w:styleId="87f203f1">
    <w:name w:val="footer87f203f1"/>
    <w:basedOn w:val="57da6fab"/>
    <w:pPr>
      <w:tabs>
        <w:tab w:val="center" w:pos="4153"/>
        <w:tab w:val="right" w:pos="8307"/>
      </w:tabs>
      <w:adjustRightInd/>
      <w:snapToGrid w:val="0"/>
      <w:contextualSpacing w:val="0"/>
      <w:jc w:val="left"/>
    </w:pPr>
    <w:rPr>
      <w:sz w:val="18"/>
    </w:rPr>
  </w:style>
  <w:style xmlns:r="http://schemas.openxmlformats.org/officeDocument/2006/relationships" w:type="paragraph" w:styleId="dcdc6c5c">
    <w:name w:val="headerdcdc6c5c"/>
    <w:basedOn w:val="57da6fab"/>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ba98725d">
    <w:name w:val="toc 1ba98725d"/>
    <w:basedOn w:val="57da6fab"/>
    <w:next w:val="0"/>
  </w:style>
  <w:style xmlns:r="http://schemas.openxmlformats.org/officeDocument/2006/relationships" w:type="paragraph" w:styleId="3ec949e0">
    <w:name w:val="toc 43ec949e0"/>
    <w:basedOn w:val="57da6fab"/>
    <w:next w:val="0"/>
    <w:pPr>
      <w:ind w:left="1260"/>
    </w:pPr>
  </w:style>
  <w:style xmlns:r="http://schemas.openxmlformats.org/officeDocument/2006/relationships" w:type="paragraph" w:styleId="f8b5c5c5">
    <w:name w:val="toc 2f8b5c5c5"/>
    <w:basedOn w:val="57da6fab"/>
    <w:next w:val="0"/>
    <w:pPr>
      <w:ind w:left="420"/>
    </w:pPr>
  </w:style>
  <w:style xmlns:r="http://schemas.openxmlformats.org/officeDocument/2006/relationships" w:type="paragraph" w:styleId="04882f83">
    <w:name w:val="Normal (Web)04882f83"/>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9eeae213">
    <w:name w:val="Normal9eeae2139eeae21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64ece8d8">
    <w:name w:val="heading 164ece8d864ece8d8"/>
    <w:basedOn w:val="9eeae213"/>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6223bfae">
    <w:name w:val="heading 26223bfae6223bfae"/>
    <w:basedOn w:val="9eeae213"/>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03139e36">
    <w:name w:val="heading 303139e3603139e36"/>
    <w:basedOn w:val="9eeae213"/>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cd296468">
    <w:name w:val="Default Paragraph Fontcd296468cd296468"/>
  </w:style>
  <w:style xmlns:r="http://schemas.openxmlformats.org/officeDocument/2006/relationships" w:type="paragraph" w:customStyle="1" w:styleId="8d65b93f">
    <w:name w:val="引文目录18d65b93f8d65b93f"/>
    <w:basedOn w:val="9eeae213"/>
    <w:next w:val="0"/>
    <w:pPr>
      <w:ind w:leftChars="200" w:left="200"/>
    </w:pPr>
  </w:style>
  <w:style xmlns:r="http://schemas.openxmlformats.org/officeDocument/2006/relationships" w:type="paragraph" w:styleId="377980d7">
    <w:name w:val="toc 5377980d7377980d7"/>
    <w:basedOn w:val="9eeae213"/>
    <w:next w:val="0"/>
    <w:pPr>
      <w:ind w:left="1680"/>
    </w:pPr>
  </w:style>
  <w:style xmlns:r="http://schemas.openxmlformats.org/officeDocument/2006/relationships" w:type="paragraph" w:styleId="10339a2c">
    <w:name w:val="toc 310339a2c10339a2c"/>
    <w:basedOn w:val="9eeae213"/>
    <w:next w:val="0"/>
    <w:pPr>
      <w:ind w:left="840"/>
    </w:pPr>
  </w:style>
  <w:style xmlns:r="http://schemas.openxmlformats.org/officeDocument/2006/relationships" w:type="paragraph" w:styleId="4c72b015">
    <w:name w:val="footer4c72b0154c72b015"/>
    <w:basedOn w:val="9eeae213"/>
    <w:pPr>
      <w:tabs>
        <w:tab w:val="center" w:pos="4153"/>
        <w:tab w:val="right" w:pos="8307"/>
      </w:tabs>
      <w:adjustRightInd/>
      <w:snapToGrid w:val="0"/>
      <w:contextualSpacing w:val="0"/>
      <w:jc w:val="left"/>
    </w:pPr>
    <w:rPr>
      <w:sz w:val="18"/>
    </w:rPr>
  </w:style>
  <w:style xmlns:r="http://schemas.openxmlformats.org/officeDocument/2006/relationships" w:type="paragraph" w:styleId="1141c123">
    <w:name w:val="header1141c1231141c123"/>
    <w:basedOn w:val="9eeae213"/>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6c4924d4">
    <w:name w:val="toc 16c4924d46c4924d4"/>
    <w:basedOn w:val="9eeae213"/>
    <w:next w:val="0"/>
  </w:style>
  <w:style xmlns:r="http://schemas.openxmlformats.org/officeDocument/2006/relationships" w:type="paragraph" w:styleId="6e98e2c1">
    <w:name w:val="toc 46e98e2c16e98e2c1"/>
    <w:basedOn w:val="9eeae213"/>
    <w:next w:val="0"/>
    <w:pPr>
      <w:ind w:left="1260"/>
    </w:pPr>
  </w:style>
  <w:style xmlns:r="http://schemas.openxmlformats.org/officeDocument/2006/relationships" w:type="paragraph" w:styleId="34619b7b">
    <w:name w:val="toc 234619b7b34619b7b"/>
    <w:basedOn w:val="9eeae213"/>
    <w:next w:val="0"/>
    <w:pPr>
      <w:ind w:left="420"/>
    </w:pPr>
  </w:style>
  <w:style xmlns:r="http://schemas.openxmlformats.org/officeDocument/2006/relationships" w:type="paragraph" w:customStyle="1" w:styleId="db6b63d0">
    <w:name w:val="列出段落1db6b63d0db6b63d0"/>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