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2559eac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2559eac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e64a5be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e64a5be0"/>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aee5e8ae"/>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南银理财珠联璧合鑫逸稳一年240期封闭式公募人民币理财产品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ZZ700322500502</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Z7003225000317(投资者可依据该编码在中国理财网www.chinawealth.com.cn查询理财产品相关信息）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A份额：Y30240</w:t>
            </w:r>
          </w:p>
          <w:p>
            <w:pPr>
              <w:pStyle w:val="null10"/>
              <w:spacing w:lineRule="exact" w:line="200"/>
            </w:pPr>
            <w:r>
              <w:rPr>
                <w:rFonts w:ascii="方正黑体_GBK" w:hAnsi="方正黑体_GBK" w:cs="宋体" w:eastAsia="方正黑体_GBK"/>
                <w:sz w:val="18"/>
                <w:szCs w:val="18"/>
              </w:rPr>
              <w:t>B份额：Y31240</w:t>
            </w:r>
          </w:p>
          <w:p>
            <w:pPr>
              <w:pStyle w:val="null10"/>
              <w:spacing w:lineRule="exact" w:line="200"/>
            </w:pPr>
            <w:r>
              <w:rPr>
                <w:rFonts w:ascii="方正黑体_GBK" w:hAnsi="方正黑体_GBK" w:cs="宋体" w:eastAsia="方正黑体_GBK"/>
                <w:sz w:val="18"/>
                <w:szCs w:val="18"/>
              </w:rPr>
              <w:t>C份额：Y32240</w:t>
            </w:r>
          </w:p>
          <w:p>
            <w:pPr>
              <w:pStyle w:val="null10"/>
              <w:spacing w:lineRule="exact" w:line="200"/>
            </w:pPr>
            <w:r>
              <w:rPr>
                <w:rFonts w:ascii="方正黑体_GBK" w:hAnsi="方正黑体_GBK" w:cs="宋体" w:eastAsia="方正黑体_GBK"/>
                <w:sz w:val="18"/>
                <w:szCs w:val="18"/>
              </w:rPr>
              <w:t>D份额：Y33240</w:t>
            </w:r>
          </w:p>
          <w:p>
            <w:pPr>
              <w:pStyle w:val="null10"/>
              <w:spacing w:lineRule="exact" w:line="200"/>
            </w:pPr>
            <w:r>
              <w:rPr>
                <w:rFonts w:ascii="方正黑体_GBK" w:hAnsi="方正黑体_GBK" w:cs="宋体" w:eastAsia="方正黑体_GBK"/>
                <w:sz w:val="18"/>
                <w:szCs w:val="18"/>
              </w:rPr>
              <w:t>F份额：Y35240</w:t>
            </w:r>
          </w:p>
          <w:p>
            <w:pPr>
              <w:pStyle w:val="null10"/>
              <w:spacing w:lineRule="exact" w:line="200"/>
            </w:pPr>
            <w:r>
              <w:rPr>
                <w:rFonts w:ascii="方正黑体_GBK" w:hAnsi="方正黑体_GBK" w:cs="宋体" w:eastAsia="方正黑体_GBK"/>
                <w:sz w:val="18"/>
                <w:szCs w:val="18"/>
              </w:rPr>
              <w:t>G份额：Y36240</w:t>
            </w:r>
          </w:p>
          <w:p>
            <w:pPr>
              <w:pStyle w:val="null10"/>
              <w:spacing w:lineRule="exact" w:line="200"/>
            </w:pPr>
            <w:r>
              <w:rPr>
                <w:rFonts w:ascii="方正黑体_GBK" w:hAnsi="方正黑体_GBK" w:cs="宋体" w:eastAsia="方正黑体_GBK"/>
                <w:sz w:val="18"/>
                <w:szCs w:val="18"/>
              </w:rPr>
              <w:t>K份额：YA30240</w:t>
            </w:r>
          </w:p>
          <w:p>
            <w:pPr>
              <w:pStyle w:val="null10"/>
              <w:spacing w:lineRule="exact" w:line="200"/>
            </w:pPr>
            <w:r>
              <w:rPr>
                <w:rFonts w:ascii="方正黑体_GBK" w:hAnsi="方正黑体_GBK" w:cs="宋体" w:eastAsia="方正黑体_GBK"/>
                <w:sz w:val="18"/>
                <w:szCs w:val="18"/>
              </w:rPr>
              <w:t>L份额：YB30240</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本理财产品规模上限为100亿元。理财产品管理人有权对上述规模上限根据实际业务需求进行调整。</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A份额：除B、C、D、F、G、K、L份额以外的所有客户（详见“销售机构”条款）。</w:t>
            </w:r>
          </w:p>
          <w:p>
            <w:pPr>
              <w:pStyle w:val="null10"/>
              <w:spacing w:lineRule="exact" w:line="200"/>
            </w:pPr>
            <w:r>
              <w:rPr>
                <w:rFonts w:ascii="方正黑体_GBK" w:hAnsi="方正黑体_GBK" w:cs="宋体" w:eastAsia="方正黑体_GBK"/>
                <w:sz w:val="18"/>
                <w:szCs w:val="18"/>
              </w:rPr>
              <w:t>B份额：南京银行股份有限公司(新客或新资金或代发客户)、青岛银行股份有限公司( 私行客户)、徽商银行股份有限公司( 常规客群)、杭州银行股份有限公司( 大众客户)、温州银行股份有限公司、烟台银行股份有限公司( 社保卡客户)、齐商银行股份有限公司、广州银行股份有限公司、江苏常熟农村商业银行股份有限公司( 专属客户)、苏州银行股份有限公司( 大众客户)、日照银行股份有限公司( 普通客群)、秦皇岛银行股份有限公司、齐鲁银行股份有限公司( 政务服务中心支行开业专享)、甘肃银行股份有限公司、天津农村商业银行股份有限公司( 滨海分行专属)、兰州银行股份有限公司、江苏南通农村商业银行股份有限公司( 代发客户)、江苏淮安农村商业银行股份有限公司(财富客户)、江苏大丰农村商业银行股份有限公司、江苏镇江农村商业银行股份有限公司( 20万元起购)、江苏如皋农村商业银行股份有限公司( 代发客户)、徐州农村商业银行股份有限公司( 财富客群)、江苏紫金农村商业银行股份有限公司、江苏沛县农村商业银行股份有限公司、江苏仪征农村商业银行股份有限公司( 20万元起购)、枣庄银行股份有限公司。</w:t>
            </w:r>
          </w:p>
          <w:p>
            <w:pPr>
              <w:pStyle w:val="null10"/>
              <w:spacing w:lineRule="exact" w:line="200"/>
            </w:pPr>
            <w:r>
              <w:rPr>
                <w:rFonts w:ascii="方正黑体_GBK" w:hAnsi="方正黑体_GBK" w:cs="宋体" w:eastAsia="方正黑体_GBK"/>
                <w:sz w:val="18"/>
                <w:szCs w:val="18"/>
              </w:rPr>
              <w:t>C份额：徽商银行股份有限公司(南京分行专属、马鞍山分行教师专属理财)、杭州银行股份有限公司( 私行客户)、嘉兴银行股份有限公司( 私行客户)、郑州银行股份有限公司、苏州银行股份有限公司( 公司客户)、日照银行股份有限公司(特邀客群)、泰安银行股份有限公司、齐鲁银行股份有限公司(特邀客群)、天津农村商业银行股份有限公司(军人客户)、云南红塔银行股份有限公司(分行定制)、宁波通商银行股份有限公司( 价值客户和新客专属)、江苏泰兴农村商业银行股份有限公司、江苏响水农村商业银行股份有限公司(起点金额50万)、江苏靖江农村商业银行股份有限公司、江苏盐城农村商业银行股份有限公司( 行庆特供)、江苏南通农村商业银行股份有限公司( 机构客户)、江苏镇江农村商业银行股份有限公司( 100万元起购)、江苏滨海农村商业银行股份有限公司、江苏射阳农村商业银行股份有限公司、江苏句容农村商业银行股份有限公司、江苏如东农村商业银行股份有限公司。</w:t>
            </w:r>
          </w:p>
          <w:p>
            <w:pPr>
              <w:pStyle w:val="null10"/>
              <w:spacing w:lineRule="exact" w:line="200"/>
            </w:pPr>
            <w:r>
              <w:rPr>
                <w:rFonts w:ascii="方正黑体_GBK" w:hAnsi="方正黑体_GBK" w:cs="宋体" w:eastAsia="方正黑体_GBK"/>
                <w:sz w:val="18"/>
                <w:szCs w:val="18"/>
              </w:rPr>
              <w:t>D份额：天津农村商业银行股份有限公司( 新客户)。</w:t>
            </w:r>
          </w:p>
          <w:p>
            <w:pPr>
              <w:pStyle w:val="null10"/>
              <w:spacing w:lineRule="exact" w:line="200"/>
            </w:pPr>
            <w:r>
              <w:rPr>
                <w:rFonts w:ascii="方正黑体_GBK" w:hAnsi="方正黑体_GBK" w:cs="宋体" w:eastAsia="方正黑体_GBK"/>
                <w:sz w:val="18"/>
                <w:szCs w:val="18"/>
              </w:rPr>
              <w:t>F份额：兴业银行股份有限公司（普通客户）。</w:t>
            </w:r>
          </w:p>
          <w:p>
            <w:pPr>
              <w:pStyle w:val="null10"/>
              <w:spacing w:lineRule="exact" w:line="200"/>
            </w:pPr>
            <w:r>
              <w:rPr>
                <w:rFonts w:ascii="方正黑体_GBK" w:hAnsi="方正黑体_GBK" w:cs="宋体" w:eastAsia="方正黑体_GBK"/>
                <w:sz w:val="18"/>
                <w:szCs w:val="18"/>
              </w:rPr>
              <w:t>G份额：兴业银行股份有限公司（新客户）。</w:t>
            </w:r>
          </w:p>
          <w:p>
            <w:pPr>
              <w:pStyle w:val="null10"/>
              <w:spacing w:lineRule="exact" w:line="200"/>
            </w:pPr>
            <w:r>
              <w:rPr>
                <w:rFonts w:ascii="方正黑体_GBK" w:hAnsi="方正黑体_GBK" w:cs="宋体" w:eastAsia="方正黑体_GBK"/>
                <w:sz w:val="18"/>
                <w:szCs w:val="18"/>
              </w:rPr>
              <w:t>K份额：吉林银行股份有限公司。</w:t>
            </w:r>
          </w:p>
          <w:p>
            <w:pPr>
              <w:pStyle w:val="null10"/>
              <w:spacing w:lineRule="exact" w:line="200"/>
            </w:pPr>
            <w:r>
              <w:rPr>
                <w:rFonts w:ascii="方正黑体_GBK" w:hAnsi="方正黑体_GBK" w:cs="宋体" w:eastAsia="方正黑体_GBK"/>
                <w:sz w:val="18"/>
                <w:szCs w:val="18"/>
              </w:rPr>
              <w:t>L份额：江苏张家港农村商业银行股份有限公司( 特定客户)、江苏常熟农村商业银行股份有限公司( 专属特定客群)、天津农村商业银行股份有限公司( 私行客群)、江苏兴化农村商业银行股份有限公司。</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注：本产品不同份额针对不同的销售机构及客群进行销售，设置有不同的销售费和管理费，具体客群划分标准以销售机构为准。</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新客是指2025年理财年日均余额为0的客户。新资金（5万）是指金融资产余额较上月月日均增长5万元及以上的客户。代发是指近90天内有过代发记录的客户（不含跨行代发、批量兑付、批量付息）。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后续在符合监管政策规定的条件下，理财产品管理人有权对上述投资起点金额和递增金额进行调整,并在调整日前至少3个工作日进行信息披露。</w:t>
            </w:r>
          </w:p>
          <w:p>
            <w:pPr>
              <w:pStyle w:val="null10"/>
              <w:spacing w:lineRule="exact" w:line="200"/>
            </w:pPr>
            <w:r>
              <w:rPr>
                <w:rFonts w:ascii="方正黑体_GBK" w:hAnsi="方正黑体_GBK" w:cs="宋体" w:eastAsia="方正黑体_GBK"/>
                <w:sz w:val="18"/>
                <w:szCs w:val="18"/>
              </w:rPr>
              <w:t>代销机构可根据其销售需要对投资起点金额、递增金额进行重新设定，投资者通过代销机构购买本理财产品的，以该代销机构最终披露的投资起点金额、递增金额为准。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单个投资者持有金额上限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A份额/B份额/C份额/D份额/F份额/G份额/K份额/L份额：</w:t>
            </w:r>
          </w:p>
          <w:p>
            <w:pPr>
              <w:pStyle w:val="null10"/>
              <w:spacing w:lineRule="exact" w:line="200"/>
            </w:pPr>
            <w:r>
              <w:rPr>
                <w:rFonts w:ascii="方正黑体_GBK" w:hAnsi="方正黑体_GBK" w:cs="宋体" w:eastAsia="方正黑体_GBK"/>
                <w:sz w:val="18"/>
                <w:szCs w:val="18"/>
              </w:rPr>
              <w:t>暂不设置单个投资者持有金额上限；</w:t>
            </w:r>
          </w:p>
          <w:p>
            <w:pPr>
              <w:pStyle w:val="null10"/>
              <w:spacing w:lineRule="exact" w:line="200"/>
              <w:jc w:val="left"/>
            </w:pPr>
            <w:r>
              <w:rPr>
                <w:rFonts w:ascii="方正黑体_GBK" w:hAnsi="方正黑体_GBK" w:cs="宋体" w:eastAsia="方正黑体_GBK"/>
                <w:sz w:val="18"/>
                <w:szCs w:val="18"/>
              </w:rPr>
              <w:t>注：1.管理人有权对上述单个投资者持有金额上限进行调整或取消，并在调整或取消前至少3个工作日公告。</w:t>
            </w:r>
          </w:p>
          <w:p>
            <w:pPr>
              <w:pStyle w:val="null10"/>
              <w:spacing w:lineRule="exact" w:line="200"/>
              <w:jc w:val="left"/>
            </w:pPr>
            <w:r>
              <w:rPr>
                <w:rFonts w:ascii="方正黑体_GBK" w:hAnsi="方正黑体_GBK" w:cs="宋体" w:eastAsia="方正黑体_GBK"/>
                <w:sz w:val="18"/>
                <w:szCs w:val="18"/>
              </w:rPr>
              <w:t>2.当投资者发起的最近一笔申购申请将导致投资者持有本理财产品的金额超过投资者持有金额上限时，销售机构或管理人有权拒绝投资者该笔申购申请，投资者需重新进行资金安排。3.投资者持有本理财产品的金额将随本理财产品单位净值的变动而变动，由此导致的投资者持有金额上限突破上述上限的情形除外。</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2025年09月17日 09:00—2025年09月23日 17:00（管理人有权根据市场变化情况缩短或延长募集期并提前成立或推迟成立，产品提前或推迟成立时管理人将调整相关日期并进行信息披露）代销机构可根据其销售需要在本募集期范围内对募集时间进行重新设定，投资者通过代销机构购买本理财产品的，以该代销机构最终披露的募集时间为准。</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2025年09月24日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2025年09月24日—实际到期日（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2026年10月28日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p>
            <w:pPr>
              <w:pStyle w:val="null10"/>
              <w:spacing w:lineRule="exact" w:line="200"/>
            </w:pPr>
            <w:r>
              <w:rPr>
                <w:rFonts w:ascii="方正黑体_GBK" w:hAnsi="方正黑体_GBK" w:cs="宋体" w:eastAsia="方正黑体_GBK"/>
                <w:sz w:val="18"/>
                <w:szCs w:val="18"/>
              </w:rPr>
              <w:t>6.如存在法律法规或监管机构以后允许投资的其他品种或法律法规或监管政策出现调整，管理人在履行本理财产品销售文件规定的适当程序后，有权调整以上品种。</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如果法律法规或者监管机构变更投资品种的投资比例限制，理财产品管理人在履行本理财产品销售文件约定的适当程序后，可以调整上述投资品种的投资比例。</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szCs w:val="18"/>
              </w:rPr>
              <w:t>16.信托贷款：资产类型为信托公司设立的资金信托计划，底层资产为度小满及信托公司双重审核、信托公司自主风控后发放的“满易贷”个人消费贷款债权，资产到期日不超过理财产品到期日。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因产品实际募集规模和融资人资金需求存在不确定性，产品管理人将优先选择上述一笔或者多笔作为本理财产品投资的非标准化债权类资产（具体以实际投资为准），并在本理财产品的定期报告中进行信息披露。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A份额：业绩比较基准为2.55%(年化)。</w:t>
            </w:r>
          </w:p>
          <w:p>
            <w:pPr>
              <w:pStyle w:val="null10"/>
              <w:spacing w:lineRule="exact" w:line="200"/>
            </w:pPr>
            <w:r>
              <w:rPr>
                <w:rFonts w:ascii="方正黑体_GBK" w:hAnsi="方正黑体_GBK" w:cs="宋体" w:eastAsia="方正黑体_GBK"/>
                <w:sz w:val="18"/>
                <w:szCs w:val="18"/>
              </w:rPr>
              <w:t>B份额：业绩比较基准为2.65%(年化)。</w:t>
            </w:r>
          </w:p>
          <w:p>
            <w:pPr>
              <w:pStyle w:val="null10"/>
              <w:spacing w:lineRule="exact" w:line="200"/>
            </w:pPr>
            <w:r>
              <w:rPr>
                <w:rFonts w:ascii="方正黑体_GBK" w:hAnsi="方正黑体_GBK" w:cs="宋体" w:eastAsia="方正黑体_GBK"/>
                <w:sz w:val="18"/>
                <w:szCs w:val="18"/>
              </w:rPr>
              <w:t>C份额：业绩比较基准为2.75%(年化)。</w:t>
            </w:r>
          </w:p>
          <w:p>
            <w:pPr>
              <w:pStyle w:val="null10"/>
              <w:spacing w:lineRule="exact" w:line="200"/>
            </w:pPr>
            <w:r>
              <w:rPr>
                <w:rFonts w:ascii="方正黑体_GBK" w:hAnsi="方正黑体_GBK" w:cs="宋体" w:eastAsia="方正黑体_GBK"/>
                <w:sz w:val="18"/>
                <w:szCs w:val="18"/>
              </w:rPr>
              <w:t>D份额：业绩比较基准为2.85%(年化)。</w:t>
            </w:r>
          </w:p>
          <w:p>
            <w:pPr>
              <w:pStyle w:val="null10"/>
              <w:spacing w:lineRule="exact" w:line="200"/>
            </w:pPr>
            <w:r>
              <w:rPr>
                <w:rFonts w:ascii="方正黑体_GBK" w:hAnsi="方正黑体_GBK" w:cs="宋体" w:eastAsia="方正黑体_GBK"/>
                <w:sz w:val="18"/>
                <w:szCs w:val="18"/>
              </w:rPr>
              <w:t>F份额：业绩比较基准为2.6%(年化)。</w:t>
            </w:r>
          </w:p>
          <w:p>
            <w:pPr>
              <w:pStyle w:val="null10"/>
              <w:spacing w:lineRule="exact" w:line="200"/>
            </w:pPr>
            <w:r>
              <w:rPr>
                <w:rFonts w:ascii="方正黑体_GBK" w:hAnsi="方正黑体_GBK" w:cs="宋体" w:eastAsia="方正黑体_GBK"/>
                <w:sz w:val="18"/>
                <w:szCs w:val="18"/>
              </w:rPr>
              <w:t>G份额：业绩比较基准为2.65%(年化)。</w:t>
            </w:r>
          </w:p>
          <w:p>
            <w:pPr>
              <w:pStyle w:val="null10"/>
              <w:spacing w:lineRule="exact" w:line="200"/>
            </w:pPr>
            <w:r>
              <w:rPr>
                <w:rFonts w:ascii="方正黑体_GBK" w:hAnsi="方正黑体_GBK" w:cs="宋体" w:eastAsia="方正黑体_GBK"/>
                <w:sz w:val="18"/>
                <w:szCs w:val="18"/>
              </w:rPr>
              <w:t>K份额：业绩比较基准为2.7%(年化)。</w:t>
            </w:r>
          </w:p>
          <w:p>
            <w:pPr>
              <w:pStyle w:val="null10"/>
              <w:spacing w:lineRule="exact" w:line="200"/>
            </w:pPr>
            <w:r>
              <w:rPr>
                <w:rFonts w:ascii="方正黑体_GBK" w:hAnsi="方正黑体_GBK" w:cs="宋体" w:eastAsia="方正黑体_GBK"/>
                <w:sz w:val="18"/>
                <w:szCs w:val="18"/>
              </w:rPr>
              <w:t>L份额：业绩比较基准为2.8%(年化)。</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销售费：本理财产品按前一日理财产品资产净值收取销售费，按日计提。</w:t>
            </w:r>
          </w:p>
          <w:p>
            <w:pPr>
              <w:pStyle w:val="null10"/>
              <w:spacing w:lineRule="exact" w:line="200"/>
            </w:pPr>
            <w:r>
              <w:rPr>
                <w:rFonts w:ascii="方正黑体_GBK" w:hAnsi="方正黑体_GBK" w:cs="宋体" w:eastAsia="方正黑体_GBK"/>
                <w:sz w:val="18"/>
                <w:b/>
                <w:szCs w:val="18"/>
              </w:rPr>
              <w:t>A份额：销售费年化0.2%</w:t>
            </w:r>
          </w:p>
          <w:p>
            <w:pPr>
              <w:pStyle w:val="null10"/>
              <w:spacing w:lineRule="exact" w:line="200"/>
            </w:pPr>
            <w:r>
              <w:rPr>
                <w:rFonts w:ascii="方正黑体_GBK" w:hAnsi="方正黑体_GBK" w:cs="宋体" w:eastAsia="方正黑体_GBK"/>
                <w:sz w:val="18"/>
                <w:b/>
                <w:szCs w:val="18"/>
              </w:rPr>
              <w:t>B份额：销售费年化0.15%</w:t>
            </w:r>
          </w:p>
          <w:p>
            <w:pPr>
              <w:pStyle w:val="null10"/>
              <w:spacing w:lineRule="exact" w:line="200"/>
            </w:pPr>
            <w:r>
              <w:rPr>
                <w:rFonts w:ascii="方正黑体_GBK" w:hAnsi="方正黑体_GBK" w:cs="宋体" w:eastAsia="方正黑体_GBK"/>
                <w:sz w:val="18"/>
                <w:b/>
                <w:szCs w:val="18"/>
              </w:rPr>
              <w:t>C份额：销售费年化0.05%</w:t>
            </w:r>
          </w:p>
          <w:p>
            <w:pPr>
              <w:pStyle w:val="null10"/>
              <w:spacing w:lineRule="exact" w:line="200"/>
            </w:pPr>
            <w:r>
              <w:rPr>
                <w:rFonts w:ascii="方正黑体_GBK" w:hAnsi="方正黑体_GBK" w:cs="宋体" w:eastAsia="方正黑体_GBK"/>
                <w:sz w:val="18"/>
                <w:b/>
                <w:szCs w:val="18"/>
              </w:rPr>
              <w:t>D份额：销售费年化0%</w:t>
            </w:r>
          </w:p>
          <w:p>
            <w:pPr>
              <w:pStyle w:val="null10"/>
              <w:spacing w:lineRule="exact" w:line="200"/>
            </w:pPr>
            <w:r>
              <w:rPr>
                <w:rFonts w:ascii="方正黑体_GBK" w:hAnsi="方正黑体_GBK" w:cs="宋体" w:eastAsia="方正黑体_GBK"/>
                <w:sz w:val="18"/>
                <w:b/>
                <w:szCs w:val="18"/>
              </w:rPr>
              <w:t>F份额：销售费年化0.25%</w:t>
            </w:r>
          </w:p>
          <w:p>
            <w:pPr>
              <w:pStyle w:val="null10"/>
              <w:spacing w:lineRule="exact" w:line="200"/>
            </w:pPr>
            <w:r>
              <w:rPr>
                <w:rFonts w:ascii="方正黑体_GBK" w:hAnsi="方正黑体_GBK" w:cs="宋体" w:eastAsia="方正黑体_GBK"/>
                <w:sz w:val="18"/>
                <w:b/>
                <w:szCs w:val="18"/>
              </w:rPr>
              <w:t>G份额：销售费年化0.2%</w:t>
            </w:r>
          </w:p>
          <w:p>
            <w:pPr>
              <w:pStyle w:val="null10"/>
              <w:spacing w:lineRule="exact" w:line="200"/>
            </w:pPr>
            <w:r>
              <w:rPr>
                <w:rFonts w:ascii="方正黑体_GBK" w:hAnsi="方正黑体_GBK" w:cs="宋体" w:eastAsia="方正黑体_GBK"/>
                <w:sz w:val="18"/>
                <w:b/>
                <w:szCs w:val="18"/>
              </w:rPr>
              <w:t>K份额：销售费年化0.15%</w:t>
            </w:r>
          </w:p>
          <w:p>
            <w:pPr>
              <w:pStyle w:val="null10"/>
              <w:spacing w:lineRule="exact" w:line="200"/>
            </w:pPr>
            <w:r>
              <w:rPr>
                <w:rFonts w:ascii="方正黑体_GBK" w:hAnsi="方正黑体_GBK" w:cs="宋体" w:eastAsia="方正黑体_GBK"/>
                <w:sz w:val="18"/>
                <w:b/>
                <w:szCs w:val="18"/>
              </w:rPr>
              <w:t>L份额：销售费年化0.05%</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A份额：固定管理费年化0.15%</w:t>
            </w:r>
          </w:p>
          <w:p>
            <w:pPr>
              <w:pStyle w:val="null10"/>
              <w:spacing w:lineRule="exact" w:line="200"/>
            </w:pPr>
            <w:r>
              <w:rPr>
                <w:rFonts w:ascii="方正黑体_GBK" w:hAnsi="方正黑体_GBK" w:cs="宋体" w:eastAsia="方正黑体_GBK"/>
                <w:sz w:val="18"/>
                <w:b/>
                <w:szCs w:val="18"/>
              </w:rPr>
              <w:t>B份额：固定管理费年化0.1%</w:t>
            </w:r>
          </w:p>
          <w:p>
            <w:pPr>
              <w:pStyle w:val="null10"/>
              <w:spacing w:lineRule="exact" w:line="200"/>
            </w:pPr>
            <w:r>
              <w:rPr>
                <w:rFonts w:ascii="方正黑体_GBK" w:hAnsi="方正黑体_GBK" w:cs="宋体" w:eastAsia="方正黑体_GBK"/>
                <w:sz w:val="18"/>
                <w:b/>
                <w:szCs w:val="18"/>
              </w:rPr>
              <w:t>C份额：固定管理费年化0.1%</w:t>
            </w:r>
          </w:p>
          <w:p>
            <w:pPr>
              <w:pStyle w:val="null10"/>
              <w:spacing w:lineRule="exact" w:line="200"/>
            </w:pPr>
            <w:r>
              <w:rPr>
                <w:rFonts w:ascii="方正黑体_GBK" w:hAnsi="方正黑体_GBK" w:cs="宋体" w:eastAsia="方正黑体_GBK"/>
                <w:sz w:val="18"/>
                <w:b/>
                <w:szCs w:val="18"/>
              </w:rPr>
              <w:t>D份额：固定管理费年化0.05%</w:t>
            </w:r>
          </w:p>
          <w:p>
            <w:pPr>
              <w:pStyle w:val="null10"/>
              <w:spacing w:lineRule="exact" w:line="200"/>
            </w:pPr>
            <w:r>
              <w:rPr>
                <w:rFonts w:ascii="方正黑体_GBK" w:hAnsi="方正黑体_GBK" w:cs="宋体" w:eastAsia="方正黑体_GBK"/>
                <w:sz w:val="18"/>
                <w:b/>
                <w:szCs w:val="18"/>
              </w:rPr>
              <w:t>F份额：固定管理费年化0.05%</w:t>
            </w:r>
          </w:p>
          <w:p>
            <w:pPr>
              <w:pStyle w:val="null10"/>
              <w:spacing w:lineRule="exact" w:line="200"/>
            </w:pPr>
            <w:r>
              <w:rPr>
                <w:rFonts w:ascii="方正黑体_GBK" w:hAnsi="方正黑体_GBK" w:cs="宋体" w:eastAsia="方正黑体_GBK"/>
                <w:sz w:val="18"/>
                <w:b/>
                <w:szCs w:val="18"/>
              </w:rPr>
              <w:t>G份额：固定管理费年化0.05%</w:t>
            </w:r>
          </w:p>
          <w:p>
            <w:pPr>
              <w:pStyle w:val="null10"/>
              <w:spacing w:lineRule="exact" w:line="200"/>
            </w:pPr>
            <w:r>
              <w:rPr>
                <w:rFonts w:ascii="方正黑体_GBK" w:hAnsi="方正黑体_GBK" w:cs="宋体" w:eastAsia="方正黑体_GBK"/>
                <w:sz w:val="18"/>
                <w:b/>
                <w:szCs w:val="18"/>
              </w:rPr>
              <w:t>K份额：固定管理费年化0.05%</w:t>
            </w:r>
          </w:p>
          <w:p>
            <w:pPr>
              <w:pStyle w:val="null10"/>
              <w:spacing w:lineRule="exact" w:line="200"/>
            </w:pPr>
            <w:r>
              <w:rPr>
                <w:rFonts w:ascii="方正黑体_GBK" w:hAnsi="方正黑体_GBK" w:cs="宋体" w:eastAsia="方正黑体_GBK"/>
                <w:sz w:val="18"/>
                <w:b/>
                <w:szCs w:val="18"/>
              </w:rPr>
              <w:t>L份额：固定管理费年化0.05%</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A份额：到期兑付时，当期产品投资的实际资产组合收益（扣除销售费、固定管理费、托管费等相关费用）超过2.55%（年化，即产品该份额对应的业绩报酬计提基准）时，超过部分管理人将按60%收取业绩报酬。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C份额：到期兑付时，当期产品投资的实际资产组合收益（扣除销售费、固定管理费、托管费等相关费用）超过2.75%（年化，即产品该份额对应的业绩报酬计提基准）时，超过部分管理人将按60%收取业绩报酬。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D份额：到期兑付时，当期产品投资的实际资产组合收益（扣除销售费、固定管理费、托管费等相关费用）超过2.85%（年化，即产品该份额对应的业绩报酬计提基准）时，超过部分管理人将按60%收取业绩报酬。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F份额：到期兑付时，当期产品投资的实际资产组合收益（扣除销售费、固定管理费、托管费等相关费用）超过2.6%（年化，即产品该份额对应的业绩报酬计提基准）时，超过部分管理人将按60%收取业绩报酬。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G份额：到期兑付时，当期产品投资的实际资产组合收益（扣除销售费、固定管理费、托管费等相关费用）超过2.65%（年化，即产品该份额对应的业绩报酬计提基准）时，超过部分管理人将按60%收取业绩报酬。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K份额：到期兑付时，当期产品投资的实际资产组合收益（扣除销售费、固定管理费、托管费等相关费用）超过2.7%（年化，即产品该份额对应的业绩报酬计提基准）时，超过部分管理人将按60%收取业绩报酬。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L份额：到期兑付时，当期产品投资的实际资产组合收益（扣除销售费、固定管理费、托管费等相关费用）超过2.8%（年化，即产品该份额对应的业绩报酬计提基准）时，超过部分管理人将按60%收取业绩报酬。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w:t>
            </w:r>
            <w:r>
              <w:rPr>
                <w:rFonts w:ascii="方正黑体_GBK" w:hAnsi="方正黑体_GBK" w:cs="宋体" w:eastAsia="方正黑体_GBK"/>
                <w:sz w:val="18"/>
                <w:b/>
                <w:szCs w:val="18"/>
              </w:rPr>
              <w:t>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杭州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云南红塔银行股份有限公司、中原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兰州银行股份有限公司、东营银行股份有限公司、江苏沛县农村商业银行股份有限公司、潍坊银行股份有限公司、甘肃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管理人有权调整本理财产品的销售机构并进行信息披露。</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中国对外经济贸易信托有限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e64a5be0"/>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ec35f9b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ec35f9be"/>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ec35f9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ec35f9be"/>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ec35f9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ec35f9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ec35f9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ec35f9be"/>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南银理财珠联璧合鑫逸稳一年240期封闭式公募人民币理财产品</w:t>
      </w:r>
      <w:r>
        <w:rPr>
          <w:rFonts w:ascii="方正黑体_GBK" w:eastAsia="方正黑体_GBK" w:hint="eastAsia" w:hAnsi="方正黑体_GBK"/>
          <w:vanish w:val="0"/>
          <w:color w:val="3D3D3D"/>
          <w:kern w:val="0"/>
          <w:sz w:val="15"/>
          <w:szCs w:val="15"/>
        </w:rPr>
        <w:t>。</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ec35f9be"/>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ec35f9be"/>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ec35f9be"/>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ec35f9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3c954686"/>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ec35f9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ec35f9be"/>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ec35f9be"/>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3c954686"/>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e64a5be0"/>
        <w:keepNext w:val="0"/>
        <w:keepLines w:val="0"/>
        <w:pageBreakBefore w:val="0"/>
        <w:widowControl/>
        <w:suppressLineNumbers w:val="0"/>
        <w:suppressAutoHyphens w:val="0"/>
        <w:spacing w:line="200" w:lineRule="exact"/>
        <w:ind w:firstLineChars="200" w:firstLine="300"/>
        <w:rPr>
          <w:rStyle w:val="3c954686"/>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e64a5be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e64a5be0"/>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e64a5be0"/>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在本理财产品存续期内：</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cs="Times New Roman" w:hAnsi="方正黑体_GBK" w:hint="eastAsia"/>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1</w:t>
      </w:r>
      <w:r>
        <w:rPr>
          <w:rFonts w:ascii="方正黑体_GBK" w:eastAsia="方正黑体_GBK" w:cs="Times New Roman" w:hint="eastAsia" w:hAnsi="方正黑体_GBK"/>
          <w:b/>
          <w:bCs/>
          <w:vanish w:val="0"/>
          <w:color w:val="3D3D3D"/>
          <w:kern w:val="0"/>
          <w:sz w:val="15"/>
          <w:szCs w:val="15"/>
        </w:rPr>
        <w:t>）若因国家法律法规、监管规定发生变化，甲方有权单方面对本理财产品的《理财产品销售协议书》《理财产品说明书》《理财产品风险揭示书》《投资者权益须知》《理财产品投资协议书》等相关销售文件进行修订，并进行信息披露。投资者在此同意，修订后的销售文件对投资者具有法律约束力；</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3D3D3D"/>
          <w:kern w:val="0"/>
          <w:sz w:val="15"/>
          <w:szCs w:val="15"/>
        </w:rPr>
      </w:pP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2</w:t>
      </w:r>
      <w:r>
        <w:rPr>
          <w:rFonts w:ascii="方正黑体_GBK" w:eastAsia="方正黑体_GBK" w:cs="Times New Roman" w:hint="eastAsia" w:hAnsi="方正黑体_GBK"/>
          <w:b/>
          <w:bCs/>
          <w:vanish w:val="0"/>
          <w:color w:val="3D3D3D"/>
          <w:kern w:val="0"/>
          <w:sz w:val="15"/>
          <w:szCs w:val="15"/>
        </w:rPr>
        <w:t>）</w:t>
      </w:r>
      <w:r>
        <w:rPr>
          <w:rFonts w:ascii="方正黑体_GBK" w:eastAsia="方正黑体_GBK" w:cs="Times New Roman" w:hAnsi="方正黑体_GBK"/>
          <w:b/>
          <w:bCs/>
          <w:vanish w:val="0"/>
          <w:color w:val="3D3D3D"/>
          <w:kern w:val="0"/>
          <w:sz w:val="15"/>
          <w:szCs w:val="15"/>
        </w:rPr>
        <w:t>若因市场情况等发生变化或是出于维护本理财产品正常运营或管理的需要，或基于甲方合理认定的其他情形，且投资者无法发起赎回申请时，甲方有权单方面对本理财产品的销售文件进行修订，包括但不限于对本理财产品的投资范围、投资资产种类、投资比例或已约定的收费项目、条件、标准和方式等进行调整，并通过短信及南银理财官网等渠道进行信息披露。此种情况下管理人可能开放赎回，具体以管理人届时信息披露的内容为准。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bookmarkStart w:id="0" w:name="_GoBack"/>
      <w:bookmarkEnd w:id="0"/>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e64a5be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e64a5be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e64a5be0"/>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e64a5be0"/>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e64a5be0"/>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3"/>
  </w:num>
  <w:num w:numId="2">
    <w:abstractNumId w:val="4"/>
  </w:num>
  <w:num w:numId="3">
    <w:abstractNumId w:val="2"/>
  </w:num>
  <w:num w:numId="4">
    <w:abstractNumId w:val="1"/>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2559eacb">
    <w:name w:val="Normal2559eac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875981d6">
    <w:name w:val="heading 1875981d6"/>
    <w:basedOn w:val="2559eac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7744fa45">
    <w:name w:val="heading 27744fa45"/>
    <w:basedOn w:val="2559eac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eee282dc">
    <w:name w:val="heading 3eee282dc"/>
    <w:basedOn w:val="2559eac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78a9a01d">
    <w:name w:val="Default Paragraph Font78a9a01d"/>
  </w:style>
  <w:style xmlns:r="http://schemas.openxmlformats.org/officeDocument/2006/relationships" w:type="paragraph" w:styleId="044a4780">
    <w:name w:val="toc 1044a4780"/>
    <w:basedOn w:val="2559eacb"/>
    <w:autoRedefine/>
    <w:next w:val="0"/>
  </w:style>
  <w:style xmlns:r="http://schemas.openxmlformats.org/officeDocument/2006/relationships" w:type="paragraph" w:styleId="bbf5b3c0">
    <w:name w:val="toc 2bbf5b3c0"/>
    <w:basedOn w:val="2559eacb"/>
    <w:autoRedefine/>
    <w:next w:val="0"/>
    <w:pPr>
      <w:ind w:left="420"/>
    </w:pPr>
  </w:style>
  <w:style xmlns:r="http://schemas.openxmlformats.org/officeDocument/2006/relationships" w:type="paragraph" w:styleId="d7e20308">
    <w:name w:val="toc 3d7e20308"/>
    <w:basedOn w:val="2559eacb"/>
    <w:autoRedefine/>
    <w:next w:val="0"/>
    <w:pPr>
      <w:ind w:left="840"/>
    </w:pPr>
  </w:style>
  <w:style xmlns:r="http://schemas.openxmlformats.org/officeDocument/2006/relationships" w:type="paragraph" w:styleId="14970141">
    <w:name w:val="toc 414970141"/>
    <w:basedOn w:val="2559eacb"/>
    <w:autoRedefine/>
    <w:next w:val="0"/>
    <w:pPr>
      <w:ind w:left="1260"/>
    </w:pPr>
  </w:style>
  <w:style xmlns:r="http://schemas.openxmlformats.org/officeDocument/2006/relationships" w:type="paragraph" w:styleId="69fd945e">
    <w:name w:val="toc 569fd945e"/>
    <w:basedOn w:val="2559eacb"/>
    <w:autoRedefine/>
    <w:next w:val="0"/>
    <w:pPr>
      <w:ind w:left="1680"/>
    </w:pPr>
  </w:style>
  <w:style xmlns:r="http://schemas.openxmlformats.org/officeDocument/2006/relationships" w:type="paragraph" w:styleId="72f148bf">
    <w:name w:val="header72f148bf"/>
    <w:basedOn w:val="2559eac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64a9c778">
    <w:name w:val="footer64a9c778"/>
    <w:basedOn w:val="2559eacb"/>
    <w:pPr>
      <w:tabs>
        <w:tab w:val="center" w:pos="4153"/>
        <w:tab w:val="right" w:pos="8307"/>
      </w:tabs>
      <w:adjustRightInd/>
      <w:snapToGrid w:val="0"/>
      <w:contextualSpacing w:val="0"/>
      <w:jc w:val="left"/>
    </w:pPr>
    <w:rPr>
      <w:sz w:val="18"/>
    </w:rPr>
  </w:style>
  <w:style xmlns:r="http://schemas.openxmlformats.org/officeDocument/2006/relationships" w:type="character" w:styleId="843ee863">
    <w:name w:val="Strong843ee863"/>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e64a5be0">
    <w:name w:val="Normale64a5be0"/>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aa026eb9">
    <w:name w:val="heading 1aa026eb9"/>
    <w:basedOn w:val="e64a5be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cfe63236">
    <w:name w:val="heading 2cfe63236"/>
    <w:basedOn w:val="e64a5be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0a40307b">
    <w:name w:val="heading 30a40307b"/>
    <w:basedOn w:val="e64a5be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56dc6dd">
    <w:name w:val="Default Paragraph Fonte56dc6dd"/>
  </w:style>
  <w:style xmlns:r="http://schemas.openxmlformats.org/officeDocument/2006/relationships" w:type="paragraph" w:styleId="ecc67ea1">
    <w:name w:val="Normal Indentecc67ea1"/>
    <w:basedOn w:val="e64a5be0"/>
    <w:pPr>
      <w:ind w:firstLineChars="200" w:firstLine="200"/>
    </w:pPr>
  </w:style>
  <w:style xmlns:r="http://schemas.openxmlformats.org/officeDocument/2006/relationships" w:type="paragraph" w:styleId="3617fabc">
    <w:name w:val="toc 53617fabc"/>
    <w:basedOn w:val="e64a5be0"/>
    <w:next w:val="0"/>
    <w:pPr>
      <w:ind w:left="1680"/>
    </w:pPr>
  </w:style>
  <w:style xmlns:r="http://schemas.openxmlformats.org/officeDocument/2006/relationships" w:type="paragraph" w:styleId="393c218c">
    <w:name w:val="toc 3393c218c"/>
    <w:basedOn w:val="e64a5be0"/>
    <w:next w:val="0"/>
    <w:pPr>
      <w:ind w:left="840"/>
    </w:pPr>
  </w:style>
  <w:style xmlns:r="http://schemas.openxmlformats.org/officeDocument/2006/relationships" w:type="paragraph" w:styleId="905626c2">
    <w:name w:val="footer905626c2"/>
    <w:basedOn w:val="e64a5be0"/>
    <w:pPr>
      <w:tabs>
        <w:tab w:val="center" w:pos="4153"/>
        <w:tab w:val="right" w:pos="8307"/>
      </w:tabs>
      <w:adjustRightInd/>
      <w:snapToGrid w:val="0"/>
      <w:contextualSpacing w:val="0"/>
      <w:jc w:val="left"/>
    </w:pPr>
    <w:rPr>
      <w:sz w:val="18"/>
    </w:rPr>
  </w:style>
  <w:style xmlns:r="http://schemas.openxmlformats.org/officeDocument/2006/relationships" w:type="paragraph" w:styleId="e2ed04d6">
    <w:name w:val="headere2ed04d6"/>
    <w:basedOn w:val="e64a5be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4cc673b6">
    <w:name w:val="toc 14cc673b6"/>
    <w:basedOn w:val="e64a5be0"/>
    <w:next w:val="0"/>
  </w:style>
  <w:style xmlns:r="http://schemas.openxmlformats.org/officeDocument/2006/relationships" w:type="paragraph" w:styleId="152f8c29">
    <w:name w:val="toc 4152f8c29"/>
    <w:basedOn w:val="e64a5be0"/>
    <w:next w:val="0"/>
    <w:pPr>
      <w:ind w:left="1260"/>
    </w:pPr>
  </w:style>
  <w:style xmlns:r="http://schemas.openxmlformats.org/officeDocument/2006/relationships" w:type="paragraph" w:styleId="1b7a8e13">
    <w:name w:val="toc 21b7a8e13"/>
    <w:basedOn w:val="e64a5be0"/>
    <w:next w:val="0"/>
    <w:pPr>
      <w:ind w:left="420"/>
    </w:pPr>
  </w:style>
  <w:style xmlns:r="http://schemas.openxmlformats.org/officeDocument/2006/relationships" w:type="paragraph" w:styleId="aee5e8ae">
    <w:name w:val="Normal (Web)aee5e8ae"/>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c35f9be">
    <w:name w:val="Normalec35f9beec35f9be"/>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a9eb36f">
    <w:name w:val="heading 1ea9eb36fea9eb36f"/>
    <w:basedOn w:val="ec35f9be"/>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b948392">
    <w:name w:val="heading 29b9483929b948392"/>
    <w:basedOn w:val="ec35f9be"/>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a508d427">
    <w:name w:val="heading 3a508d427a508d427"/>
    <w:basedOn w:val="ec35f9be"/>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2fa3992d">
    <w:name w:val="Default Paragraph Font2fa3992d2fa3992d"/>
  </w:style>
  <w:style xmlns:r="http://schemas.openxmlformats.org/officeDocument/2006/relationships" w:type="paragraph" w:customStyle="1" w:styleId="735e7e22">
    <w:name w:val="引文目录1735e7e22735e7e22"/>
    <w:basedOn w:val="ec35f9be"/>
    <w:next w:val="0"/>
    <w:pPr>
      <w:ind w:leftChars="200" w:left="200"/>
    </w:pPr>
  </w:style>
  <w:style xmlns:r="http://schemas.openxmlformats.org/officeDocument/2006/relationships" w:type="paragraph" w:styleId="59a04547">
    <w:name w:val="toc 559a0454759a04547"/>
    <w:basedOn w:val="ec35f9be"/>
    <w:next w:val="0"/>
    <w:pPr>
      <w:ind w:left="1680"/>
    </w:pPr>
  </w:style>
  <w:style xmlns:r="http://schemas.openxmlformats.org/officeDocument/2006/relationships" w:type="paragraph" w:styleId="c2ec16f4">
    <w:name w:val="toc 3c2ec16f4c2ec16f4"/>
    <w:basedOn w:val="ec35f9be"/>
    <w:next w:val="0"/>
    <w:pPr>
      <w:ind w:left="840"/>
    </w:pPr>
  </w:style>
  <w:style xmlns:r="http://schemas.openxmlformats.org/officeDocument/2006/relationships" w:type="paragraph" w:styleId="47ad6579">
    <w:name w:val="footer47ad657947ad6579"/>
    <w:basedOn w:val="ec35f9be"/>
    <w:pPr>
      <w:tabs>
        <w:tab w:val="center" w:pos="4153"/>
        <w:tab w:val="right" w:pos="8307"/>
      </w:tabs>
      <w:adjustRightInd/>
      <w:snapToGrid w:val="0"/>
      <w:contextualSpacing w:val="0"/>
      <w:jc w:val="left"/>
    </w:pPr>
    <w:rPr>
      <w:sz w:val="18"/>
    </w:rPr>
  </w:style>
  <w:style xmlns:r="http://schemas.openxmlformats.org/officeDocument/2006/relationships" w:type="paragraph" w:styleId="8e11a8ab">
    <w:name w:val="header8e11a8ab8e11a8ab"/>
    <w:basedOn w:val="ec35f9be"/>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071ae9c">
    <w:name w:val="toc 1a071ae9ca071ae9c"/>
    <w:basedOn w:val="ec35f9be"/>
    <w:next w:val="0"/>
  </w:style>
  <w:style xmlns:r="http://schemas.openxmlformats.org/officeDocument/2006/relationships" w:type="paragraph" w:styleId="c440c398">
    <w:name w:val="toc 4c440c398c440c398"/>
    <w:basedOn w:val="ec35f9be"/>
    <w:next w:val="0"/>
    <w:pPr>
      <w:ind w:left="1260"/>
    </w:pPr>
  </w:style>
  <w:style xmlns:r="http://schemas.openxmlformats.org/officeDocument/2006/relationships" w:type="paragraph" w:styleId="ccdd54ae">
    <w:name w:val="toc 2ccdd54aeccdd54ae"/>
    <w:basedOn w:val="ec35f9be"/>
    <w:next w:val="0"/>
    <w:pPr>
      <w:ind w:left="420"/>
    </w:pPr>
  </w:style>
  <w:style xmlns:r="http://schemas.openxmlformats.org/officeDocument/2006/relationships" w:type="paragraph" w:customStyle="1" w:styleId="3c954686">
    <w:name w:val="列出段落13c9546863c954686"/>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