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6db9c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f6db9c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6db9c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6db9c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6db9c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6db9c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6db9c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6db9c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6db9c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6db9c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6db9c0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397829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397829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e4870ae"/>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南银理财珠联璧合鑫逸稳半年142期封闭式公募人民币理财产品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ZZ700322500484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Z7003225000311(投资者可依据该编码在中国理财网www.chinawealth.com.cn查询理财产品相关信息）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A份额：Y70142</w:t>
            </w:r>
          </w:p>
          <w:p>
            <w:pPr>
              <w:pStyle w:val="null10"/>
              <w:spacing w:lineRule="exact" w:line="200"/>
            </w:pPr>
            <w:r>
              <w:rPr>
                <w:rFonts w:ascii="方正黑体_GBK" w:hAnsi="方正黑体_GBK" w:cs="宋体" w:eastAsia="方正黑体_GBK"/>
                <w:sz w:val="18"/>
                <w:szCs w:val="18"/>
              </w:rPr>
              <w:t>B份额：Y71142</w:t>
            </w:r>
          </w:p>
          <w:p>
            <w:pPr>
              <w:pStyle w:val="null10"/>
              <w:spacing w:lineRule="exact" w:line="200"/>
            </w:pPr>
            <w:r>
              <w:rPr>
                <w:rFonts w:ascii="方正黑体_GBK" w:hAnsi="方正黑体_GBK" w:cs="宋体" w:eastAsia="方正黑体_GBK"/>
                <w:sz w:val="18"/>
                <w:szCs w:val="18"/>
              </w:rPr>
              <w:t>C份额：Y72142</w:t>
            </w:r>
          </w:p>
          <w:p>
            <w:pPr>
              <w:pStyle w:val="null10"/>
              <w:spacing w:lineRule="exact" w:line="200"/>
            </w:pPr>
            <w:r>
              <w:rPr>
                <w:rFonts w:ascii="方正黑体_GBK" w:hAnsi="方正黑体_GBK" w:cs="宋体" w:eastAsia="方正黑体_GBK"/>
                <w:sz w:val="18"/>
                <w:szCs w:val="18"/>
              </w:rPr>
              <w:t>D份额：Y73142</w:t>
            </w:r>
          </w:p>
          <w:p>
            <w:pPr>
              <w:pStyle w:val="null10"/>
              <w:spacing w:lineRule="exact" w:line="200"/>
            </w:pPr>
            <w:r>
              <w:rPr>
                <w:rFonts w:ascii="方正黑体_GBK" w:hAnsi="方正黑体_GBK" w:cs="宋体" w:eastAsia="方正黑体_GBK"/>
                <w:sz w:val="18"/>
                <w:szCs w:val="18"/>
              </w:rPr>
              <w:t>F份额：Y75142</w:t>
            </w:r>
          </w:p>
          <w:p>
            <w:pPr>
              <w:pStyle w:val="null10"/>
              <w:spacing w:lineRule="exact" w:line="200"/>
            </w:pPr>
            <w:r>
              <w:rPr>
                <w:rFonts w:ascii="方正黑体_GBK" w:hAnsi="方正黑体_GBK" w:cs="宋体" w:eastAsia="方正黑体_GBK"/>
                <w:sz w:val="18"/>
                <w:szCs w:val="18"/>
              </w:rPr>
              <w:t>G份额：Y76142</w:t>
            </w:r>
          </w:p>
          <w:p>
            <w:pPr>
              <w:pStyle w:val="null10"/>
              <w:spacing w:lineRule="exact" w:line="200"/>
            </w:pPr>
            <w:r>
              <w:rPr>
                <w:rFonts w:ascii="方正黑体_GBK" w:hAnsi="方正黑体_GBK" w:cs="宋体" w:eastAsia="方正黑体_GBK"/>
                <w:sz w:val="18"/>
                <w:szCs w:val="18"/>
              </w:rPr>
              <w:t>H份额：Y77142</w:t>
            </w:r>
          </w:p>
          <w:p>
            <w:pPr>
              <w:pStyle w:val="null10"/>
              <w:spacing w:lineRule="exact" w:line="200"/>
            </w:pPr>
            <w:r>
              <w:rPr>
                <w:rFonts w:ascii="方正黑体_GBK" w:hAnsi="方正黑体_GBK" w:cs="宋体" w:eastAsia="方正黑体_GBK"/>
                <w:sz w:val="18"/>
                <w:szCs w:val="18"/>
              </w:rPr>
              <w:t>J份额：Y79142</w:t>
            </w:r>
          </w:p>
          <w:p>
            <w:pPr>
              <w:pStyle w:val="null10"/>
              <w:spacing w:lineRule="exact" w:line="200"/>
            </w:pPr>
            <w:r>
              <w:rPr>
                <w:rFonts w:ascii="方正黑体_GBK" w:hAnsi="方正黑体_GBK" w:cs="宋体" w:eastAsia="方正黑体_GBK"/>
                <w:sz w:val="18"/>
                <w:szCs w:val="18"/>
              </w:rPr>
              <w:t>L份额：YB70142</w:t>
            </w:r>
          </w:p>
          <w:p>
            <w:pPr>
              <w:pStyle w:val="null10"/>
              <w:spacing w:lineRule="exact" w:line="200"/>
            </w:pPr>
            <w:r>
              <w:rPr>
                <w:rFonts w:ascii="方正黑体_GBK" w:hAnsi="方正黑体_GBK" w:cs="宋体" w:eastAsia="方正黑体_GBK"/>
                <w:sz w:val="18"/>
                <w:szCs w:val="18"/>
              </w:rPr>
              <w:t>M份额：YC70142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A份额：除B、C、D、F、G、H、J、L、M份额以外的所有客户（详见“销售机构”条款）。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代发客户)、中原银行股份有限公司(县域客群专属)、桂林银行股份有限公司(常规客户)、宁波通商银行股份有限公司(零售客群)、石嘴山银行股份有限公司( 分行特供)、江苏淮安农村商业银行股份有限公司( 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 指定客户)、江苏仪征农村商业银行股份有限公司(20万元起购 )。</w:t>
            </w:r>
          </w:p>
          <w:p>
            <w:pPr>
              <w:pStyle w:val="null10"/>
              <w:spacing w:lineRule="exact" w:line="200"/>
            </w:pPr>
            <w:r>
              <w:rPr>
                <w:rFonts w:ascii="方正黑体_GBK" w:hAnsi="方正黑体_GBK" w:cs="宋体" w:eastAsia="方正黑体_GBK"/>
                <w:sz w:val="18"/>
                <w:szCs w:val="18"/>
              </w:rPr>
              <w:t>C份额：徽商银行股份有限公司(特定分行专享)、杭州银行股份有限公司(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日照银行股份有限公司、泰安银行股份有限公司、台州银行股份有限公司( 新客专享)、天津农村商业银行股份有限公司(军人客户)、山西银行股份有限公司(10万元起购)、云南红塔银行股份有限公司( 财富客户)、兰州银行股份有限公司、桂林银行股份有限公司( 特供客户)、宁波通商银行股份有限公司( 专项客群)、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沛县农村商业银行股份有限公司(指定客户)、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私行客群)、云南红塔银行股份有限公司( 分行特供)、江苏兴化农村商业银行股份有限公司。</w:t>
            </w:r>
          </w:p>
          <w:p>
            <w:pPr>
              <w:pStyle w:val="null10"/>
              <w:spacing w:lineRule="exact" w:line="200"/>
            </w:pPr>
            <w:r>
              <w:rPr>
                <w:rFonts w:ascii="方正黑体_GBK" w:hAnsi="方正黑体_GBK" w:cs="宋体" w:eastAsia="方正黑体_GBK"/>
                <w:sz w:val="18"/>
                <w:szCs w:val="18"/>
              </w:rPr>
              <w:t>M份额：徽商银行股份有限公司（蚌埠分行客户专属）。</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2025年09月10日 09:00—2025年09月16日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2025年09月17日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2025年09月17日—实际到期日（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2026年04月01日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A份额：业绩比较基准为2.28%(年化)。</w:t>
            </w:r>
          </w:p>
          <w:p>
            <w:pPr>
              <w:pStyle w:val="null10"/>
              <w:spacing w:lineRule="exact" w:line="200"/>
            </w:pPr>
            <w:r>
              <w:rPr>
                <w:rFonts w:ascii="方正黑体_GBK" w:hAnsi="方正黑体_GBK" w:cs="宋体" w:eastAsia="方正黑体_GBK"/>
                <w:sz w:val="18"/>
                <w:szCs w:val="18"/>
              </w:rPr>
              <w:t>B份额：业绩比较基准为2.38%(年化)。</w:t>
            </w:r>
          </w:p>
          <w:p>
            <w:pPr>
              <w:pStyle w:val="null10"/>
              <w:spacing w:lineRule="exact" w:line="200"/>
            </w:pPr>
            <w:r>
              <w:rPr>
                <w:rFonts w:ascii="方正黑体_GBK" w:hAnsi="方正黑体_GBK" w:cs="宋体" w:eastAsia="方正黑体_GBK"/>
                <w:sz w:val="18"/>
                <w:szCs w:val="18"/>
              </w:rPr>
              <w:t>C份额：业绩比较基准为2.48%(年化)。</w:t>
            </w:r>
          </w:p>
          <w:p>
            <w:pPr>
              <w:pStyle w:val="null10"/>
              <w:spacing w:lineRule="exact" w:line="200"/>
            </w:pPr>
            <w:r>
              <w:rPr>
                <w:rFonts w:ascii="方正黑体_GBK" w:hAnsi="方正黑体_GBK" w:cs="宋体" w:eastAsia="方正黑体_GBK"/>
                <w:sz w:val="18"/>
                <w:szCs w:val="18"/>
              </w:rPr>
              <w:t>D份额：业绩比较基准为2.58%(年化)。</w:t>
            </w:r>
          </w:p>
          <w:p>
            <w:pPr>
              <w:pStyle w:val="null10"/>
              <w:spacing w:lineRule="exact" w:line="200"/>
            </w:pPr>
            <w:r>
              <w:rPr>
                <w:rFonts w:ascii="方正黑体_GBK" w:hAnsi="方正黑体_GBK" w:cs="宋体" w:eastAsia="方正黑体_GBK"/>
                <w:sz w:val="18"/>
                <w:szCs w:val="18"/>
              </w:rPr>
              <w:t>F份额：业绩比较基准为2.33%(年化)。</w:t>
            </w:r>
          </w:p>
          <w:p>
            <w:pPr>
              <w:pStyle w:val="null10"/>
              <w:spacing w:lineRule="exact" w:line="200"/>
            </w:pPr>
            <w:r>
              <w:rPr>
                <w:rFonts w:ascii="方正黑体_GBK" w:hAnsi="方正黑体_GBK" w:cs="宋体" w:eastAsia="方正黑体_GBK"/>
                <w:sz w:val="18"/>
                <w:szCs w:val="18"/>
              </w:rPr>
              <w:t>G份额：业绩比较基准为2.38%(年化)。</w:t>
            </w:r>
          </w:p>
          <w:p>
            <w:pPr>
              <w:pStyle w:val="null10"/>
              <w:spacing w:lineRule="exact" w:line="200"/>
            </w:pPr>
            <w:r>
              <w:rPr>
                <w:rFonts w:ascii="方正黑体_GBK" w:hAnsi="方正黑体_GBK" w:cs="宋体" w:eastAsia="方正黑体_GBK"/>
                <w:sz w:val="18"/>
                <w:szCs w:val="18"/>
              </w:rPr>
              <w:t>H份额：业绩比较基准为2.38%(年化)。</w:t>
            </w:r>
          </w:p>
          <w:p>
            <w:pPr>
              <w:pStyle w:val="null10"/>
              <w:spacing w:lineRule="exact" w:line="200"/>
            </w:pPr>
            <w:r>
              <w:rPr>
                <w:rFonts w:ascii="方正黑体_GBK" w:hAnsi="方正黑体_GBK" w:cs="宋体" w:eastAsia="方正黑体_GBK"/>
                <w:sz w:val="18"/>
                <w:szCs w:val="18"/>
              </w:rPr>
              <w:t>J份额：业绩比较基准为2.28%(年化)。</w:t>
            </w:r>
          </w:p>
          <w:p>
            <w:pPr>
              <w:pStyle w:val="null10"/>
              <w:spacing w:lineRule="exact" w:line="200"/>
            </w:pPr>
            <w:r>
              <w:rPr>
                <w:rFonts w:ascii="方正黑体_GBK" w:hAnsi="方正黑体_GBK" w:cs="宋体" w:eastAsia="方正黑体_GBK"/>
                <w:sz w:val="18"/>
                <w:szCs w:val="18"/>
              </w:rPr>
              <w:t>L份额：业绩比较基准为2.53%(年化)。</w:t>
            </w:r>
          </w:p>
          <w:p>
            <w:pPr>
              <w:pStyle w:val="null10"/>
              <w:spacing w:lineRule="exact" w:line="200"/>
            </w:pPr>
            <w:r>
              <w:rPr>
                <w:rFonts w:ascii="方正黑体_GBK" w:hAnsi="方正黑体_GBK" w:cs="宋体" w:eastAsia="方正黑体_GBK"/>
                <w:sz w:val="18"/>
                <w:szCs w:val="18"/>
              </w:rPr>
              <w:t>M份额：业绩比较基准为2.43%(年化)。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M份额：固定管理费年化0.08%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F份额：到期兑付时，当期产品投资的实际资产组合收益（扣除销售费、固定管理费、托管费等相关费用）超过2.33%（年化，即产品该份额对应的业绩报酬计提基准）时，超过部分管理人将按60%收取业绩报酬。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397829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bc9f2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bc9f2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bc9f22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bc9f22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bc9f22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bc9f22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bc9f22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bc9f22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南银理财珠联璧合鑫逸稳半年142期封闭式公募人民币理财产品</w:t>
      </w:r>
      <w:r>
        <w:rPr>
          <w:rFonts w:ascii="方正黑体_GBK" w:eastAsia="方正黑体_GBK" w:hint="eastAsia" w:hAnsi="方正黑体_GBK"/>
          <w:vanish w:val="0"/>
          <w:color w:val="3D3D3D"/>
          <w:kern w:val="0"/>
          <w:sz w:val="15"/>
          <w:szCs w:val="15"/>
        </w:rPr>
        <w:t>。</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bc9f22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bc9f2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bc9f22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bc9f22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baf9f9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baf9f9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baf9f9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baf9f9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baf9f9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baf9f9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bc9f22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bc9f22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bc9f22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baf9f9f"/>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397829c"/>
        <w:keepNext w:val="0"/>
        <w:keepLines w:val="0"/>
        <w:pageBreakBefore w:val="0"/>
        <w:widowControl/>
        <w:suppressLineNumbers w:val="0"/>
        <w:suppressAutoHyphens w:val="0"/>
        <w:spacing w:line="200" w:lineRule="exact"/>
        <w:ind w:firstLineChars="200" w:firstLine="300"/>
        <w:rPr>
          <w:rStyle w:val="6baf9f9f"/>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397829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397829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f397829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f397829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f397829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f397829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f397829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f397829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f397829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f397829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f397829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f397829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397829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397829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397829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397829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6db9c0a">
    <w:name w:val="Normalf6db9c0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59d45cf">
    <w:name w:val="heading 1859d45cf"/>
    <w:basedOn w:val="f6db9c0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1040ec1">
    <w:name w:val="heading 2f1040ec1"/>
    <w:basedOn w:val="f6db9c0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1cd9317">
    <w:name w:val="heading 351cd9317"/>
    <w:basedOn w:val="f6db9c0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161bae5">
    <w:name w:val="Default Paragraph Fontb161bae5"/>
  </w:style>
  <w:style xmlns:r="http://schemas.openxmlformats.org/officeDocument/2006/relationships" w:type="paragraph" w:styleId="612a3a31">
    <w:name w:val="toc 1612a3a31"/>
    <w:basedOn w:val="f6db9c0a"/>
    <w:autoRedefine/>
    <w:next w:val="0"/>
  </w:style>
  <w:style xmlns:r="http://schemas.openxmlformats.org/officeDocument/2006/relationships" w:type="paragraph" w:styleId="6987ddb4">
    <w:name w:val="toc 26987ddb4"/>
    <w:basedOn w:val="f6db9c0a"/>
    <w:autoRedefine/>
    <w:next w:val="0"/>
    <w:pPr>
      <w:ind w:left="420"/>
    </w:pPr>
  </w:style>
  <w:style xmlns:r="http://schemas.openxmlformats.org/officeDocument/2006/relationships" w:type="paragraph" w:styleId="f36f840f">
    <w:name w:val="toc 3f36f840f"/>
    <w:basedOn w:val="f6db9c0a"/>
    <w:autoRedefine/>
    <w:next w:val="0"/>
    <w:pPr>
      <w:ind w:left="840"/>
    </w:pPr>
  </w:style>
  <w:style xmlns:r="http://schemas.openxmlformats.org/officeDocument/2006/relationships" w:type="paragraph" w:styleId="21b518d9">
    <w:name w:val="toc 421b518d9"/>
    <w:basedOn w:val="f6db9c0a"/>
    <w:autoRedefine/>
    <w:next w:val="0"/>
    <w:pPr>
      <w:ind w:left="1260"/>
    </w:pPr>
  </w:style>
  <w:style xmlns:r="http://schemas.openxmlformats.org/officeDocument/2006/relationships" w:type="paragraph" w:styleId="e445a366">
    <w:name w:val="toc 5e445a366"/>
    <w:basedOn w:val="f6db9c0a"/>
    <w:autoRedefine/>
    <w:next w:val="0"/>
    <w:pPr>
      <w:ind w:left="1680"/>
    </w:pPr>
  </w:style>
  <w:style xmlns:r="http://schemas.openxmlformats.org/officeDocument/2006/relationships" w:type="paragraph" w:styleId="775245d9">
    <w:name w:val="header775245d9"/>
    <w:basedOn w:val="f6db9c0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d103739">
    <w:name w:val="footerfd103739"/>
    <w:basedOn w:val="f6db9c0a"/>
    <w:pPr>
      <w:tabs>
        <w:tab w:val="center" w:pos="4153"/>
        <w:tab w:val="right" w:pos="8307"/>
      </w:tabs>
      <w:adjustRightInd/>
      <w:snapToGrid w:val="0"/>
      <w:contextualSpacing w:val="0"/>
      <w:jc w:val="left"/>
    </w:pPr>
    <w:rPr>
      <w:sz w:val="18"/>
    </w:rPr>
  </w:style>
  <w:style xmlns:r="http://schemas.openxmlformats.org/officeDocument/2006/relationships" w:type="character" w:styleId="652c712b">
    <w:name w:val="Strong652c712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397829c">
    <w:name w:val="Normalf397829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8f20017">
    <w:name w:val="heading 148f20017"/>
    <w:basedOn w:val="f397829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52d3008">
    <w:name w:val="heading 2f52d3008"/>
    <w:basedOn w:val="f397829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cc3afd0">
    <w:name w:val="heading 32cc3afd0"/>
    <w:basedOn w:val="f397829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5ce1400">
    <w:name w:val="Default Paragraph Font35ce1400"/>
  </w:style>
  <w:style xmlns:r="http://schemas.openxmlformats.org/officeDocument/2006/relationships" w:type="paragraph" w:styleId="e065c08b">
    <w:name w:val="Normal Indente065c08b"/>
    <w:basedOn w:val="f397829c"/>
    <w:pPr>
      <w:ind w:firstLineChars="200" w:firstLine="200"/>
    </w:pPr>
  </w:style>
  <w:style xmlns:r="http://schemas.openxmlformats.org/officeDocument/2006/relationships" w:type="paragraph" w:styleId="903dbb00">
    <w:name w:val="toc 5903dbb00"/>
    <w:basedOn w:val="f397829c"/>
    <w:next w:val="0"/>
    <w:pPr>
      <w:ind w:left="1680"/>
    </w:pPr>
  </w:style>
  <w:style xmlns:r="http://schemas.openxmlformats.org/officeDocument/2006/relationships" w:type="paragraph" w:styleId="976815e2">
    <w:name w:val="toc 3976815e2"/>
    <w:basedOn w:val="f397829c"/>
    <w:next w:val="0"/>
    <w:pPr>
      <w:ind w:left="840"/>
    </w:pPr>
  </w:style>
  <w:style xmlns:r="http://schemas.openxmlformats.org/officeDocument/2006/relationships" w:type="paragraph" w:styleId="d1043934">
    <w:name w:val="footerd1043934"/>
    <w:basedOn w:val="f397829c"/>
    <w:pPr>
      <w:tabs>
        <w:tab w:val="center" w:pos="4153"/>
        <w:tab w:val="right" w:pos="8307"/>
      </w:tabs>
      <w:adjustRightInd/>
      <w:snapToGrid w:val="0"/>
      <w:contextualSpacing w:val="0"/>
      <w:jc w:val="left"/>
    </w:pPr>
    <w:rPr>
      <w:sz w:val="18"/>
    </w:rPr>
  </w:style>
  <w:style xmlns:r="http://schemas.openxmlformats.org/officeDocument/2006/relationships" w:type="paragraph" w:styleId="455222a0">
    <w:name w:val="header455222a0"/>
    <w:basedOn w:val="f397829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510e95f">
    <w:name w:val="toc 1a510e95f"/>
    <w:basedOn w:val="f397829c"/>
    <w:next w:val="0"/>
  </w:style>
  <w:style xmlns:r="http://schemas.openxmlformats.org/officeDocument/2006/relationships" w:type="paragraph" w:styleId="46816dcc">
    <w:name w:val="toc 446816dcc"/>
    <w:basedOn w:val="f397829c"/>
    <w:next w:val="0"/>
    <w:pPr>
      <w:ind w:left="1260"/>
    </w:pPr>
  </w:style>
  <w:style xmlns:r="http://schemas.openxmlformats.org/officeDocument/2006/relationships" w:type="paragraph" w:styleId="e72999b6">
    <w:name w:val="toc 2e72999b6"/>
    <w:basedOn w:val="f397829c"/>
    <w:next w:val="0"/>
    <w:pPr>
      <w:ind w:left="420"/>
    </w:pPr>
  </w:style>
  <w:style xmlns:r="http://schemas.openxmlformats.org/officeDocument/2006/relationships" w:type="paragraph" w:styleId="6e4870ae">
    <w:name w:val="Normal (Web)6e4870ae"/>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bc9f223">
    <w:name w:val="Normal3bc9f2233bc9f2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4b6ec8e">
    <w:name w:val="heading 114b6ec8e14b6ec8e"/>
    <w:basedOn w:val="3bc9f22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36e164d">
    <w:name w:val="heading 2636e164d636e164d"/>
    <w:basedOn w:val="3bc9f22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fde8ff4">
    <w:name w:val="heading 3cfde8ff4cfde8ff4"/>
    <w:basedOn w:val="3bc9f22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4ddb0ae">
    <w:name w:val="Default Paragraph Fonta4ddb0aea4ddb0ae"/>
  </w:style>
  <w:style xmlns:r="http://schemas.openxmlformats.org/officeDocument/2006/relationships" w:type="paragraph" w:customStyle="1" w:styleId="61105436">
    <w:name w:val="引文目录16110543661105436"/>
    <w:basedOn w:val="3bc9f223"/>
    <w:next w:val="0"/>
    <w:pPr>
      <w:ind w:leftChars="200" w:left="200"/>
    </w:pPr>
  </w:style>
  <w:style xmlns:r="http://schemas.openxmlformats.org/officeDocument/2006/relationships" w:type="paragraph" w:styleId="3199a998">
    <w:name w:val="toc 53199a9983199a998"/>
    <w:basedOn w:val="3bc9f223"/>
    <w:next w:val="0"/>
    <w:pPr>
      <w:ind w:left="1680"/>
    </w:pPr>
  </w:style>
  <w:style xmlns:r="http://schemas.openxmlformats.org/officeDocument/2006/relationships" w:type="paragraph" w:styleId="f3f5ada3">
    <w:name w:val="toc 3f3f5ada3f3f5ada3"/>
    <w:basedOn w:val="3bc9f223"/>
    <w:next w:val="0"/>
    <w:pPr>
      <w:ind w:left="840"/>
    </w:pPr>
  </w:style>
  <w:style xmlns:r="http://schemas.openxmlformats.org/officeDocument/2006/relationships" w:type="paragraph" w:styleId="5923ba59">
    <w:name w:val="footer5923ba595923ba59"/>
    <w:basedOn w:val="3bc9f223"/>
    <w:pPr>
      <w:tabs>
        <w:tab w:val="center" w:pos="4153"/>
        <w:tab w:val="right" w:pos="8307"/>
      </w:tabs>
      <w:adjustRightInd/>
      <w:snapToGrid w:val="0"/>
      <w:contextualSpacing w:val="0"/>
      <w:jc w:val="left"/>
    </w:pPr>
    <w:rPr>
      <w:sz w:val="18"/>
    </w:rPr>
  </w:style>
  <w:style xmlns:r="http://schemas.openxmlformats.org/officeDocument/2006/relationships" w:type="paragraph" w:styleId="22235215">
    <w:name w:val="header2223521522235215"/>
    <w:basedOn w:val="3bc9f22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48c280c">
    <w:name w:val="toc 1748c280c748c280c"/>
    <w:basedOn w:val="3bc9f223"/>
    <w:next w:val="0"/>
  </w:style>
  <w:style xmlns:r="http://schemas.openxmlformats.org/officeDocument/2006/relationships" w:type="paragraph" w:styleId="229509ff">
    <w:name w:val="toc 4229509ff229509ff"/>
    <w:basedOn w:val="3bc9f223"/>
    <w:next w:val="0"/>
    <w:pPr>
      <w:ind w:left="1260"/>
    </w:pPr>
  </w:style>
  <w:style xmlns:r="http://schemas.openxmlformats.org/officeDocument/2006/relationships" w:type="paragraph" w:styleId="f3b2df21">
    <w:name w:val="toc 2f3b2df21f3b2df21"/>
    <w:basedOn w:val="3bc9f223"/>
    <w:next w:val="0"/>
    <w:pPr>
      <w:ind w:left="420"/>
    </w:pPr>
  </w:style>
  <w:style xmlns:r="http://schemas.openxmlformats.org/officeDocument/2006/relationships" w:type="paragraph" w:customStyle="1" w:styleId="6baf9f9f">
    <w:name w:val="列出段落16baf9f9f6baf9f9f"/>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