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2AE6B">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113116DC">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4372DE20">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688473E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156A35C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47DEFA7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南银理财珠联璧合安稳1907一年定开公募人民币理财产品</w:t>
            </w:r>
          </w:p>
        </w:tc>
      </w:tr>
      <w:tr w14:paraId="0E40549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44C3A66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7C4F99D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定期开放式、固定收益类、公募、净值型</w:t>
            </w:r>
          </w:p>
        </w:tc>
      </w:tr>
      <w:tr w14:paraId="35D10F7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2697A37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6FF9A81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2645032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3070B28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1D41A45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ZC108691944611</w:t>
            </w:r>
          </w:p>
        </w:tc>
      </w:tr>
      <w:tr w14:paraId="7219BF8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25C003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31C1CA6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Z7003221000024(投资者可依据该编码在中国理财网www.chinawealth.com.cn查询理财产品相关信息）</w:t>
            </w:r>
          </w:p>
        </w:tc>
      </w:tr>
      <w:tr w14:paraId="1A5E080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48A671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238D18B2">
            <w:pPr>
              <w:spacing w:line="200" w:lineRule="exact"/>
            </w:pPr>
            <w:r>
              <w:rPr>
                <w:rFonts w:ascii="方正黑体_GBK" w:hAnsi="方正黑体_GBK" w:eastAsia="方正黑体_GBK" w:cs="宋体"/>
                <w:sz w:val="18"/>
                <w:szCs w:val="18"/>
              </w:rPr>
              <w:t>A份额：Z30003</w:t>
            </w:r>
          </w:p>
          <w:p w14:paraId="41FAD599">
            <w:pPr>
              <w:spacing w:line="200" w:lineRule="exact"/>
            </w:pPr>
            <w:r>
              <w:rPr>
                <w:rFonts w:ascii="方正黑体_GBK" w:hAnsi="方正黑体_GBK" w:eastAsia="方正黑体_GBK" w:cs="宋体"/>
                <w:sz w:val="18"/>
                <w:szCs w:val="18"/>
              </w:rPr>
              <w:t>B份额：ZB30003</w:t>
            </w:r>
          </w:p>
          <w:p w14:paraId="21E1BCD8">
            <w:pPr>
              <w:spacing w:line="200" w:lineRule="exact"/>
            </w:pPr>
            <w:r>
              <w:rPr>
                <w:rFonts w:ascii="方正黑体_GBK" w:hAnsi="方正黑体_GBK" w:eastAsia="方正黑体_GBK" w:cs="宋体"/>
                <w:sz w:val="18"/>
                <w:szCs w:val="18"/>
              </w:rPr>
              <w:t>C份额：ZC30003</w:t>
            </w:r>
          </w:p>
          <w:p w14:paraId="1CAECC62">
            <w:pPr>
              <w:spacing w:line="200" w:lineRule="exact"/>
            </w:pPr>
            <w:r>
              <w:rPr>
                <w:rFonts w:ascii="方正黑体_GBK" w:hAnsi="方正黑体_GBK" w:eastAsia="方正黑体_GBK" w:cs="宋体"/>
                <w:sz w:val="18"/>
                <w:szCs w:val="18"/>
              </w:rPr>
              <w:t>D份额：ZD30003</w:t>
            </w:r>
          </w:p>
          <w:p w14:paraId="384C178F">
            <w:pPr>
              <w:spacing w:line="200" w:lineRule="exact"/>
            </w:pPr>
            <w:r>
              <w:rPr>
                <w:rFonts w:ascii="方正黑体_GBK" w:hAnsi="方正黑体_GBK" w:eastAsia="方正黑体_GBK" w:cs="宋体"/>
                <w:sz w:val="18"/>
                <w:szCs w:val="18"/>
              </w:rPr>
              <w:t>E份额：ZE30003</w:t>
            </w:r>
          </w:p>
          <w:p w14:paraId="0DE53B44">
            <w:pPr>
              <w:spacing w:line="200" w:lineRule="exact"/>
            </w:pPr>
            <w:r>
              <w:rPr>
                <w:rFonts w:ascii="方正黑体_GBK" w:hAnsi="方正黑体_GBK" w:eastAsia="方正黑体_GBK" w:cs="宋体"/>
                <w:sz w:val="18"/>
                <w:szCs w:val="18"/>
              </w:rPr>
              <w:t>F份额：ZF30003</w:t>
            </w:r>
          </w:p>
          <w:p w14:paraId="5B71CDA7">
            <w:pPr>
              <w:spacing w:line="200" w:lineRule="exact"/>
            </w:pPr>
            <w:r>
              <w:rPr>
                <w:rFonts w:ascii="方正黑体_GBK" w:hAnsi="方正黑体_GBK" w:eastAsia="方正黑体_GBK" w:cs="宋体"/>
                <w:sz w:val="18"/>
                <w:szCs w:val="18"/>
              </w:rPr>
              <w:t>G份额：ZG30003</w:t>
            </w:r>
          </w:p>
          <w:p w14:paraId="4C4ACBF3">
            <w:pPr>
              <w:spacing w:line="200" w:lineRule="exact"/>
            </w:pPr>
            <w:r>
              <w:rPr>
                <w:rFonts w:ascii="方正黑体_GBK" w:hAnsi="方正黑体_GBK" w:eastAsia="方正黑体_GBK" w:cs="宋体"/>
                <w:sz w:val="18"/>
                <w:szCs w:val="18"/>
              </w:rPr>
              <w:t>I份额：ZI30003</w:t>
            </w:r>
          </w:p>
          <w:p w14:paraId="6249E3E3">
            <w:pPr>
              <w:spacing w:line="200" w:lineRule="exact"/>
            </w:pPr>
            <w:r>
              <w:rPr>
                <w:rFonts w:ascii="方正黑体_GBK" w:hAnsi="方正黑体_GBK" w:eastAsia="方正黑体_GBK" w:cs="宋体"/>
                <w:sz w:val="18"/>
                <w:szCs w:val="18"/>
              </w:rPr>
              <w:t>J份额：ZJ30003</w:t>
            </w:r>
          </w:p>
          <w:p w14:paraId="098EF788">
            <w:pPr>
              <w:spacing w:line="200" w:lineRule="exact"/>
            </w:pPr>
            <w:r>
              <w:rPr>
                <w:rFonts w:ascii="方正黑体_GBK" w:hAnsi="方正黑体_GBK" w:eastAsia="方正黑体_GBK" w:cs="宋体"/>
                <w:sz w:val="18"/>
                <w:szCs w:val="18"/>
              </w:rPr>
              <w:t>K份额：ZK30003</w:t>
            </w:r>
          </w:p>
          <w:p w14:paraId="61C99F5E">
            <w:pPr>
              <w:spacing w:line="200" w:lineRule="exact"/>
            </w:pPr>
            <w:r>
              <w:rPr>
                <w:rFonts w:ascii="方正黑体_GBK" w:hAnsi="方正黑体_GBK" w:eastAsia="方正黑体_GBK" w:cs="宋体"/>
                <w:sz w:val="18"/>
                <w:szCs w:val="18"/>
              </w:rPr>
              <w:t>M份额：ZM30003</w:t>
            </w:r>
          </w:p>
          <w:p w14:paraId="47FD5720">
            <w:pPr>
              <w:spacing w:line="200" w:lineRule="exact"/>
            </w:pPr>
            <w:r>
              <w:rPr>
                <w:rFonts w:ascii="方正黑体_GBK" w:hAnsi="方正黑体_GBK" w:eastAsia="方正黑体_GBK" w:cs="宋体"/>
                <w:sz w:val="18"/>
                <w:szCs w:val="18"/>
              </w:rPr>
              <w:t>N份额：ZN30003</w:t>
            </w:r>
          </w:p>
          <w:p w14:paraId="510F5A28">
            <w:pPr>
              <w:spacing w:line="200" w:lineRule="exact"/>
            </w:pPr>
            <w:r>
              <w:rPr>
                <w:rFonts w:ascii="方正黑体_GBK" w:hAnsi="方正黑体_GBK" w:eastAsia="方正黑体_GBK" w:cs="宋体"/>
                <w:sz w:val="18"/>
                <w:szCs w:val="18"/>
              </w:rPr>
              <w:t>O份额：ZO30003</w:t>
            </w:r>
          </w:p>
          <w:p w14:paraId="616353E7">
            <w:pPr>
              <w:spacing w:line="200" w:lineRule="exact"/>
            </w:pPr>
            <w:r>
              <w:rPr>
                <w:rFonts w:ascii="方正黑体_GBK" w:hAnsi="方正黑体_GBK" w:eastAsia="方正黑体_GBK" w:cs="宋体"/>
                <w:sz w:val="18"/>
                <w:szCs w:val="18"/>
              </w:rPr>
              <w:t>P份额：ZP30003</w:t>
            </w:r>
          </w:p>
          <w:p w14:paraId="089C7D5B">
            <w:pPr>
              <w:spacing w:line="200" w:lineRule="exact"/>
            </w:pPr>
            <w:r>
              <w:rPr>
                <w:rFonts w:ascii="方正黑体_GBK" w:hAnsi="方正黑体_GBK" w:eastAsia="方正黑体_GBK" w:cs="宋体"/>
                <w:sz w:val="18"/>
                <w:szCs w:val="18"/>
              </w:rPr>
              <w:t>A2份额：Z31003</w:t>
            </w:r>
          </w:p>
          <w:p w14:paraId="61350A12">
            <w:pPr>
              <w:spacing w:line="200" w:lineRule="exact"/>
            </w:pPr>
            <w:r>
              <w:rPr>
                <w:rFonts w:ascii="方正黑体_GBK" w:hAnsi="方正黑体_GBK" w:eastAsia="方正黑体_GBK" w:cs="宋体"/>
                <w:sz w:val="18"/>
                <w:szCs w:val="18"/>
              </w:rPr>
              <w:t>B2份额：ZB31003</w:t>
            </w:r>
          </w:p>
          <w:p w14:paraId="1D470CB8">
            <w:pPr>
              <w:spacing w:line="200" w:lineRule="exact"/>
            </w:pPr>
            <w:r>
              <w:rPr>
                <w:rFonts w:ascii="方正黑体_GBK" w:hAnsi="方正黑体_GBK" w:eastAsia="方正黑体_GBK" w:cs="宋体"/>
                <w:sz w:val="18"/>
                <w:szCs w:val="18"/>
              </w:rPr>
              <w:t>C2份额：ZC31003</w:t>
            </w:r>
          </w:p>
          <w:p w14:paraId="4E01060E">
            <w:pPr>
              <w:spacing w:line="200" w:lineRule="exact"/>
            </w:pPr>
            <w:r>
              <w:rPr>
                <w:rFonts w:ascii="方正黑体_GBK" w:hAnsi="方正黑体_GBK" w:eastAsia="方正黑体_GBK" w:cs="宋体"/>
                <w:sz w:val="18"/>
                <w:szCs w:val="18"/>
              </w:rPr>
              <w:t>D2份额：ZD31003</w:t>
            </w:r>
          </w:p>
          <w:p w14:paraId="73A6D566">
            <w:pPr>
              <w:spacing w:line="200" w:lineRule="exact"/>
            </w:pPr>
            <w:r>
              <w:rPr>
                <w:rFonts w:ascii="方正黑体_GBK" w:hAnsi="方正黑体_GBK" w:eastAsia="方正黑体_GBK" w:cs="宋体"/>
                <w:sz w:val="18"/>
                <w:szCs w:val="18"/>
              </w:rPr>
              <w:t>E2份额：ZE31003</w:t>
            </w:r>
          </w:p>
          <w:p w14:paraId="1D315A00">
            <w:pPr>
              <w:spacing w:line="200" w:lineRule="exact"/>
            </w:pPr>
            <w:r>
              <w:rPr>
                <w:rFonts w:ascii="方正黑体_GBK" w:hAnsi="方正黑体_GBK" w:eastAsia="方正黑体_GBK" w:cs="宋体"/>
                <w:sz w:val="18"/>
                <w:szCs w:val="18"/>
              </w:rPr>
              <w:t>A3份额：Z32003</w:t>
            </w:r>
          </w:p>
          <w:p w14:paraId="389A4515">
            <w:pPr>
              <w:spacing w:line="200" w:lineRule="exact"/>
            </w:pPr>
            <w:r>
              <w:rPr>
                <w:rFonts w:ascii="方正黑体_GBK" w:hAnsi="方正黑体_GBK" w:eastAsia="方正黑体_GBK" w:cs="宋体"/>
                <w:sz w:val="18"/>
                <w:szCs w:val="18"/>
              </w:rPr>
              <w:t>B3份额：ZB32003</w:t>
            </w:r>
          </w:p>
          <w:p w14:paraId="65943F1C">
            <w:pPr>
              <w:spacing w:line="200" w:lineRule="exact"/>
            </w:pPr>
            <w:r>
              <w:rPr>
                <w:rFonts w:ascii="方正黑体_GBK" w:hAnsi="方正黑体_GBK" w:eastAsia="方正黑体_GBK" w:cs="宋体"/>
                <w:sz w:val="18"/>
                <w:szCs w:val="18"/>
              </w:rPr>
              <w:t>C3份额：ZC32003</w:t>
            </w:r>
          </w:p>
          <w:p w14:paraId="4EBD9999">
            <w:pPr>
              <w:spacing w:line="200" w:lineRule="exact"/>
            </w:pPr>
            <w:r>
              <w:rPr>
                <w:rFonts w:ascii="方正黑体_GBK" w:hAnsi="方正黑体_GBK" w:eastAsia="方正黑体_GBK" w:cs="宋体"/>
                <w:sz w:val="18"/>
                <w:szCs w:val="18"/>
              </w:rPr>
              <w:t>D3份额：ZD32003</w:t>
            </w:r>
          </w:p>
          <w:p w14:paraId="6DDED281">
            <w:pPr>
              <w:spacing w:line="200" w:lineRule="exact"/>
            </w:pPr>
            <w:r>
              <w:rPr>
                <w:rFonts w:ascii="方正黑体_GBK" w:hAnsi="方正黑体_GBK" w:eastAsia="方正黑体_GBK" w:cs="宋体"/>
                <w:sz w:val="18"/>
                <w:szCs w:val="18"/>
              </w:rPr>
              <w:t>E3份额：ZE32003</w:t>
            </w:r>
          </w:p>
          <w:p w14:paraId="1490EC65">
            <w:pPr>
              <w:spacing w:line="200" w:lineRule="exact"/>
            </w:pPr>
            <w:r>
              <w:rPr>
                <w:rFonts w:ascii="方正黑体_GBK" w:hAnsi="方正黑体_GBK" w:eastAsia="方正黑体_GBK" w:cs="宋体"/>
                <w:sz w:val="18"/>
                <w:szCs w:val="18"/>
              </w:rPr>
              <w:t>A4份额：Z33003</w:t>
            </w:r>
          </w:p>
          <w:p w14:paraId="5E536A96">
            <w:pPr>
              <w:spacing w:line="200" w:lineRule="exact"/>
            </w:pPr>
            <w:r>
              <w:rPr>
                <w:rFonts w:ascii="方正黑体_GBK" w:hAnsi="方正黑体_GBK" w:eastAsia="方正黑体_GBK" w:cs="宋体"/>
                <w:sz w:val="18"/>
                <w:szCs w:val="18"/>
              </w:rPr>
              <w:t>B4份额：ZB33003</w:t>
            </w:r>
          </w:p>
          <w:p w14:paraId="2E1D4C86">
            <w:pPr>
              <w:spacing w:line="200" w:lineRule="exact"/>
            </w:pPr>
            <w:r>
              <w:rPr>
                <w:rFonts w:ascii="方正黑体_GBK" w:hAnsi="方正黑体_GBK" w:eastAsia="方正黑体_GBK" w:cs="宋体"/>
                <w:sz w:val="18"/>
                <w:szCs w:val="18"/>
              </w:rPr>
              <w:t>C4份额：ZC33003</w:t>
            </w:r>
          </w:p>
          <w:p w14:paraId="2F2F49A0">
            <w:pPr>
              <w:spacing w:line="200" w:lineRule="exact"/>
            </w:pPr>
            <w:r>
              <w:rPr>
                <w:rFonts w:ascii="方正黑体_GBK" w:hAnsi="方正黑体_GBK" w:eastAsia="方正黑体_GBK" w:cs="宋体"/>
                <w:sz w:val="18"/>
                <w:szCs w:val="18"/>
              </w:rPr>
              <w:t>D4份额：ZD33003</w:t>
            </w:r>
          </w:p>
          <w:p w14:paraId="4E4C021B">
            <w:pPr>
              <w:spacing w:line="200" w:lineRule="exact"/>
            </w:pPr>
            <w:r>
              <w:rPr>
                <w:rFonts w:ascii="方正黑体_GBK" w:hAnsi="方正黑体_GBK" w:eastAsia="方正黑体_GBK" w:cs="宋体"/>
                <w:sz w:val="18"/>
                <w:szCs w:val="18"/>
              </w:rPr>
              <w:t>E4份额：ZE33003</w:t>
            </w:r>
          </w:p>
          <w:p w14:paraId="4181C22B">
            <w:pPr>
              <w:spacing w:line="200" w:lineRule="exact"/>
            </w:pPr>
            <w:r>
              <w:rPr>
                <w:rFonts w:ascii="方正黑体_GBK" w:hAnsi="方正黑体_GBK" w:eastAsia="方正黑体_GBK" w:cs="宋体"/>
                <w:sz w:val="18"/>
                <w:szCs w:val="18"/>
              </w:rPr>
              <w:t>F2份额：ZF31003</w:t>
            </w:r>
          </w:p>
          <w:p w14:paraId="6DF187C9">
            <w:pPr>
              <w:spacing w:line="200" w:lineRule="exact"/>
            </w:pPr>
            <w:r>
              <w:rPr>
                <w:rFonts w:ascii="方正黑体_GBK" w:hAnsi="方正黑体_GBK" w:eastAsia="方正黑体_GBK" w:cs="宋体"/>
                <w:sz w:val="18"/>
                <w:szCs w:val="18"/>
              </w:rPr>
              <w:t>F3份额：ZF32003</w:t>
            </w:r>
          </w:p>
          <w:p w14:paraId="6BA03D7F">
            <w:pPr>
              <w:spacing w:line="200" w:lineRule="exact"/>
            </w:pPr>
            <w:r>
              <w:rPr>
                <w:rFonts w:ascii="方正黑体_GBK" w:hAnsi="方正黑体_GBK" w:eastAsia="方正黑体_GBK" w:cs="宋体"/>
                <w:sz w:val="18"/>
                <w:szCs w:val="18"/>
              </w:rPr>
              <w:t>G2份额：ZG31003</w:t>
            </w:r>
          </w:p>
          <w:p w14:paraId="3D9C22BD">
            <w:pPr>
              <w:spacing w:line="200" w:lineRule="exact"/>
            </w:pPr>
            <w:r>
              <w:rPr>
                <w:rFonts w:ascii="方正黑体_GBK" w:hAnsi="方正黑体_GBK" w:eastAsia="方正黑体_GBK" w:cs="宋体"/>
                <w:sz w:val="18"/>
                <w:szCs w:val="18"/>
              </w:rPr>
              <w:t>G3份额：ZG32003</w:t>
            </w:r>
          </w:p>
          <w:p w14:paraId="6B2246E4">
            <w:pPr>
              <w:spacing w:line="200" w:lineRule="exact"/>
            </w:pPr>
            <w:r>
              <w:rPr>
                <w:rFonts w:ascii="方正黑体_GBK" w:hAnsi="方正黑体_GBK" w:eastAsia="方正黑体_GBK" w:cs="宋体"/>
                <w:sz w:val="18"/>
                <w:szCs w:val="18"/>
              </w:rPr>
              <w:t>F4份额：ZF33003</w:t>
            </w:r>
          </w:p>
          <w:p w14:paraId="71F714DC">
            <w:pPr>
              <w:spacing w:line="200" w:lineRule="exact"/>
            </w:pPr>
            <w:r>
              <w:rPr>
                <w:rFonts w:ascii="方正黑体_GBK" w:hAnsi="方正黑体_GBK" w:eastAsia="方正黑体_GBK" w:cs="宋体"/>
                <w:sz w:val="18"/>
                <w:szCs w:val="18"/>
              </w:rPr>
              <w:t>G4份额：ZG33003</w:t>
            </w:r>
          </w:p>
          <w:p w14:paraId="03255AB4">
            <w:pPr>
              <w:spacing w:line="200" w:lineRule="exact"/>
            </w:pPr>
            <w:r>
              <w:rPr>
                <w:rFonts w:ascii="方正黑体_GBK" w:hAnsi="方正黑体_GBK" w:eastAsia="方正黑体_GBK" w:cs="宋体"/>
                <w:sz w:val="18"/>
                <w:szCs w:val="18"/>
              </w:rPr>
              <w:t>H2份额：ZH31003</w:t>
            </w:r>
          </w:p>
          <w:p w14:paraId="638C09E5">
            <w:pPr>
              <w:spacing w:line="200" w:lineRule="exact"/>
            </w:pPr>
            <w:r>
              <w:rPr>
                <w:rFonts w:ascii="方正黑体_GBK" w:hAnsi="方正黑体_GBK" w:eastAsia="方正黑体_GBK" w:cs="宋体"/>
                <w:sz w:val="18"/>
                <w:szCs w:val="18"/>
              </w:rPr>
              <w:t>J2份额：ZJ31003</w:t>
            </w:r>
          </w:p>
          <w:p w14:paraId="23AC97C3">
            <w:pPr>
              <w:spacing w:line="200" w:lineRule="exact"/>
            </w:pPr>
            <w:r>
              <w:rPr>
                <w:rFonts w:ascii="方正黑体_GBK" w:hAnsi="方正黑体_GBK" w:eastAsia="方正黑体_GBK" w:cs="宋体"/>
                <w:sz w:val="18"/>
                <w:szCs w:val="18"/>
              </w:rPr>
              <w:t>K2份额：ZK31003</w:t>
            </w:r>
          </w:p>
          <w:p w14:paraId="2AD3555D">
            <w:pPr>
              <w:spacing w:line="200" w:lineRule="exact"/>
            </w:pPr>
            <w:r>
              <w:rPr>
                <w:rFonts w:ascii="方正黑体_GBK" w:hAnsi="方正黑体_GBK" w:eastAsia="方正黑体_GBK" w:cs="宋体"/>
                <w:sz w:val="18"/>
                <w:szCs w:val="18"/>
              </w:rPr>
              <w:t>J3份额：ZJ32003</w:t>
            </w:r>
          </w:p>
          <w:p w14:paraId="4302238A">
            <w:pPr>
              <w:spacing w:line="200" w:lineRule="exact"/>
            </w:pPr>
            <w:r>
              <w:rPr>
                <w:rFonts w:ascii="方正黑体_GBK" w:hAnsi="方正黑体_GBK" w:eastAsia="方正黑体_GBK" w:cs="宋体"/>
                <w:sz w:val="18"/>
                <w:szCs w:val="18"/>
              </w:rPr>
              <w:t>K3份额：ZK32003</w:t>
            </w:r>
          </w:p>
          <w:p w14:paraId="79A63B1F">
            <w:pPr>
              <w:spacing w:line="200" w:lineRule="exact"/>
            </w:pPr>
            <w:r>
              <w:rPr>
                <w:rFonts w:ascii="方正黑体_GBK" w:hAnsi="方正黑体_GBK" w:eastAsia="方正黑体_GBK" w:cs="宋体"/>
                <w:sz w:val="18"/>
                <w:szCs w:val="18"/>
              </w:rPr>
              <w:t>J4份额：ZJ33003</w:t>
            </w:r>
          </w:p>
          <w:p w14:paraId="33709231">
            <w:pPr>
              <w:spacing w:line="200" w:lineRule="exact"/>
            </w:pPr>
            <w:r>
              <w:rPr>
                <w:rFonts w:ascii="方正黑体_GBK" w:hAnsi="方正黑体_GBK" w:eastAsia="方正黑体_GBK" w:cs="宋体"/>
                <w:sz w:val="18"/>
                <w:szCs w:val="18"/>
              </w:rPr>
              <w:t>K4份额：ZK33004</w:t>
            </w:r>
          </w:p>
          <w:p w14:paraId="3BE0F3C9">
            <w:pPr>
              <w:spacing w:line="200" w:lineRule="exact"/>
            </w:pPr>
            <w:r>
              <w:rPr>
                <w:rFonts w:ascii="方正黑体_GBK" w:hAnsi="方正黑体_GBK" w:eastAsia="方正黑体_GBK" w:cs="宋体"/>
                <w:sz w:val="18"/>
                <w:szCs w:val="18"/>
              </w:rPr>
              <w:t>L4份额：ZL33004</w:t>
            </w:r>
          </w:p>
          <w:p w14:paraId="6ECCFE73">
            <w:pPr>
              <w:spacing w:line="200" w:lineRule="exact"/>
            </w:pPr>
            <w:r>
              <w:rPr>
                <w:rFonts w:ascii="方正黑体_GBK" w:hAnsi="方正黑体_GBK" w:eastAsia="方正黑体_GBK" w:cs="宋体"/>
                <w:sz w:val="18"/>
                <w:szCs w:val="18"/>
              </w:rPr>
              <w:t>M2份额：ZM31003</w:t>
            </w:r>
          </w:p>
          <w:p w14:paraId="5FF3FC7A">
            <w:pPr>
              <w:spacing w:line="200" w:lineRule="exact"/>
            </w:pPr>
            <w:r>
              <w:rPr>
                <w:rFonts w:ascii="方正黑体_GBK" w:hAnsi="方正黑体_GBK" w:eastAsia="方正黑体_GBK" w:cs="宋体"/>
                <w:sz w:val="18"/>
                <w:szCs w:val="18"/>
              </w:rPr>
              <w:t>M3份额：ZM32003</w:t>
            </w:r>
          </w:p>
          <w:p w14:paraId="739C055C">
            <w:pPr>
              <w:spacing w:line="200" w:lineRule="exact"/>
            </w:pPr>
            <w:r>
              <w:rPr>
                <w:rFonts w:ascii="方正黑体_GBK" w:hAnsi="方正黑体_GBK" w:eastAsia="方正黑体_GBK" w:cs="宋体"/>
                <w:sz w:val="18"/>
                <w:szCs w:val="18"/>
              </w:rPr>
              <w:t>M4份额：ZM33003</w:t>
            </w:r>
          </w:p>
          <w:p w14:paraId="401A02C4">
            <w:pPr>
              <w:spacing w:line="200" w:lineRule="exact"/>
            </w:pPr>
            <w:r>
              <w:rPr>
                <w:rFonts w:ascii="方正黑体_GBK" w:hAnsi="方正黑体_GBK" w:eastAsia="方正黑体_GBK" w:cs="宋体"/>
                <w:sz w:val="18"/>
                <w:szCs w:val="18"/>
              </w:rPr>
              <w:t>O2份额：ZO31003</w:t>
            </w:r>
          </w:p>
          <w:p w14:paraId="7972AD1F">
            <w:pPr>
              <w:spacing w:line="200" w:lineRule="exact"/>
            </w:pPr>
            <w:r>
              <w:rPr>
                <w:rFonts w:ascii="方正黑体_GBK" w:hAnsi="方正黑体_GBK" w:eastAsia="方正黑体_GBK" w:cs="宋体"/>
                <w:sz w:val="18"/>
                <w:szCs w:val="18"/>
              </w:rPr>
              <w:t>P2份额：ZP31003</w:t>
            </w:r>
          </w:p>
          <w:p w14:paraId="2A1B727E">
            <w:pPr>
              <w:spacing w:line="200" w:lineRule="exact"/>
            </w:pPr>
            <w:r>
              <w:rPr>
                <w:rFonts w:ascii="方正黑体_GBK" w:hAnsi="方正黑体_GBK" w:eastAsia="方正黑体_GBK" w:cs="宋体"/>
                <w:sz w:val="18"/>
                <w:szCs w:val="18"/>
              </w:rPr>
              <w:t>O3份额：ZO32003</w:t>
            </w:r>
          </w:p>
          <w:p w14:paraId="6B93869C">
            <w:pPr>
              <w:spacing w:line="200" w:lineRule="exact"/>
            </w:pPr>
            <w:r>
              <w:rPr>
                <w:rFonts w:ascii="方正黑体_GBK" w:hAnsi="方正黑体_GBK" w:eastAsia="方正黑体_GBK" w:cs="宋体"/>
                <w:sz w:val="18"/>
                <w:szCs w:val="18"/>
              </w:rPr>
              <w:t>P3份额：ZP32003</w:t>
            </w:r>
          </w:p>
          <w:p w14:paraId="03BE1A0F">
            <w:pPr>
              <w:spacing w:line="200" w:lineRule="exact"/>
            </w:pPr>
            <w:r>
              <w:rPr>
                <w:rFonts w:ascii="方正黑体_GBK" w:hAnsi="方正黑体_GBK" w:eastAsia="方正黑体_GBK" w:cs="宋体"/>
                <w:sz w:val="18"/>
                <w:szCs w:val="18"/>
              </w:rPr>
              <w:t>O4份额：ZO33003</w:t>
            </w:r>
          </w:p>
          <w:p w14:paraId="2ECDD0A3">
            <w:pPr>
              <w:spacing w:line="200" w:lineRule="exact"/>
            </w:pPr>
            <w:r>
              <w:rPr>
                <w:rFonts w:ascii="方正黑体_GBK" w:hAnsi="方正黑体_GBK" w:eastAsia="方正黑体_GBK" w:cs="宋体"/>
                <w:sz w:val="18"/>
                <w:szCs w:val="18"/>
              </w:rPr>
              <w:t>P4份额：ZP33004</w:t>
            </w:r>
          </w:p>
          <w:p w14:paraId="48CDC9E9">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264C1DE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AFA16F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理财期限</w:t>
            </w:r>
          </w:p>
        </w:tc>
        <w:tc>
          <w:tcPr>
            <w:tcW w:w="5543" w:type="dxa"/>
            <w:tcBorders>
              <w:top w:val="single" w:color="auto" w:sz="4" w:space="0"/>
              <w:left w:val="nil"/>
              <w:bottom w:val="single" w:color="auto" w:sz="4" w:space="0"/>
              <w:right w:val="single" w:color="auto" w:sz="4" w:space="0"/>
              <w:tl2br w:val="nil"/>
              <w:tr2bl w:val="nil"/>
            </w:tcBorders>
            <w:vAlign w:val="center"/>
          </w:tcPr>
          <w:p w14:paraId="1AC8467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sz w:val="18"/>
                <w:szCs w:val="18"/>
              </w:rPr>
              <w:t>10年</w:t>
            </w:r>
            <w:r>
              <w:rPr>
                <w:rFonts w:hint="eastAsia" w:ascii="方正黑体_GBK" w:hAnsi="方正黑体_GBK" w:eastAsia="方正黑体_GBK" w:cs="宋体"/>
                <w:kern w:val="0"/>
                <w:sz w:val="18"/>
                <w:szCs w:val="18"/>
                <w:lang w:val="en-US" w:eastAsia="zh-CN"/>
              </w:rPr>
              <w:t>（管理人有权提前终止或延期终止）</w:t>
            </w:r>
          </w:p>
        </w:tc>
      </w:tr>
      <w:tr w14:paraId="2646A39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F3D808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6DE9E97C">
            <w:pPr>
              <w:spacing w:line="200" w:lineRule="exact"/>
            </w:pPr>
            <w:r>
              <w:rPr>
                <w:rFonts w:ascii="方正黑体_GBK" w:hAnsi="方正黑体_GBK" w:eastAsia="方正黑体_GBK" w:cs="宋体"/>
                <w:sz w:val="18"/>
                <w:szCs w:val="18"/>
              </w:rPr>
              <w:t>全国</w:t>
            </w:r>
          </w:p>
        </w:tc>
      </w:tr>
      <w:tr w14:paraId="5E14546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64F604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14AEAF46">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11F1503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141D80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7AF29CD6">
            <w:pPr>
              <w:spacing w:line="200" w:lineRule="exact"/>
            </w:pPr>
            <w:r>
              <w:rPr>
                <w:rFonts w:ascii="方正黑体_GBK" w:hAnsi="方正黑体_GBK" w:eastAsia="方正黑体_GBK" w:cs="宋体"/>
                <w:sz w:val="18"/>
                <w:szCs w:val="18"/>
              </w:rPr>
              <w:t>本理财产品规模上限为500亿元。理财产品管理人有权对上述规模上限根据实际业务需求进行调整。</w:t>
            </w:r>
          </w:p>
        </w:tc>
      </w:tr>
      <w:tr w14:paraId="3C01B7F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A4323E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0C6E0547">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2DCA1757">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1C7642F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9674C9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272D424E">
            <w:pPr>
              <w:spacing w:line="200" w:lineRule="exact"/>
            </w:pPr>
            <w:r>
              <w:rPr>
                <w:rFonts w:ascii="方正黑体_GBK" w:hAnsi="方正黑体_GBK" w:eastAsia="方正黑体_GBK" w:cs="宋体"/>
                <w:color w:val="000000"/>
                <w:sz w:val="18"/>
                <w:szCs w:val="18"/>
              </w:rPr>
              <w:t>符合相关法律法规、监管规定要求的，经销售机构的风险承受能力评估体系评定为适合的个人和机构投资者。</w:t>
            </w:r>
          </w:p>
          <w:p w14:paraId="2988DC4F">
            <w:pPr>
              <w:spacing w:line="200" w:lineRule="exact"/>
            </w:pPr>
            <w:r>
              <w:rPr>
                <w:rFonts w:ascii="方正黑体_GBK" w:hAnsi="方正黑体_GBK" w:eastAsia="方正黑体_GBK" w:cs="宋体"/>
                <w:sz w:val="18"/>
                <w:szCs w:val="18"/>
              </w:rPr>
              <w:t>A份额： 南京银行股份有限公司、南银理财有限责任公司、江苏常熟农村商业银行股份有限公司、日照银行股份有限公司、九江银行股份有限公司、深圳前海微众银行股份有限公司、中信百信银行股份有限公司、互金平台、无锡锡商银行股份有限公司、江苏扬州农村商业银行股份有限公司、江苏如皋农村商业银行股份有限公司、江苏江阴农村商业银行股份有限公司客户。</w:t>
            </w:r>
          </w:p>
          <w:p w14:paraId="7744AB3C">
            <w:pPr>
              <w:spacing w:line="200" w:lineRule="exact"/>
            </w:pPr>
            <w:r>
              <w:rPr>
                <w:rFonts w:ascii="方正黑体_GBK" w:hAnsi="方正黑体_GBK" w:eastAsia="方正黑体_GBK" w:cs="宋体"/>
                <w:sz w:val="18"/>
                <w:szCs w:val="18"/>
              </w:rPr>
              <w:t>B份额：江苏常熟农村商业银行股份有限公司、江苏苏州农村商业银行股份有限公司、齐鲁银行股份有限公司、贵阳银行股份有限公司、天津农村商业银行股份有限公司（大众客群）、云南红塔银行股份有限公司（代发客户）、中原银行股份有限公司、乌鲁木齐银行股份有限公司、桂林银行股份有限公司、石嘴山银行股份有限公司、江苏苏商银行股份有限公司、江苏丹阳农村商业银行股份有限公司、江苏靖江农村商业银行股份有限公司、江苏民丰农村商业银行股份有限公司、江苏建湖农村商业银行股份有限公司、江苏南通农村商业银行股份有限公司、江苏大丰农村商业银行股份有限公司、江苏镇江农村商业银行股份有限公司、徐州农村商业银行股份有限公司、江苏丰县农村商业银行股份有限公司、江苏句容农村商业银行股份有限公司、江苏仪征农村商业银行股份有限公司、江苏沭阳农村商业银行股份有限公司客户。</w:t>
            </w:r>
          </w:p>
          <w:p w14:paraId="58E311D2">
            <w:pPr>
              <w:spacing w:line="200" w:lineRule="exact"/>
            </w:pPr>
            <w:r>
              <w:rPr>
                <w:rFonts w:ascii="方正黑体_GBK" w:hAnsi="方正黑体_GBK" w:eastAsia="方正黑体_GBK" w:cs="宋体"/>
                <w:sz w:val="18"/>
                <w:szCs w:val="18"/>
              </w:rPr>
              <w:t>C份额：江苏常熟农村商业银行股份有限公司（特定客群）、河北银行股份有限公司（常规客户）、天津农村商业银行股份有限公司（社保专属）、云南红塔银行股份有限公司（财富客户）、江苏扬州农村商业银行股份有限公司客户。</w:t>
            </w:r>
          </w:p>
          <w:p w14:paraId="2529876C">
            <w:pPr>
              <w:spacing w:line="200" w:lineRule="exact"/>
            </w:pPr>
            <w:r>
              <w:rPr>
                <w:rFonts w:ascii="方正黑体_GBK" w:hAnsi="方正黑体_GBK" w:eastAsia="方正黑体_GBK" w:cs="宋体"/>
                <w:sz w:val="18"/>
                <w:szCs w:val="18"/>
              </w:rPr>
              <w:t>D份额：河北银行股份有限公司（分行特供）、秦皇岛银行股份有限公司、天津农村商业银行股份有限公司（专属客户）、云南红塔银行股份有限公司（新客户）、桂林银行股份有限公司、甘肃银行股份有限公司、江苏镇江农村商业银行股份有限公司（20万元起购）、江苏紫金农村商业银行股份有限公司、江苏沛县农村商业银行股份有限公司客户。</w:t>
            </w:r>
          </w:p>
          <w:p w14:paraId="7146E975">
            <w:pPr>
              <w:spacing w:line="200" w:lineRule="exact"/>
            </w:pPr>
            <w:r>
              <w:rPr>
                <w:rFonts w:ascii="方正黑体_GBK" w:hAnsi="方正黑体_GBK" w:eastAsia="方正黑体_GBK" w:cs="宋体"/>
                <w:sz w:val="18"/>
                <w:szCs w:val="18"/>
              </w:rPr>
              <w:t>E份额：天津农村商业银行股份有限公司（特邀客户）、云南红塔银行股份有限公司（财富300万客户）、江苏镇江农村商业银行股份有限公司（100万元起购）、江苏沛县农村商业银行股份有限公司（高端客户专属）客户。</w:t>
            </w:r>
          </w:p>
          <w:p w14:paraId="751595C0">
            <w:pPr>
              <w:spacing w:line="200" w:lineRule="exact"/>
            </w:pPr>
            <w:r>
              <w:rPr>
                <w:rFonts w:ascii="方正黑体_GBK" w:hAnsi="方正黑体_GBK" w:eastAsia="方正黑体_GBK" w:cs="宋体"/>
                <w:sz w:val="18"/>
                <w:szCs w:val="18"/>
              </w:rPr>
              <w:t>F份额：南京银行私行客户、钻石客户、新晋私行客户、新晋钻石户及南京银行认定的其他符合标准的客户。</w:t>
            </w:r>
          </w:p>
          <w:p w14:paraId="41E34643">
            <w:pPr>
              <w:spacing w:line="200" w:lineRule="exact"/>
            </w:pPr>
            <w:r>
              <w:rPr>
                <w:rFonts w:ascii="方正黑体_GBK" w:hAnsi="方正黑体_GBK" w:eastAsia="方正黑体_GBK" w:cs="宋体"/>
                <w:sz w:val="18"/>
                <w:szCs w:val="18"/>
              </w:rPr>
              <w:t>G份额：成都银行股份有限公司客户。</w:t>
            </w:r>
          </w:p>
          <w:p w14:paraId="4C1CCF33">
            <w:pPr>
              <w:spacing w:line="200" w:lineRule="exact"/>
            </w:pPr>
            <w:r>
              <w:rPr>
                <w:rFonts w:ascii="方正黑体_GBK" w:hAnsi="方正黑体_GBK" w:eastAsia="方正黑体_GBK" w:cs="宋体"/>
                <w:sz w:val="18"/>
                <w:szCs w:val="18"/>
              </w:rPr>
              <w:t>I份额：南京银行股份有限公司（北京分行及杭州分行新客、新资金（5万）、代发）客户。</w:t>
            </w:r>
          </w:p>
          <w:p w14:paraId="2196F815">
            <w:pPr>
              <w:spacing w:line="200" w:lineRule="exact"/>
            </w:pPr>
            <w:r>
              <w:rPr>
                <w:rFonts w:ascii="方正黑体_GBK" w:hAnsi="方正黑体_GBK" w:eastAsia="方正黑体_GBK" w:cs="宋体"/>
                <w:sz w:val="18"/>
                <w:szCs w:val="18"/>
              </w:rPr>
              <w:t>J份额：兴业银行股份有限公司客户。</w:t>
            </w:r>
          </w:p>
          <w:p w14:paraId="1C9621AD">
            <w:pPr>
              <w:spacing w:line="200" w:lineRule="exact"/>
            </w:pPr>
            <w:r>
              <w:rPr>
                <w:rFonts w:ascii="方正黑体_GBK" w:hAnsi="方正黑体_GBK" w:eastAsia="方正黑体_GBK" w:cs="宋体"/>
                <w:sz w:val="18"/>
                <w:szCs w:val="18"/>
              </w:rPr>
              <w:t>K份额：交通银行股份有限公司客户。</w:t>
            </w:r>
          </w:p>
          <w:p w14:paraId="5409733E">
            <w:pPr>
              <w:spacing w:line="200" w:lineRule="exact"/>
            </w:pPr>
            <w:r>
              <w:rPr>
                <w:rFonts w:ascii="方正黑体_GBK" w:hAnsi="方正黑体_GBK" w:eastAsia="方正黑体_GBK" w:cs="宋体"/>
                <w:sz w:val="18"/>
                <w:szCs w:val="18"/>
              </w:rPr>
              <w:t>M份额：苏州银行股份有限公司、嘉兴银行股份有限公司、宁波通商银行股份有限公司客户。</w:t>
            </w:r>
          </w:p>
          <w:p w14:paraId="51CB5344">
            <w:pPr>
              <w:spacing w:line="200" w:lineRule="exact"/>
            </w:pPr>
            <w:r>
              <w:rPr>
                <w:rFonts w:ascii="方正黑体_GBK" w:hAnsi="方正黑体_GBK" w:eastAsia="方正黑体_GBK" w:cs="宋体"/>
                <w:sz w:val="18"/>
                <w:szCs w:val="18"/>
              </w:rPr>
              <w:t>N份额：苏州银行股份有限公司（代发与新资金专属）客户。</w:t>
            </w:r>
          </w:p>
          <w:p w14:paraId="5367D32C">
            <w:pPr>
              <w:spacing w:line="200" w:lineRule="exact"/>
            </w:pPr>
            <w:r>
              <w:rPr>
                <w:rFonts w:ascii="方正黑体_GBK" w:hAnsi="方正黑体_GBK" w:eastAsia="方正黑体_GBK" w:cs="宋体"/>
                <w:sz w:val="18"/>
                <w:szCs w:val="18"/>
              </w:rPr>
              <w:t>O份额：广发银行股份有限公司所有个人客户。</w:t>
            </w:r>
          </w:p>
          <w:p w14:paraId="0136E6B6">
            <w:pPr>
              <w:spacing w:line="200" w:lineRule="exact"/>
            </w:pPr>
            <w:r>
              <w:rPr>
                <w:rFonts w:ascii="方正黑体_GBK" w:hAnsi="方正黑体_GBK" w:eastAsia="方正黑体_GBK" w:cs="宋体"/>
                <w:sz w:val="18"/>
                <w:szCs w:val="18"/>
              </w:rPr>
              <w:t>P份额：广发银行股份有限公司南京分行个人客户。</w:t>
            </w:r>
          </w:p>
          <w:p w14:paraId="5D109C8F">
            <w:pPr>
              <w:spacing w:line="200" w:lineRule="exact"/>
            </w:pPr>
            <w:r>
              <w:rPr>
                <w:rFonts w:ascii="方正黑体_GBK" w:hAnsi="方正黑体_GBK" w:eastAsia="方正黑体_GBK" w:cs="宋体"/>
                <w:sz w:val="18"/>
                <w:szCs w:val="18"/>
              </w:rPr>
              <w:t>A2份额：南京银行股份有限公司、九江银行股份有限公司、江苏江阴农村商业银行股份有限公司客户。</w:t>
            </w:r>
          </w:p>
          <w:p w14:paraId="2CE707AF">
            <w:pPr>
              <w:spacing w:line="200" w:lineRule="exact"/>
            </w:pPr>
            <w:r>
              <w:rPr>
                <w:rFonts w:ascii="方正黑体_GBK" w:hAnsi="方正黑体_GBK" w:eastAsia="方正黑体_GBK" w:cs="宋体"/>
                <w:sz w:val="18"/>
                <w:szCs w:val="18"/>
              </w:rPr>
              <w:t>B2份额：江苏常熟农村商业银行股份有限公司、江苏苏州农村商业银行股份有限公司、齐鲁银行股份有限公司、贵阳银行股份有限公司、天津农村商业银行股份有限公司（大众客群）、云南红塔银行股份有限公司（代发客户）、中原银行股份有限公司、乌鲁木齐银行股份有限公司、桂林银行股份有限公司、石嘴山银行股份有限公司、江苏苏商银行股份有限公司、江苏丹阳农村商业银行股份有限公司、江苏靖江农村商业银行股份有限公司、江苏民丰农村商业银行股份有限公司、江苏建湖农村商业银行股份有限公司、江苏南通农村商业银行股份有限公司、江苏大丰农村商业银行股份有限公司、江苏镇江农村商业银行股份有限公司、徐州农村商业银行股份有限公司、江苏丰县农村商业银行股份有限公司、江苏句容农村商业银行股份有限公司、江苏仪征农村商业银行股份有限公司、江苏沭阳农村商业银行股份有限公司客户。</w:t>
            </w:r>
          </w:p>
          <w:p w14:paraId="1CC43DFC">
            <w:pPr>
              <w:spacing w:line="200" w:lineRule="exact"/>
            </w:pPr>
            <w:r>
              <w:rPr>
                <w:rFonts w:ascii="方正黑体_GBK" w:hAnsi="方正黑体_GBK" w:eastAsia="方正黑体_GBK" w:cs="宋体"/>
                <w:sz w:val="18"/>
                <w:szCs w:val="18"/>
              </w:rPr>
              <w:t>C2份额：江苏常熟农村商业银行股份有限公司（特定客群）、河北银行股份有限公司（常规客户）、天津农村商业银行股份有限公司（社保专属）、云南红塔银行股份有限公司（财富客户）、江苏扬州农村商业银行股份有限公司客户。</w:t>
            </w:r>
          </w:p>
          <w:p w14:paraId="77E86156">
            <w:pPr>
              <w:spacing w:line="200" w:lineRule="exact"/>
            </w:pPr>
            <w:r>
              <w:rPr>
                <w:rFonts w:ascii="方正黑体_GBK" w:hAnsi="方正黑体_GBK" w:eastAsia="方正黑体_GBK" w:cs="宋体"/>
                <w:sz w:val="18"/>
                <w:szCs w:val="18"/>
              </w:rPr>
              <w:t>D2份额：河北银行股份有限公司（分行特供）、秦皇岛银行股份有限公司、天津农村商业银行股份有限公司（专属客户）、云南红塔银行股份有限公司（新客户）、桂林银行股份有限公司、甘肃银行股份有限公司、江苏镇江农村商业银行股份有限公司（20万元起购）、江苏紫金农村商业银行股份有限公司、江苏沛县农村商业银行股份有限公司客户。</w:t>
            </w:r>
          </w:p>
          <w:p w14:paraId="1C4EF914">
            <w:pPr>
              <w:spacing w:line="200" w:lineRule="exact"/>
            </w:pPr>
            <w:r>
              <w:rPr>
                <w:rFonts w:ascii="方正黑体_GBK" w:hAnsi="方正黑体_GBK" w:eastAsia="方正黑体_GBK" w:cs="宋体"/>
                <w:sz w:val="18"/>
                <w:szCs w:val="18"/>
              </w:rPr>
              <w:t>E2份额：天津农村商业银行股份有限公司（特邀客户）、云南红塔银行股份有限公司（财富300万客户）、江苏镇江农村商业银行股份有限公司（100万元起购）、江苏沛县农村商业银行股份有限公司（高端客户专属）客户。</w:t>
            </w:r>
          </w:p>
          <w:p w14:paraId="24D15B64">
            <w:pPr>
              <w:spacing w:line="200" w:lineRule="exact"/>
            </w:pPr>
            <w:r>
              <w:rPr>
                <w:rFonts w:ascii="方正黑体_GBK" w:hAnsi="方正黑体_GBK" w:eastAsia="方正黑体_GBK" w:cs="宋体"/>
                <w:sz w:val="18"/>
                <w:szCs w:val="18"/>
              </w:rPr>
              <w:t>A3份额：南京银行股份有限公司、九江银行股份有限公司、江苏江阴农村商业银行股份有限公司客户。</w:t>
            </w:r>
          </w:p>
          <w:p w14:paraId="04DF9D68">
            <w:pPr>
              <w:spacing w:line="200" w:lineRule="exact"/>
            </w:pPr>
            <w:r>
              <w:rPr>
                <w:rFonts w:ascii="方正黑体_GBK" w:hAnsi="方正黑体_GBK" w:eastAsia="方正黑体_GBK" w:cs="宋体"/>
                <w:sz w:val="18"/>
                <w:szCs w:val="18"/>
              </w:rPr>
              <w:t>B3份额：江苏常熟农村商业银行股份有限公司、江苏苏州农村商业银行股份有限公司、齐鲁银行股份有限公司、贵阳银行股份有限公司、天津农村商业银行股份有限公司（大众客群）、云南红塔银行股份有限公司（代发客户）、中原银行股份有限公司、乌鲁木齐银行股份有限公司、桂林银行股份有限公司、石嘴山银行股份有限公司、江苏苏商银行股份有限公司、江苏丹阳农村商业银行股份有限公司、江苏靖江农村商业银行股份有限公司、江苏民丰农村商业银行股份有限公司、江苏建湖农村商业银行股份有限公司、江苏南通农村商业银行股份有限公司、江苏大丰农村商业银行股份有限公司、江苏镇江农村商业银行股份有限公司、徐州农村商业银行股份有限公司、江苏丰县农村商业银行股份有限公司、江苏句容农村商业银行股份有限公司、江苏仪征农村商业银行股份有限公司、江苏沭阳农村商业银行股份有限公司客户。</w:t>
            </w:r>
          </w:p>
          <w:p w14:paraId="50BAD4FC">
            <w:pPr>
              <w:spacing w:line="200" w:lineRule="exact"/>
            </w:pPr>
            <w:r>
              <w:rPr>
                <w:rFonts w:ascii="方正黑体_GBK" w:hAnsi="方正黑体_GBK" w:eastAsia="方正黑体_GBK" w:cs="宋体"/>
                <w:sz w:val="18"/>
                <w:szCs w:val="18"/>
              </w:rPr>
              <w:t>C3份额：江苏常熟农村商业银行股份有限公司（特定客群）、河北银行股份有限公司（常规客户）、天津农村商业银行股份有限公司（社保专属）、云南红塔银行股份有限公司（财富客户）、江苏扬州农村商业银行股份有限公司客户。</w:t>
            </w:r>
          </w:p>
          <w:p w14:paraId="6F085A18">
            <w:pPr>
              <w:spacing w:line="200" w:lineRule="exact"/>
            </w:pPr>
            <w:r>
              <w:rPr>
                <w:rFonts w:ascii="方正黑体_GBK" w:hAnsi="方正黑体_GBK" w:eastAsia="方正黑体_GBK" w:cs="宋体"/>
                <w:sz w:val="18"/>
                <w:szCs w:val="18"/>
              </w:rPr>
              <w:t>D3份额：河北银行股份有限公司（分行特供）、秦皇岛银行股份有限公司、天津农村商业银行股份有限公司（专属客户）、云南红塔银行股份有限公司（新客户）、桂林银行股份有限公司、甘肃银行股份有限公司、江苏镇江农村商业银行股份有限公司（20万元起购）、江苏紫金农村商业银行股份有限公司、江苏沛县农村商业银行股份有限公司客户。</w:t>
            </w:r>
          </w:p>
          <w:p w14:paraId="0483B911">
            <w:pPr>
              <w:spacing w:line="200" w:lineRule="exact"/>
            </w:pPr>
            <w:r>
              <w:rPr>
                <w:rFonts w:ascii="方正黑体_GBK" w:hAnsi="方正黑体_GBK" w:eastAsia="方正黑体_GBK" w:cs="宋体"/>
                <w:sz w:val="18"/>
                <w:szCs w:val="18"/>
              </w:rPr>
              <w:t>E3份额：天津农村商业银行股份有限公司（特邀客户）、云南红塔银行股份有限公司（财富300万客户）、江苏镇江农村商业银行股份有限公司（100万元起购）、江苏沛县农村商业银行股份有限公司（高端客户专属）客户。</w:t>
            </w:r>
          </w:p>
          <w:p w14:paraId="5F0113BD">
            <w:pPr>
              <w:spacing w:line="200" w:lineRule="exact"/>
            </w:pPr>
            <w:r>
              <w:rPr>
                <w:rFonts w:ascii="方正黑体_GBK" w:hAnsi="方正黑体_GBK" w:eastAsia="方正黑体_GBK" w:cs="宋体"/>
                <w:sz w:val="18"/>
                <w:szCs w:val="18"/>
              </w:rPr>
              <w:t>A4份额：南京银行股份有限公司、九江银行股份有限公司、江苏江阴农村商业银行股份有限公司客户。</w:t>
            </w:r>
          </w:p>
          <w:p w14:paraId="2C0C03C9">
            <w:pPr>
              <w:spacing w:line="200" w:lineRule="exact"/>
            </w:pPr>
            <w:r>
              <w:rPr>
                <w:rFonts w:ascii="方正黑体_GBK" w:hAnsi="方正黑体_GBK" w:eastAsia="方正黑体_GBK" w:cs="宋体"/>
                <w:sz w:val="18"/>
                <w:szCs w:val="18"/>
              </w:rPr>
              <w:t>B4份额： B系列：江苏常熟农村商业银行股份有限公司、江苏苏州农村商业银行股份有限公司、齐鲁银行股份有限公司、贵阳银行股份有限公司、天津农村商业银行股份有限公司（大众客群）、云南红塔银行股份有限公司（代发客户）、中原银行股份有限公司、乌鲁木齐银行股份有限公司、桂林银行股份有限公司、石嘴山银行股份有限公司、江苏苏商银行股份有限公司、江苏丹阳农村商业银行股份有限公司、江苏靖江农村商业银行股份有限公司、江苏民丰农村商业银行股份有限公司、江苏建湖农村商业银行股份有限公司、江苏南通农村商业银行股份有限公司、江苏大丰农村商业银行股份有限公司、江苏镇江农村商业银行股份有限公司、徐州农村商业银行股份有限公司、江苏丰县农村商业银行股份有限公司、江苏句容农村商业银行股份有限公司、江苏仪征农村商业银行股份有限公司、江苏沭阳农村商业银行股份有限公司客户。</w:t>
            </w:r>
          </w:p>
          <w:p w14:paraId="37D8AA00">
            <w:pPr>
              <w:spacing w:line="200" w:lineRule="exact"/>
            </w:pPr>
            <w:r>
              <w:rPr>
                <w:rFonts w:ascii="方正黑体_GBK" w:hAnsi="方正黑体_GBK" w:eastAsia="方正黑体_GBK" w:cs="宋体"/>
                <w:sz w:val="18"/>
                <w:szCs w:val="18"/>
              </w:rPr>
              <w:t>C4份额：江苏常熟农村商业银行股份有限公司（特定客群）、河北银行股份有限公司（常规客户）、天津农村商业银行股份有限公司（社保专属）、云南红塔银行股份有限公司（财富客户）、江苏扬州农村商业银行股份有限公司客户。</w:t>
            </w:r>
          </w:p>
          <w:p w14:paraId="234B2CDE">
            <w:pPr>
              <w:spacing w:line="200" w:lineRule="exact"/>
            </w:pPr>
            <w:r>
              <w:rPr>
                <w:rFonts w:ascii="方正黑体_GBK" w:hAnsi="方正黑体_GBK" w:eastAsia="方正黑体_GBK" w:cs="宋体"/>
                <w:sz w:val="18"/>
                <w:szCs w:val="18"/>
              </w:rPr>
              <w:t>D4份额：河北银行股份有限公司（分行特供）、秦皇岛银行股份有限公司、天津农村商业银行股份有限公司（专属客户）、云南红塔银行股份有限公司（新客户）、桂林银行股份有限公司、甘肃银行股份有限公司、江苏镇江农村商业银行股份有限公司（20万元起购）、江苏紫金农村商业银行股份有限公司、江苏沛县农村商业银行股份有限公司客户。</w:t>
            </w:r>
          </w:p>
          <w:p w14:paraId="7016A095">
            <w:pPr>
              <w:spacing w:line="200" w:lineRule="exact"/>
            </w:pPr>
            <w:r>
              <w:rPr>
                <w:rFonts w:ascii="方正黑体_GBK" w:hAnsi="方正黑体_GBK" w:eastAsia="方正黑体_GBK" w:cs="宋体"/>
                <w:sz w:val="18"/>
                <w:szCs w:val="18"/>
              </w:rPr>
              <w:t>E4份额：天津农村商业银行股份有限公司（特邀客户）、云南红塔银行股份有限公司（财富300万客户）、江苏镇江农村商业银行股份有限公司（100万元起购）、江苏沛县农村商业银行股份有限公司（高端客户专属）客户。</w:t>
            </w:r>
          </w:p>
          <w:p w14:paraId="5452BB75">
            <w:pPr>
              <w:spacing w:line="200" w:lineRule="exact"/>
            </w:pPr>
            <w:r>
              <w:rPr>
                <w:rFonts w:ascii="方正黑体_GBK" w:hAnsi="方正黑体_GBK" w:eastAsia="方正黑体_GBK" w:cs="宋体"/>
                <w:sz w:val="18"/>
                <w:szCs w:val="18"/>
              </w:rPr>
              <w:t>F2份额：南京银行私行客户、钻石客户、新晋私行客户、新晋钻石户及南京银行认定的其他符合标准的客户。</w:t>
            </w:r>
          </w:p>
          <w:p w14:paraId="4EFB697D">
            <w:pPr>
              <w:spacing w:line="200" w:lineRule="exact"/>
            </w:pPr>
            <w:r>
              <w:rPr>
                <w:rFonts w:ascii="方正黑体_GBK" w:hAnsi="方正黑体_GBK" w:eastAsia="方正黑体_GBK" w:cs="宋体"/>
                <w:sz w:val="18"/>
                <w:szCs w:val="18"/>
              </w:rPr>
              <w:t>F3份额：南京银行私行客户、钻石客户、新晋私行客户、新晋钻石户及南京银行认定的其他符合标准的客户。</w:t>
            </w:r>
          </w:p>
          <w:p w14:paraId="1F992BD1">
            <w:pPr>
              <w:spacing w:line="200" w:lineRule="exact"/>
            </w:pPr>
            <w:r>
              <w:rPr>
                <w:rFonts w:ascii="方正黑体_GBK" w:hAnsi="方正黑体_GBK" w:eastAsia="方正黑体_GBK" w:cs="宋体"/>
                <w:sz w:val="18"/>
                <w:szCs w:val="18"/>
              </w:rPr>
              <w:t>G2份额：成都银行股份有限公司客户。</w:t>
            </w:r>
          </w:p>
          <w:p w14:paraId="73A8BA80">
            <w:pPr>
              <w:spacing w:line="200" w:lineRule="exact"/>
            </w:pPr>
            <w:r>
              <w:rPr>
                <w:rFonts w:ascii="方正黑体_GBK" w:hAnsi="方正黑体_GBK" w:eastAsia="方正黑体_GBK" w:cs="宋体"/>
                <w:sz w:val="18"/>
                <w:szCs w:val="18"/>
              </w:rPr>
              <w:t>G3份额：成都银行股份有限公司客户。</w:t>
            </w:r>
          </w:p>
          <w:p w14:paraId="5D04860E">
            <w:pPr>
              <w:spacing w:line="200" w:lineRule="exact"/>
            </w:pPr>
            <w:r>
              <w:rPr>
                <w:rFonts w:ascii="方正黑体_GBK" w:hAnsi="方正黑体_GBK" w:eastAsia="方正黑体_GBK" w:cs="宋体"/>
                <w:sz w:val="18"/>
                <w:szCs w:val="18"/>
              </w:rPr>
              <w:t>F4份额：南京银行私行客户、钻石客户、新晋私行客户、新晋钻石户及南京银行认定的其他符合标准的客户。</w:t>
            </w:r>
          </w:p>
          <w:p w14:paraId="1C0867E4">
            <w:pPr>
              <w:spacing w:line="200" w:lineRule="exact"/>
            </w:pPr>
            <w:r>
              <w:rPr>
                <w:rFonts w:ascii="方正黑体_GBK" w:hAnsi="方正黑体_GBK" w:eastAsia="方正黑体_GBK" w:cs="宋体"/>
                <w:sz w:val="18"/>
                <w:szCs w:val="18"/>
              </w:rPr>
              <w:t>G4份额：成都银行股份有限公司客户。</w:t>
            </w:r>
          </w:p>
          <w:p w14:paraId="62BF2617">
            <w:pPr>
              <w:spacing w:line="200" w:lineRule="exact"/>
            </w:pPr>
            <w:r>
              <w:rPr>
                <w:rFonts w:ascii="方正黑体_GBK" w:hAnsi="方正黑体_GBK" w:eastAsia="方正黑体_GBK" w:cs="宋体"/>
                <w:sz w:val="18"/>
                <w:szCs w:val="18"/>
              </w:rPr>
              <w:t>H2份额：南京银行股份有限公司代发客户。</w:t>
            </w:r>
          </w:p>
          <w:p w14:paraId="028A1C9B">
            <w:pPr>
              <w:spacing w:line="200" w:lineRule="exact"/>
            </w:pPr>
            <w:r>
              <w:rPr>
                <w:rFonts w:ascii="方正黑体_GBK" w:hAnsi="方正黑体_GBK" w:eastAsia="方正黑体_GBK" w:cs="宋体"/>
                <w:sz w:val="18"/>
                <w:szCs w:val="18"/>
              </w:rPr>
              <w:t>J2份额：兴业银行股份有限公司客户。</w:t>
            </w:r>
          </w:p>
          <w:p w14:paraId="614D2D2C">
            <w:pPr>
              <w:spacing w:line="200" w:lineRule="exact"/>
            </w:pPr>
            <w:r>
              <w:rPr>
                <w:rFonts w:ascii="方正黑体_GBK" w:hAnsi="方正黑体_GBK" w:eastAsia="方正黑体_GBK" w:cs="宋体"/>
                <w:sz w:val="18"/>
                <w:szCs w:val="18"/>
              </w:rPr>
              <w:t>K2份额：交通银行股份有限公司客户。</w:t>
            </w:r>
          </w:p>
          <w:p w14:paraId="639B856C">
            <w:pPr>
              <w:spacing w:line="200" w:lineRule="exact"/>
            </w:pPr>
            <w:r>
              <w:rPr>
                <w:rFonts w:ascii="方正黑体_GBK" w:hAnsi="方正黑体_GBK" w:eastAsia="方正黑体_GBK" w:cs="宋体"/>
                <w:sz w:val="18"/>
                <w:szCs w:val="18"/>
              </w:rPr>
              <w:t>J3份额：兴业银行股份有限公司客户。</w:t>
            </w:r>
          </w:p>
          <w:p w14:paraId="09C5081B">
            <w:pPr>
              <w:spacing w:line="200" w:lineRule="exact"/>
            </w:pPr>
            <w:r>
              <w:rPr>
                <w:rFonts w:ascii="方正黑体_GBK" w:hAnsi="方正黑体_GBK" w:eastAsia="方正黑体_GBK" w:cs="宋体"/>
                <w:sz w:val="18"/>
                <w:szCs w:val="18"/>
              </w:rPr>
              <w:t>K3份额：交通银行股份有限公司客户。</w:t>
            </w:r>
          </w:p>
          <w:p w14:paraId="47F12714">
            <w:pPr>
              <w:spacing w:line="200" w:lineRule="exact"/>
            </w:pPr>
            <w:r>
              <w:rPr>
                <w:rFonts w:ascii="方正黑体_GBK" w:hAnsi="方正黑体_GBK" w:eastAsia="方正黑体_GBK" w:cs="宋体"/>
                <w:sz w:val="18"/>
                <w:szCs w:val="18"/>
              </w:rPr>
              <w:t>J4份额：兴业银行股份有限公司客户。</w:t>
            </w:r>
          </w:p>
          <w:p w14:paraId="1C7C16D0">
            <w:pPr>
              <w:spacing w:line="200" w:lineRule="exact"/>
            </w:pPr>
            <w:r>
              <w:rPr>
                <w:rFonts w:ascii="方正黑体_GBK" w:hAnsi="方正黑体_GBK" w:eastAsia="方正黑体_GBK" w:cs="宋体"/>
                <w:sz w:val="18"/>
                <w:szCs w:val="18"/>
              </w:rPr>
              <w:t>K4份额：交通银行股份有限公司客户。</w:t>
            </w:r>
          </w:p>
          <w:p w14:paraId="32F96964">
            <w:pPr>
              <w:spacing w:line="200" w:lineRule="exact"/>
            </w:pPr>
            <w:r>
              <w:rPr>
                <w:rFonts w:ascii="方正黑体_GBK" w:hAnsi="方正黑体_GBK" w:eastAsia="方正黑体_GBK" w:cs="宋体"/>
                <w:sz w:val="18"/>
                <w:szCs w:val="18"/>
              </w:rPr>
              <w:t>L4份额：兴业银行股份有限公司南京分行客户。</w:t>
            </w:r>
          </w:p>
          <w:p w14:paraId="7DF3C902">
            <w:pPr>
              <w:spacing w:line="200" w:lineRule="exact"/>
            </w:pPr>
            <w:r>
              <w:rPr>
                <w:rFonts w:ascii="方正黑体_GBK" w:hAnsi="方正黑体_GBK" w:eastAsia="方正黑体_GBK" w:cs="宋体"/>
                <w:sz w:val="18"/>
                <w:szCs w:val="18"/>
              </w:rPr>
              <w:t>M2份额：苏州银行股份有限公司、嘉兴银行股份有限公司、宁波通商银行股份有限公司客户。</w:t>
            </w:r>
          </w:p>
          <w:p w14:paraId="0215C3BB">
            <w:pPr>
              <w:spacing w:line="200" w:lineRule="exact"/>
            </w:pPr>
            <w:r>
              <w:rPr>
                <w:rFonts w:ascii="方正黑体_GBK" w:hAnsi="方正黑体_GBK" w:eastAsia="方正黑体_GBK" w:cs="宋体"/>
                <w:sz w:val="18"/>
                <w:szCs w:val="18"/>
              </w:rPr>
              <w:t>M3份额：苏州银行股份有限公司、嘉兴银行股份有限公司、宁波通商银行股份有限公司客户。</w:t>
            </w:r>
          </w:p>
          <w:p w14:paraId="42CBFD7C">
            <w:pPr>
              <w:spacing w:line="200" w:lineRule="exact"/>
            </w:pPr>
            <w:r>
              <w:rPr>
                <w:rFonts w:ascii="方正黑体_GBK" w:hAnsi="方正黑体_GBK" w:eastAsia="方正黑体_GBK" w:cs="宋体"/>
                <w:sz w:val="18"/>
                <w:szCs w:val="18"/>
              </w:rPr>
              <w:t>M4份额：苏州银行股份有限公司、嘉兴银行股份有限公司、宁波通商银行股份有限公司客户。</w:t>
            </w:r>
          </w:p>
          <w:p w14:paraId="69472DB8">
            <w:pPr>
              <w:spacing w:line="200" w:lineRule="exact"/>
            </w:pPr>
            <w:r>
              <w:rPr>
                <w:rFonts w:ascii="方正黑体_GBK" w:hAnsi="方正黑体_GBK" w:eastAsia="方正黑体_GBK" w:cs="宋体"/>
                <w:sz w:val="18"/>
                <w:szCs w:val="18"/>
              </w:rPr>
              <w:t>O2份额：广发银行股份有限公司所有个人客户。</w:t>
            </w:r>
          </w:p>
          <w:p w14:paraId="1C444454">
            <w:pPr>
              <w:spacing w:line="200" w:lineRule="exact"/>
            </w:pPr>
            <w:r>
              <w:rPr>
                <w:rFonts w:ascii="方正黑体_GBK" w:hAnsi="方正黑体_GBK" w:eastAsia="方正黑体_GBK" w:cs="宋体"/>
                <w:sz w:val="18"/>
                <w:szCs w:val="18"/>
              </w:rPr>
              <w:t>P2份额：广发银行股份有限公司南京分行个人客户。</w:t>
            </w:r>
          </w:p>
          <w:p w14:paraId="15398FAD">
            <w:pPr>
              <w:spacing w:line="200" w:lineRule="exact"/>
            </w:pPr>
            <w:r>
              <w:rPr>
                <w:rFonts w:ascii="方正黑体_GBK" w:hAnsi="方正黑体_GBK" w:eastAsia="方正黑体_GBK" w:cs="宋体"/>
                <w:sz w:val="18"/>
                <w:szCs w:val="18"/>
              </w:rPr>
              <w:t>O3份额：广发银行股份有限公司所有个人客户。</w:t>
            </w:r>
          </w:p>
          <w:p w14:paraId="08DB591E">
            <w:pPr>
              <w:spacing w:line="200" w:lineRule="exact"/>
            </w:pPr>
            <w:r>
              <w:rPr>
                <w:rFonts w:ascii="方正黑体_GBK" w:hAnsi="方正黑体_GBK" w:eastAsia="方正黑体_GBK" w:cs="宋体"/>
                <w:sz w:val="18"/>
                <w:szCs w:val="18"/>
              </w:rPr>
              <w:t>P3份额：广发银行股份有限公司南京分行个人客户。</w:t>
            </w:r>
          </w:p>
          <w:p w14:paraId="44E523B5">
            <w:pPr>
              <w:spacing w:line="200" w:lineRule="exact"/>
            </w:pPr>
            <w:r>
              <w:rPr>
                <w:rFonts w:ascii="方正黑体_GBK" w:hAnsi="方正黑体_GBK" w:eastAsia="方正黑体_GBK" w:cs="宋体"/>
                <w:sz w:val="18"/>
                <w:szCs w:val="18"/>
              </w:rPr>
              <w:t>O4份额：广发银行股份有限公司所有个人客户。</w:t>
            </w:r>
          </w:p>
          <w:p w14:paraId="6369246D">
            <w:pPr>
              <w:spacing w:line="200" w:lineRule="exact"/>
            </w:pPr>
            <w:r>
              <w:rPr>
                <w:rFonts w:ascii="方正黑体_GBK" w:hAnsi="方正黑体_GBK" w:eastAsia="方正黑体_GBK" w:cs="宋体"/>
                <w:sz w:val="18"/>
                <w:szCs w:val="18"/>
              </w:rPr>
              <w:t>P4份额：广发银行股份有限公司南京分行个人客户。</w:t>
            </w:r>
          </w:p>
          <w:p w14:paraId="569ADF09">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61766C4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ADFF90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07DA4D86">
            <w:pPr>
              <w:spacing w:line="200" w:lineRule="exact"/>
            </w:pPr>
            <w:r>
              <w:rPr>
                <w:rFonts w:ascii="方正黑体_GBK" w:hAnsi="方正黑体_GBK" w:eastAsia="方正黑体_GBK" w:cs="宋体"/>
                <w:sz w:val="18"/>
                <w:szCs w:val="18"/>
              </w:rPr>
              <w:t>A份额/B份额/C份额/D份额/E份额/G份额/I份额/J份额/K份额/M份额/A2份额/B2份额/C2份额/D2份额/E2份额/A3份额/B3份额/C3份额/D3份额/E3份额/A4份额/B4份额/C4份额/D4份额/E4份额/G2份额/G3份额/G4份额/H2份额/J2份额/K2份额/J3份额/K3份额/J4份额/K4份额/L4份额/M2份额/M3份额/M4份额：</w:t>
            </w:r>
          </w:p>
          <w:p w14:paraId="7D026AF7">
            <w:pPr>
              <w:spacing w:line="200" w:lineRule="exact"/>
            </w:pPr>
            <w:r>
              <w:rPr>
                <w:rFonts w:ascii="方正黑体_GBK" w:hAnsi="方正黑体_GBK" w:eastAsia="方正黑体_GBK" w:cs="宋体"/>
                <w:sz w:val="18"/>
                <w:szCs w:val="18"/>
              </w:rPr>
              <w:t>个人投资者投资起点金额1元人民币，以1元的整数倍递增；</w:t>
            </w:r>
          </w:p>
          <w:p w14:paraId="332B6900">
            <w:pPr>
              <w:spacing w:line="200" w:lineRule="exact"/>
            </w:pPr>
            <w:r>
              <w:rPr>
                <w:rFonts w:ascii="方正黑体_GBK" w:hAnsi="方正黑体_GBK" w:eastAsia="方正黑体_GBK" w:cs="宋体"/>
                <w:sz w:val="18"/>
                <w:szCs w:val="18"/>
              </w:rPr>
              <w:t>机构投资者投资起点金额1元人民币，以1元的整数倍递增；</w:t>
            </w:r>
          </w:p>
          <w:p w14:paraId="4D755FD9">
            <w:pPr>
              <w:spacing w:line="200" w:lineRule="exact"/>
            </w:pPr>
            <w:r>
              <w:rPr>
                <w:rFonts w:ascii="方正黑体_GBK" w:hAnsi="方正黑体_GBK" w:eastAsia="方正黑体_GBK" w:cs="宋体"/>
                <w:sz w:val="18"/>
                <w:szCs w:val="18"/>
              </w:rPr>
              <w:t>F份额/N份额/O份额/P份额/F2份额/F3份额/F4份额/O2份额/P2份额/O3份额/P3份额/O4份额/P4份额：</w:t>
            </w:r>
          </w:p>
          <w:p w14:paraId="675C1BCC">
            <w:pPr>
              <w:spacing w:line="200" w:lineRule="exact"/>
            </w:pPr>
            <w:r>
              <w:rPr>
                <w:rFonts w:ascii="方正黑体_GBK" w:hAnsi="方正黑体_GBK" w:eastAsia="方正黑体_GBK" w:cs="宋体"/>
                <w:sz w:val="18"/>
                <w:szCs w:val="18"/>
              </w:rPr>
              <w:t>个人投资者投资起点金额1元人民币，以1元的整数倍递增；</w:t>
            </w:r>
          </w:p>
          <w:p w14:paraId="2F97EE95">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6D8273E9">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05481AB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DC5B69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5B032CBB">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0AD5292F">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6627C88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A2A190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6FB08578">
            <w:pPr>
              <w:spacing w:line="200" w:lineRule="exact"/>
            </w:pPr>
            <w:r>
              <w:rPr>
                <w:rFonts w:ascii="方正黑体_GBK" w:hAnsi="方正黑体_GBK" w:eastAsia="方正黑体_GBK" w:cs="宋体"/>
                <w:color w:val="000000"/>
                <w:sz w:val="18"/>
                <w:szCs w:val="18"/>
              </w:rPr>
              <w:t>2019年07月24日 09:00—2019年07月30日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347CDD6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6A8ED68">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D97188C">
            <w:pPr>
              <w:spacing w:line="200" w:lineRule="exact"/>
            </w:pPr>
            <w:r>
              <w:rPr>
                <w:rFonts w:ascii="方正黑体_GBK" w:hAnsi="方正黑体_GBK" w:eastAsia="方正黑体_GBK" w:cs="宋体"/>
                <w:sz w:val="18"/>
                <w:szCs w:val="18"/>
              </w:rPr>
              <w:t>认购份额=确认认购金额/1。（认购份额以去尾法保留两位小数）</w:t>
            </w:r>
          </w:p>
        </w:tc>
      </w:tr>
      <w:tr w14:paraId="65BB541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45D55D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理财封闭期</w:t>
            </w:r>
          </w:p>
        </w:tc>
        <w:tc>
          <w:tcPr>
            <w:tcW w:w="5543" w:type="dxa"/>
            <w:tcBorders>
              <w:top w:val="single" w:color="auto" w:sz="4" w:space="0"/>
              <w:left w:val="nil"/>
              <w:bottom w:val="single" w:color="auto" w:sz="4" w:space="0"/>
              <w:right w:val="single" w:color="auto" w:sz="4" w:space="0"/>
              <w:tl2br w:val="nil"/>
              <w:tr2bl w:val="nil"/>
            </w:tcBorders>
            <w:vAlign w:val="center"/>
          </w:tcPr>
          <w:p w14:paraId="45BBBF4E">
            <w:pPr>
              <w:spacing w:line="200" w:lineRule="exact"/>
            </w:pPr>
            <w:r>
              <w:rPr>
                <w:rFonts w:ascii="方正黑体_GBK" w:hAnsi="方正黑体_GBK" w:eastAsia="方正黑体_GBK" w:cs="宋体"/>
                <w:sz w:val="18"/>
                <w:szCs w:val="18"/>
              </w:rPr>
              <w:t>本理财产品每期封闭期为一年，当期封闭期起止时间以公告为准。</w:t>
            </w:r>
          </w:p>
        </w:tc>
      </w:tr>
      <w:tr w14:paraId="19056DB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D12746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156CB8EF">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12C32AD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F19869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1E8EFDC2">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2019年07月31日</w:t>
            </w:r>
          </w:p>
        </w:tc>
      </w:tr>
      <w:tr w14:paraId="2510AD8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8A52FA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1EDCB90D">
            <w:pPr>
              <w:spacing w:line="200" w:lineRule="exact"/>
            </w:pPr>
            <w:r>
              <w:rPr>
                <w:rFonts w:ascii="方正黑体_GBK" w:hAnsi="方正黑体_GBK" w:eastAsia="方正黑体_GBK" w:cs="宋体"/>
                <w:sz w:val="18"/>
                <w:szCs w:val="18"/>
              </w:rPr>
              <w:t>2019年07月31日—实际到期日（若本理财产品未被提前终止或延期终止，则实际到期日即为名义到期日，存续期限10年；若本理财产品被提前终止或延期终止，则实际到期日为提前终止日或延期终止日。</w:t>
            </w:r>
            <w:r>
              <w:rPr>
                <w:rFonts w:ascii="方正黑体_GBK" w:hAnsi="方正黑体_GBK" w:eastAsia="方正黑体_GBK" w:cs="宋体"/>
                <w:b/>
                <w:sz w:val="18"/>
                <w:szCs w:val="18"/>
              </w:rPr>
              <w:t>理财产品管理人有权根据市场变化情况调整产品存续期，届时管理人将调整相关日期并进行信息披露。）</w:t>
            </w:r>
          </w:p>
        </w:tc>
      </w:tr>
      <w:tr w14:paraId="487B3AC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A173F5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1958844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2029年12月28日</w:t>
            </w:r>
            <w:r>
              <w:rPr>
                <w:rFonts w:hint="eastAsia" w:ascii="方正黑体_GBK" w:hAnsi="方正黑体_GBK" w:eastAsia="方正黑体_GBK" w:cs="Times New Roman"/>
                <w:b/>
                <w:bCs/>
                <w:caps w:val="0"/>
                <w:smallCaps w:val="0"/>
                <w:snapToGrid/>
                <w:vanish w:val="0"/>
                <w:color w:val="auto"/>
                <w:kern w:val="0"/>
                <w:sz w:val="18"/>
                <w:szCs w:val="18"/>
                <w:vertAlign w:val="baseline"/>
              </w:rPr>
              <w:t>（如遇国家法定节假日，管理人可结合国家法定节假日安排进行调整，并进行</w:t>
            </w:r>
            <w:r>
              <w:rPr>
                <w:rFonts w:hint="eastAsia" w:ascii="方正黑体_GBK" w:hAnsi="方正黑体_GBK" w:eastAsia="方正黑体_GBK"/>
                <w:b/>
                <w:bCs/>
                <w:caps w:val="0"/>
                <w:smallCaps w:val="0"/>
                <w:snapToGrid/>
                <w:vanish w:val="0"/>
                <w:color w:val="auto"/>
                <w:kern w:val="0"/>
                <w:sz w:val="18"/>
                <w:szCs w:val="18"/>
                <w:vertAlign w:val="baseline"/>
              </w:rPr>
              <w:t>信息披露</w:t>
            </w:r>
            <w:r>
              <w:rPr>
                <w:rFonts w:hint="eastAsia" w:ascii="方正黑体_GBK" w:hAnsi="方正黑体_GBK" w:eastAsia="方正黑体_GBK" w:cs="Times New Roman"/>
                <w:b/>
                <w:bCs/>
                <w:caps w:val="0"/>
                <w:smallCaps w:val="0"/>
                <w:snapToGrid/>
                <w:vanish w:val="0"/>
                <w:color w:val="auto"/>
                <w:kern w:val="0"/>
                <w:sz w:val="18"/>
                <w:szCs w:val="18"/>
                <w:vertAlign w:val="baseline"/>
              </w:rPr>
              <w:t>）</w:t>
            </w:r>
          </w:p>
        </w:tc>
      </w:tr>
      <w:tr w14:paraId="125E647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D8F26B1">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申购开放日和确认日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65B3D049">
            <w:pPr>
              <w:spacing w:line="200" w:lineRule="exact"/>
            </w:pPr>
            <w:r>
              <w:rPr>
                <w:rFonts w:ascii="方正黑体_GBK" w:hAnsi="方正黑体_GBK" w:eastAsia="方正黑体_GBK" w:cs="宋体"/>
                <w:sz w:val="18"/>
                <w:szCs w:val="18"/>
              </w:rPr>
              <w:t>本理财产品存续期内按每一年开放申购，如遇节假日调整，申购开放日和申购确认日以公告为准。</w:t>
            </w:r>
          </w:p>
        </w:tc>
      </w:tr>
      <w:tr w14:paraId="6BF3663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6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B979120">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赎回开放日和确认日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4246D26F">
            <w:pPr>
              <w:spacing w:line="200" w:lineRule="exact"/>
            </w:pPr>
            <w:r>
              <w:rPr>
                <w:rFonts w:ascii="方正黑体_GBK" w:hAnsi="方正黑体_GBK" w:eastAsia="方正黑体_GBK" w:cs="宋体"/>
                <w:sz w:val="18"/>
                <w:szCs w:val="18"/>
              </w:rPr>
              <w:t>本理财产品存续期内按每一年开放赎回，如遇节假日调整，赎回开放日和赎回确认日以公告为准，投资者可提交赎回申请，系统不自动赎回。产品终止时，产品将对所有份额进行强制赎回。</w:t>
            </w:r>
          </w:p>
        </w:tc>
      </w:tr>
      <w:tr w14:paraId="7C383ED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6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17E40B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申购/赎回规则</w:t>
            </w:r>
          </w:p>
        </w:tc>
        <w:tc>
          <w:tcPr>
            <w:tcW w:w="5543" w:type="dxa"/>
            <w:tcBorders>
              <w:top w:val="single" w:color="auto" w:sz="4" w:space="0"/>
              <w:left w:val="nil"/>
              <w:bottom w:val="single" w:color="auto" w:sz="4" w:space="0"/>
              <w:right w:val="single" w:color="auto" w:sz="4" w:space="0"/>
              <w:tl2br w:val="nil"/>
              <w:tr2bl w:val="nil"/>
            </w:tcBorders>
            <w:vAlign w:val="center"/>
          </w:tcPr>
          <w:p w14:paraId="62F923A9">
            <w:pPr>
              <w:spacing w:line="200" w:lineRule="exact"/>
            </w:pPr>
            <w:r>
              <w:rPr>
                <w:rFonts w:ascii="方正黑体_GBK" w:hAnsi="方正黑体_GBK" w:eastAsia="方正黑体_GBK" w:cs="宋体"/>
                <w:sz w:val="18"/>
                <w:szCs w:val="18"/>
              </w:rPr>
              <w:t>A份额/F份额：本次开放期为2025年8月14日9：00至2025年8月20日17：00,下一个开放期为2026年9月24日9：00至2026年10月8日17：00，投资者可以提交或撤销申购/赎回申请。</w:t>
            </w:r>
            <w:r>
              <w:rPr>
                <w:rFonts w:ascii="方正黑体_GBK" w:hAnsi="方正黑体_GBK" w:eastAsia="方正黑体_GBK"/>
              </w:rPr>
              <w:br w:type="textWrapping"/>
            </w:r>
            <w:r>
              <w:rPr>
                <w:rFonts w:ascii="方正黑体_GBK" w:hAnsi="方正黑体_GBK" w:eastAsia="方正黑体_GBK" w:cs="宋体"/>
                <w:sz w:val="18"/>
                <w:szCs w:val="18"/>
              </w:rPr>
              <w:t>B份额/C份额/D份额/E份额/G份额/I份额/J份额/K份额/M份额/N份额/O份额/P份额：本次开放期为2025年8月14日9：00至2025年8月20日17：00，投资者可以提交或撤销认/申购申请；确认成功的份额均将于下一个开放期（2026年9月24日9：00至2026年10月8日17：00）由系统自动发起赎回申请。</w:t>
            </w:r>
            <w:r>
              <w:rPr>
                <w:rFonts w:ascii="方正黑体_GBK" w:hAnsi="方正黑体_GBK" w:eastAsia="方正黑体_GBK"/>
              </w:rPr>
              <w:br w:type="textWrapping"/>
            </w:r>
            <w:r>
              <w:rPr>
                <w:rFonts w:ascii="方正黑体_GBK" w:hAnsi="方正黑体_GBK" w:eastAsia="方正黑体_GBK" w:cs="宋体"/>
                <w:sz w:val="18"/>
                <w:szCs w:val="18"/>
              </w:rPr>
              <w:t>A2份额/F2份额：本次开放期为2025年8月21日9：00至2025年8月27日17：00,下一个赎回开放期为2026年9月24日9：00至2026年10月8日17：00，投资者可以提交或撤销赎回申请，下一个申购开放期为2026年10月9日9：00至2026年10月14日17：00，投资者可以提交或撤销申购申请。</w:t>
            </w:r>
            <w:r>
              <w:rPr>
                <w:rFonts w:ascii="方正黑体_GBK" w:hAnsi="方正黑体_GBK" w:eastAsia="方正黑体_GBK"/>
              </w:rPr>
              <w:br w:type="textWrapping"/>
            </w:r>
            <w:r>
              <w:rPr>
                <w:rFonts w:ascii="方正黑体_GBK" w:hAnsi="方正黑体_GBK" w:eastAsia="方正黑体_GBK" w:cs="宋体"/>
                <w:sz w:val="18"/>
                <w:szCs w:val="18"/>
              </w:rPr>
              <w:t>B2份额/C2份额/D2份额/E2份额/G2份额/H2份额/J2份额/K2份额/M2份额/O2份额/P2份额：本次开放期为2025年8月21日9：00至2025年8月27日17：00，投资者可以提交或撤销认/申购申请；确认成功的份额均将于下一个开放期（2026年9月24日9：00至2026年10月8日17：00）由系统自动发起赎回申请。</w:t>
            </w:r>
            <w:r>
              <w:rPr>
                <w:rFonts w:ascii="方正黑体_GBK" w:hAnsi="方正黑体_GBK" w:eastAsia="方正黑体_GBK"/>
              </w:rPr>
              <w:br w:type="textWrapping"/>
            </w:r>
            <w:r>
              <w:rPr>
                <w:rFonts w:ascii="方正黑体_GBK" w:hAnsi="方正黑体_GBK" w:eastAsia="方正黑体_GBK" w:cs="宋体"/>
                <w:sz w:val="18"/>
                <w:szCs w:val="18"/>
              </w:rPr>
              <w:t>A3份额/F3份额：本次开放期为2025年8月28日9：00至2025年9月3日17：00,下一个赎回开放期为2026年9月24日9：00至2026年10月8日17：00，投资者可以提交或撤销赎回申请，下一个申购开放期为2026年10月15日9：00至2026年10月21日17：00，投资者可以提交或撤销申购申请。</w:t>
            </w:r>
            <w:r>
              <w:rPr>
                <w:rFonts w:ascii="方正黑体_GBK" w:hAnsi="方正黑体_GBK" w:eastAsia="方正黑体_GBK"/>
              </w:rPr>
              <w:br w:type="textWrapping"/>
            </w:r>
            <w:r>
              <w:rPr>
                <w:rFonts w:ascii="方正黑体_GBK" w:hAnsi="方正黑体_GBK" w:eastAsia="方正黑体_GBK" w:cs="宋体"/>
                <w:sz w:val="18"/>
                <w:szCs w:val="18"/>
              </w:rPr>
              <w:t>B3份额/C3份额/D3份额/E3份额/G3份额/J3份额/K3份额/M3份额/O3份额/P3份额：本次开放期为2025年8月28日9：00至2025年9月3日17：00，投资者可以提交或撤销认/申购申请；确认成功的份额均将于下一个开放期（2026年9月24日9：00至2026年10月8日17：00）由系统自动发起赎回申请。</w:t>
            </w:r>
            <w:r>
              <w:rPr>
                <w:rFonts w:ascii="方正黑体_GBK" w:hAnsi="方正黑体_GBK" w:eastAsia="方正黑体_GBK"/>
              </w:rPr>
              <w:br w:type="textWrapping"/>
            </w:r>
            <w:r>
              <w:rPr>
                <w:rFonts w:ascii="方正黑体_GBK" w:hAnsi="方正黑体_GBK" w:eastAsia="方正黑体_GBK" w:cs="宋体"/>
                <w:sz w:val="18"/>
                <w:szCs w:val="18"/>
              </w:rPr>
              <w:t>A4份额/F4份额：本次开放期为2025年9月4日9：00至2025年9月10日17：00,下一个赎回开放期为2026年9月24日9：00至2026年10月8日17：00，投资者可以提交或撤销赎回申请，下一个申购开放期为2026年10月22日9：00至2026年10月28日17：00，投资者可以提交或撤销申购申请。</w:t>
            </w:r>
            <w:r>
              <w:rPr>
                <w:rFonts w:ascii="方正黑体_GBK" w:hAnsi="方正黑体_GBK" w:eastAsia="方正黑体_GBK"/>
              </w:rPr>
              <w:br w:type="textWrapping"/>
            </w:r>
            <w:r>
              <w:rPr>
                <w:rFonts w:ascii="方正黑体_GBK" w:hAnsi="方正黑体_GBK" w:eastAsia="方正黑体_GBK" w:cs="宋体"/>
                <w:sz w:val="18"/>
                <w:szCs w:val="18"/>
              </w:rPr>
              <w:t>B4份额/C4份额/D4份额/E4份额/G4份额/J4份额/K4份额/L4份额/M4份额/O4份额/P4份额：本次开放期为2025年9月4日9：00至2025年9月10日17：00，投资者可以提交或撤销认/申购申请；确认成功的份额均将于下一个开放期（2026年9月24日9：00至2026年10月8日17：00）由系统自动发起赎回申请。</w:t>
            </w:r>
            <w:r>
              <w:rPr>
                <w:rFonts w:ascii="方正黑体_GBK" w:hAnsi="方正黑体_GBK" w:eastAsia="方正黑体_GBK"/>
              </w:rPr>
              <w:br w:type="textWrapping"/>
            </w:r>
            <w:r>
              <w:rPr>
                <w:rFonts w:ascii="方正黑体_GBK" w:hAnsi="方正黑体_GBK" w:eastAsia="方正黑体_GBK" w:cs="宋体"/>
                <w:sz w:val="18"/>
                <w:szCs w:val="18"/>
              </w:rPr>
              <w:t>产品开放期如有调整以管理人公告为准。</w:t>
            </w:r>
            <w:r>
              <w:rPr>
                <w:rFonts w:ascii="方正黑体_GBK" w:hAnsi="方正黑体_GBK" w:eastAsia="方正黑体_GBK"/>
              </w:rPr>
              <w:br w:type="textWrapping"/>
            </w:r>
            <w:r>
              <w:rPr>
                <w:rFonts w:ascii="方正黑体_GBK" w:hAnsi="方正黑体_GBK" w:eastAsia="方正黑体_GBK" w:cs="宋体"/>
                <w:sz w:val="18"/>
                <w:szCs w:val="18"/>
              </w:rPr>
              <w:t>在销售机构支持的前提下，认购/申购/赎回开放期末日17:00前可以撤销申购/赎回申请。</w:t>
            </w:r>
            <w:r>
              <w:rPr>
                <w:rFonts w:ascii="方正黑体_GBK" w:hAnsi="方正黑体_GBK" w:eastAsia="方正黑体_GBK"/>
              </w:rPr>
              <w:br w:type="textWrapping"/>
            </w:r>
            <w:r>
              <w:rPr>
                <w:rFonts w:ascii="方正黑体_GBK" w:hAnsi="方正黑体_GBK" w:eastAsia="方正黑体_GBK" w:cs="宋体"/>
                <w:sz w:val="18"/>
                <w:szCs w:val="18"/>
              </w:rPr>
              <w:t>代销机构可根据其销售需要在管理人设定的申购/赎回时间范围内对申购/赎回时间进行重新设定，投资者通过代销机构购买本理财产品的，以该代销机构最终披露的时间为准。</w:t>
            </w:r>
          </w:p>
        </w:tc>
      </w:tr>
      <w:tr w14:paraId="1FFE27B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8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9A872CC">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申购</w:t>
            </w:r>
            <w:r>
              <w:rPr>
                <w:rFonts w:hint="eastAsia" w:ascii="方正黑体_GBK" w:hAnsi="方正黑体_GBK" w:eastAsia="方正黑体_GBK"/>
                <w:caps w:val="0"/>
                <w:smallCaps w:val="0"/>
                <w:snapToGrid/>
                <w:vanish w:val="0"/>
                <w:color w:val="auto"/>
                <w:kern w:val="0"/>
                <w:sz w:val="18"/>
                <w:szCs w:val="18"/>
                <w:vertAlign w:val="baseline"/>
              </w:rPr>
              <w:t>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70B4BC4A">
            <w:pPr>
              <w:spacing w:line="200" w:lineRule="exact"/>
            </w:pPr>
            <w:r>
              <w:rPr>
                <w:rFonts w:ascii="方正黑体_GBK" w:hAnsi="方正黑体_GBK" w:eastAsia="方正黑体_GBK" w:cs="宋体"/>
                <w:sz w:val="18"/>
                <w:szCs w:val="18"/>
              </w:rPr>
              <w:t>申购份额=确认申购金额/S。S为申购确认日理财产品单位净值（已扣除相关费用）。申购份额以去尾法保留两位小数。</w:t>
            </w:r>
          </w:p>
        </w:tc>
      </w:tr>
      <w:tr w14:paraId="3586266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49E167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赎回金额计算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3D80B451">
            <w:pPr>
              <w:spacing w:line="200" w:lineRule="exact"/>
            </w:pPr>
            <w:r>
              <w:rPr>
                <w:rFonts w:ascii="方正黑体_GBK" w:hAnsi="方正黑体_GBK" w:eastAsia="方正黑体_GBK" w:cs="宋体"/>
                <w:sz w:val="18"/>
                <w:szCs w:val="18"/>
              </w:rPr>
              <w:t>赎回金额=确认赎回份额×R。 R为赎回确认日理财产品单位净值（已扣除相关费用，赎回金额以去尾法保留两位小数）</w:t>
            </w:r>
          </w:p>
        </w:tc>
      </w:tr>
      <w:tr w14:paraId="479A475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D6973EA">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61488599">
            <w:pPr>
              <w:spacing w:line="200" w:lineRule="exact"/>
            </w:pPr>
            <w:r>
              <w:rPr>
                <w:rFonts w:ascii="方正黑体_GBK" w:hAnsi="方正黑体_GBK" w:eastAsia="方正黑体_GBK" w:cs="宋体"/>
                <w:color w:val="000000"/>
                <w:sz w:val="18"/>
                <w:szCs w:val="18"/>
              </w:rPr>
              <w:t>到期兑付金额=到期时持有份额×P。 P为期末理财产品单位净值。（已扣除相关费用，到期兑付金额以去尾法保留两位小数）</w:t>
            </w:r>
          </w:p>
        </w:tc>
      </w:tr>
      <w:tr w14:paraId="4A5FA72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27C405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7002D0D1">
            <w:pPr>
              <w:spacing w:line="200" w:lineRule="exact"/>
            </w:pPr>
            <w:r>
              <w:rPr>
                <w:rFonts w:ascii="方正黑体_GBK" w:hAnsi="方正黑体_GBK" w:eastAsia="方正黑体_GBK" w:cs="宋体"/>
                <w:sz w:val="18"/>
                <w:szCs w:val="18"/>
              </w:rPr>
              <w:t>当理财产品单位净值不低于1时，管理人可以根据实际情况进行收益分配，分配方式为现金分红，具体分配方案以信息披露为准（分配后理财产品净值不低于1）。</w:t>
            </w:r>
          </w:p>
          <w:p w14:paraId="0487CBFF">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67505BD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F8F883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290CC324">
            <w:pPr>
              <w:spacing w:line="200" w:lineRule="exact"/>
              <w:jc w:val="left"/>
            </w:pPr>
            <w:r>
              <w:rPr>
                <w:rFonts w:ascii="方正黑体_GBK" w:hAnsi="方正黑体_GBK" w:eastAsia="方正黑体_GBK" w:cs="宋体"/>
                <w:sz w:val="18"/>
                <w:szCs w:val="18"/>
              </w:rPr>
              <w:t>赎回资金、分红资金（如有）、到期资金将于赎回确认日、分红权益登记日（如有）、实际到期日后5个工作日内划入投资者授权指定账户，赎回确认日、分红权益登记日（如有）、实际到期日后至投资者收益划到投资者授权指定账户之前不计任何收益。</w:t>
            </w:r>
          </w:p>
          <w:p w14:paraId="0918A022">
            <w:pPr>
              <w:spacing w:line="200" w:lineRule="exact"/>
              <w:jc w:val="left"/>
            </w:pPr>
            <w:r>
              <w:rPr>
                <w:rFonts w:ascii="方正黑体_GBK" w:hAnsi="方正黑体_GBK" w:eastAsia="方正黑体_GBK" w:cs="宋体"/>
                <w:sz w:val="18"/>
                <w:szCs w:val="18"/>
              </w:rPr>
              <w:t>分红权益登记日指管理人确认投资者所持份额是否享受本次分红的日期。</w:t>
            </w:r>
          </w:p>
        </w:tc>
      </w:tr>
      <w:tr w14:paraId="6193915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D4591B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32192086">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645E8053">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1BD4644E">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5491F147">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47117A86">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5CF5ADF5">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32FF38AB">
            <w:pPr>
              <w:spacing w:line="200" w:lineRule="exact"/>
              <w:jc w:val="lef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7DFCAD4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77CFCC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3319A8C2">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2314F69E">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20D47E8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C18F3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306C5DE0">
            <w:pPr>
              <w:spacing w:line="200" w:lineRule="exact"/>
            </w:pPr>
            <w:r>
              <w:rPr>
                <w:rFonts w:ascii="方正黑体_GBK" w:hAnsi="方正黑体_GBK" w:eastAsia="方正黑体_GBK" w:cs="宋体"/>
                <w:sz w:val="18"/>
                <w:szCs w:val="18"/>
              </w:rPr>
              <w:t>本理财产品通过对宏观经济、政策环境、市场状况和资金供求的深入分析，自上而下进行积极主动的资产配置，对债券等资产进行品种和行业的价值分析，构建合理的投资组合方案。力争控制回撤幅度，追求稳健的投资回报。</w:t>
            </w:r>
          </w:p>
        </w:tc>
      </w:tr>
      <w:tr w14:paraId="47A1B67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AF7DD4F">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4A25D1DB">
            <w:pPr>
              <w:spacing w:line="200" w:lineRule="exact"/>
            </w:pPr>
            <w:r>
              <w:rPr>
                <w:rFonts w:ascii="方正黑体_GBK" w:hAnsi="方正黑体_GBK" w:eastAsia="方正黑体_GBK" w:cs="宋体"/>
                <w:b/>
                <w:sz w:val="18"/>
                <w:szCs w:val="18"/>
              </w:rPr>
              <w:t>本理财产品拟投资以下备选非标准化债权类资产：</w:t>
            </w:r>
          </w:p>
          <w:p w14:paraId="6CA04A3A">
            <w:pPr>
              <w:spacing w:line="200" w:lineRule="exact"/>
            </w:pPr>
            <w:r>
              <w:rPr>
                <w:rFonts w:ascii="方正黑体_GBK" w:hAnsi="方正黑体_GBK" w:eastAsia="方正黑体_GBK" w:cs="宋体"/>
                <w:sz w:val="18"/>
                <w:szCs w:val="18"/>
              </w:rPr>
              <w:t>1.信托贷款：资产类型为信托公司设立的固定收益类信托计划，底层资产为向融资人淮安市城市发展投资控股集团有限公司发放信托贷款，资产到期日不超过理财产品最近一次开放日。融资人评级为AAA（评级机构为中证鹏元资信评估股份有限公司），融资人第一大股东为淮安市人民政府，持股比例为100%。经营范围包括：许可项目:建设工程施工;建设工程施工(除核电站建设经营、民用机场建设);建设工程质量检测;建设工程监理;建设工程勘察;建设工程设计;城市公共交通;城市建筑垃圾处置(清运);水利工程建设监理;测绘服务;房地产开发经营;旅游业务;演出经纪;住宿服务;餐饮服务(依法须经批准的项目,经相关部门批准后方可开展经营活动,具体经营项目以审批结果为准)一般项目:以私募基金从事股权投资、投资管理、资产管理等活动(须在中国证券投资基金业协会完成登记备案后方可从事经营活动);以自有资金从事投资活动;创业投资(限投资未上市企业);股权投资;城市绿化管理;城市公园管理;市政设施管理;园林绿化工程施工;规划设计管理;园区管理服务;工程造价咨询业务;私募证券投资基金管理服务(须在中国证券投资基金业协会完成登记备案后方可从事经营活动);水利相关咨询服务;旅游开发项目策划咨询;生态恢复及生态保护服务;自然生态系统保护管理;人力资源服务(不含职业中介活动、劳务派遣服务);会议及展览服务;广告设计、代理;信息技术咨询服务;企业管理咨询;物业管理(除依法须经批准的项目外,凭营业执照依法自主开展经营活动)</w:t>
            </w:r>
          </w:p>
          <w:p w14:paraId="23233E87">
            <w:pPr>
              <w:spacing w:line="200" w:lineRule="exact"/>
            </w:pPr>
            <w:r>
              <w:rPr>
                <w:rFonts w:ascii="方正黑体_GBK" w:hAnsi="方正黑体_GBK" w:eastAsia="方正黑体_GBK" w:cs="宋体"/>
                <w:sz w:val="18"/>
                <w:szCs w:val="18"/>
              </w:rPr>
              <w:t>2.信托贷款：资产类型为信托公司设立的固定收益类信托计划，底层资产为向融资人常州新运城市发展集团有限公司发放信托贷款，资产到期日不超过理财产品最近一次开放日。融资人评级为AA+（评级机构为中诚信国际信用评级有限责任公司），融资人第一大股东为常州市人民政府国有资产监督管理委员会，持股比例为100%。经营范围包括：许可项目:建设工程施工(依法须经批准的项目,经相关部门批准后方可开展经营活动,具体经营项目以审批结果为准)一般项目:市政设施管理;工程管理服务;土地整治服务;以自有资金从事投资活动;创业投资(限投资未上市企业);住房租赁;物业管理;五金产品零售;电子元器件批发;化工产品销售(不含许可类化工产品);日用百货销售;办公设备销售;办公设备耗材销售;针纺织品销售;服装服饰零售;服装服饰批发;建筑材料销售;金属材料销售;建筑工程用机械销售;矿山机械销售;隧道施工专用机械销售;畜牧机械销售;气体压缩机械销售;铸造机械销售;农业机械销售;农林牧渔机械配件销售;机械零件、零部件销售;橡胶制品销售(除依法须经批准的项目外,凭营业执照依法自主开展经营活动)</w:t>
            </w:r>
          </w:p>
          <w:p w14:paraId="0EA2F7CC">
            <w:pPr>
              <w:spacing w:line="200" w:lineRule="exact"/>
            </w:pPr>
            <w:r>
              <w:rPr>
                <w:rFonts w:ascii="方正黑体_GBK" w:hAnsi="方正黑体_GBK" w:eastAsia="方正黑体_GBK" w:cs="宋体"/>
                <w:sz w:val="18"/>
                <w:szCs w:val="18"/>
              </w:rPr>
              <w:t>3.信托贷款：资产类型为信托公司设立的固定收益类信托计划，底层资产为向融资人常州滨江产城建设发展有限公司发放信托贷款，资产到期日不超过理财产品最近一次开放日。融资人无外部评级，融资人第一大股东为常州滨江投资发展集团有限公司，持股比例为100%。经营范围包括：许可项目：建设工程施工(依法须经批准的项目，经相关部门批准后方可开展经营活动，具体经营项目以审批结果为准)一般项目：环境保护专用设备销售；新能源原动设备销售；技术服务、技术开发、技术咨询、技术交流、技术转让、技术推广；环保咨询服务；化工产品销售(不含许可类化工产品)；工程管理服务；建筑材料销售；建筑装饰材料销售；有色金属合金销售；五金产品零售；住房租赁；非居住房地产租赁；土地整治服务；以自有资金从事投资活动(除依法须经批准的项目外，凭营业执照依法自主开展经营活动)</w:t>
            </w:r>
          </w:p>
          <w:p w14:paraId="5BB17E4B">
            <w:pPr>
              <w:spacing w:line="200" w:lineRule="exact"/>
            </w:pPr>
            <w:r>
              <w:rPr>
                <w:rFonts w:ascii="方正黑体_GBK" w:hAnsi="方正黑体_GBK" w:eastAsia="方正黑体_GBK" w:cs="宋体"/>
                <w:sz w:val="18"/>
                <w:szCs w:val="18"/>
              </w:rPr>
              <w:t>4.信托贷款：资产类型为信托公司设立的固定收益类信托计划，底层资产为向融资人江苏龙城国有控股集团有限公司发放信托贷款，资产到期日不超过理财产品最近一次开放日。融资人评级为AA+（评级机构为中诚信国际信用评级有限责任公司），融资人第一大股东为常州市人民政府，持股比例为100%。经营范围包括：许可项目:建设工程施工(依法须经批准的项目,经相关部门批准后方可开展经营活动,具体经营项目以审批结果为准)一般项目:自有资金投资的资产管理服务;市政设施管理;园林绿化工程施工;城市绿化管理;物业管理;城乡市容管理;停车场服务;建筑材料销售;租赁服务(不含许可类租赁服务);城市公园管理;森林公园管理;森林经营和管护;园区管理服务;电子产品销售;普通货物仓储服务(不含危险化学品等需许可审批的项目);土地整治服务;水环境污染防治服务;科技中介服务;自然生态系统保护管理;工程管理服务;以自有资金从事投资活动(除依法须经批准的项目外,凭营业执照依法自主开展经营活动)</w:t>
            </w:r>
          </w:p>
          <w:p w14:paraId="2D889D2D">
            <w:pPr>
              <w:spacing w:line="200" w:lineRule="exact"/>
            </w:pPr>
            <w:r>
              <w:rPr>
                <w:rFonts w:ascii="方正黑体_GBK" w:hAnsi="方正黑体_GBK" w:eastAsia="方正黑体_GBK" w:cs="宋体"/>
                <w:sz w:val="18"/>
                <w:szCs w:val="18"/>
              </w:rPr>
              <w:t>5.信托贷款：资产类型为信托公司设立的固定收益类信托计划，底层资产为向融资人邳州市产业投资控股集团有限公司发放信托贷款，资产到期日不超过理财产品最近一次开放日。融资人评级为AA+（评级机构为东方金诚国际信用评估有限公司），融资人第一大股东为邳州市财政局，持股比例为100%。经营范围包括：许可项目:建筑物拆除作业(爆破作业除外);发电业务、输电业务、供(配)电业务;水利工程建设监理;城市建筑垃圾处置(清运);建设工程施工;住宅室内装饰装修(依法须经批准的项目,经相关部门批准后方可开展经营活动,具体经营项目以审批结果为准)一般项目:土地整治服务;融资咨询服务;规划设计管理;市政设施管理;城市绿化管理;园区管理服务;养老服务;与农业生产经营有关的技术、信息、设施建设运营等服务;园林绿化工程施工;水污染治理;热力生产和供应(除依法须经批准的项目外,凭营业执照依法自主开展经营活动)</w:t>
            </w:r>
          </w:p>
          <w:p w14:paraId="581692C4">
            <w:pPr>
              <w:spacing w:line="200" w:lineRule="exact"/>
            </w:pPr>
            <w:r>
              <w:rPr>
                <w:rFonts w:ascii="方正黑体_GBK" w:hAnsi="方正黑体_GBK" w:eastAsia="方正黑体_GBK" w:cs="宋体"/>
                <w:sz w:val="18"/>
                <w:szCs w:val="18"/>
              </w:rPr>
              <w:t>6.信托贷款：资产类型为信托公司设立的固定收益类信托计划，底层资产为向融资人江苏苏海控股集团有限公司发放信托贷款，资产到期日不超过理财产品最近一次开放日。融资人评级为AA+（评级机构为大公国际资信评估有限公司），融资人第一大股东为连云港市赣榆区人民政府，持股比例为100%。经营范围包括：许可项目：各类工程建设活动；保税物流中心经营；道路货物运输站经营；城市配送运输服务(不含危险货物)；矿产资源(非煤矿山)开采；自来水生产与供应(依法须经批准的项目，经相关部门批准后方可开展经营活动，具体经营项目以审批结果为准) 一般项目：国内货物运输代理；国内贸易代理；销售代理；园区管理服务；工程管理服务；园林绿化工程施工；城市绿化管理；市政设施管理；公共事业管理服务；建筑材料销售；铁路运输辅助活动；热力生产和供应；普通货物仓储服务(不含危险化学品等需许可审批的项目)；污水处理及其再生利用；船舶港口服务；水污染治理；水环境污染防治服务；供暖服务；土石方工程施工；对外承包工程；水产品批发；水产品零售；非金属矿及制品销售；农副产品销售(除依法须经批准的项目外，凭营业执照依法自主开展经营活动)</w:t>
            </w:r>
          </w:p>
          <w:p w14:paraId="6B4F8BE7">
            <w:pPr>
              <w:spacing w:line="200" w:lineRule="exact"/>
            </w:pPr>
            <w:r>
              <w:rPr>
                <w:rFonts w:ascii="方正黑体_GBK" w:hAnsi="方正黑体_GBK" w:eastAsia="方正黑体_GBK" w:cs="宋体"/>
                <w:sz w:val="18"/>
                <w:szCs w:val="18"/>
              </w:rPr>
              <w:t>7.信托贷款：资产类型为信托公司设立的固定收益类信托计划，底层资产为向融资人嵊州市交通投资发展集团有限公司发放信托贷款，资产到期日不超过理财产品最近一次开放日。融资人评级为AA（评级机构为上海新世纪资信评估投资服务有限公司），融资人第一大股东为嵊州市投资控股有限公司，持股比例为100%。经营范围包括：许可项目:公路管理与养护;建设工程监理;建设工程设计;建设工程施工;非煤矿山矿产资源开采;港口经营;茶叶制品生产(依法须经批准的项目,经相关部门批准后方可开展经营活动,具体经营项目以审批结果为准)。一般项目:园林绿化工程施工;城市绿化管理;建筑材料销售;非金属矿及制品销售;建筑用石加工;建筑工程机械与设备租赁;运输设备租赁服务;茶叶种植;农副产品销售;高等级公路、桥梁、隧道基础设施的投资(除依法须经批准的项目外,凭营业执照依法自主开展经营活动)。</w:t>
            </w:r>
          </w:p>
          <w:p w14:paraId="1E44EB9A">
            <w:pPr>
              <w:spacing w:line="200" w:lineRule="exact"/>
            </w:pPr>
            <w:r>
              <w:rPr>
                <w:rFonts w:ascii="方正黑体_GBK" w:hAnsi="方正黑体_GBK" w:eastAsia="方正黑体_GBK" w:cs="宋体"/>
                <w:sz w:val="18"/>
                <w:szCs w:val="18"/>
              </w:rPr>
              <w:t>8.信托贷款：资产类型为信托公司设立的固定收益类信托计划，底层资产为向融资人浙江省新昌县投资发展集团有限公司发放信托贷款，资产到期日不超过理财产品最近一次开放日。融资人评级为AA+（评级机构为上海新世纪资信评估投资服务有限公司），融资人第一大股东为新昌县人民政府国有资产监督管理办公室，持股比例为100%。经营范围包括：土地开发,城市维护建设中的基础建设,旧城改造工程的开发、建设,对城市建设工程开发、建设的投资。(依法须经批准的项目,经相关部门批准后方可开展经营活动)</w:t>
            </w:r>
          </w:p>
          <w:p w14:paraId="4A2D5AB5">
            <w:pPr>
              <w:spacing w:line="200" w:lineRule="exact"/>
            </w:pPr>
            <w:r>
              <w:rPr>
                <w:rFonts w:ascii="方正黑体_GBK" w:hAnsi="方正黑体_GBK" w:eastAsia="方正黑体_GBK" w:cs="宋体"/>
                <w:sz w:val="18"/>
                <w:szCs w:val="18"/>
              </w:rPr>
              <w:t>9.信托贷款：资产类型为信托公司设立的固定收益类信托计划，底层资产为向融资人杭州西湖城市建设投资集团有限公司发放信托贷款，资产到期日不超过理财产品最近一次开放日。融资人评级为AAA（评级机构为标普信用评级(中国)有限公司），融资人第一大股东为杭州西湖投资集团有限公司，持股比例为100%。经营范围包括：服务：城市基础设施建设(凭资质证经营)，代建由政府有关职能部门授权的农转居多层公寓和经济适用房；批发、零售：建筑材料；其他无需报经审批的一切合法项目。</w:t>
            </w:r>
          </w:p>
          <w:p w14:paraId="4FF0E710">
            <w:pPr>
              <w:spacing w:line="200" w:lineRule="exact"/>
            </w:pPr>
            <w:r>
              <w:rPr>
                <w:rFonts w:ascii="方正黑体_GBK" w:hAnsi="方正黑体_GBK" w:eastAsia="方正黑体_GBK" w:cs="宋体"/>
                <w:sz w:val="18"/>
                <w:szCs w:val="18"/>
              </w:rPr>
              <w:t>10.信托贷款：资产类型为信托公司设立的固定收益类信托计划，底层资产为向融资人扬州高发产业投资发展集团有限公司发放信托贷款，资产到期日不超过理财产品最近一次开放日。融资人评级为AA+（评级机构为中证鹏元资信评估股份有限公司），融资人第一大股东为扬州高新国控集团有限公司，持股比例为100%。经营范围包括：投资咨询、投资管理、财务管理、基础设施建设、土地整理服务。(不含需前置审批项目)(依法须经批准的项目，经相关部门批准后方可开展经营活动)一般项目：电子元器件与机电组件设备销售；仪器仪表制造；木材销售；机械设备租赁；城市绿化管理；电子元器件与机电组件设备制造(除依法须经批准的项目外，凭营业执照依法自主开展经营活动)</w:t>
            </w:r>
          </w:p>
          <w:p w14:paraId="3CD07D68">
            <w:pPr>
              <w:spacing w:line="200" w:lineRule="exact"/>
            </w:pPr>
            <w:r>
              <w:rPr>
                <w:rFonts w:ascii="方正黑体_GBK" w:hAnsi="方正黑体_GBK" w:eastAsia="方正黑体_GBK" w:cs="宋体"/>
                <w:sz w:val="18"/>
                <w:szCs w:val="18"/>
              </w:rPr>
              <w:t>11.信托贷款：资产类型为信托公司设立的固定收益类信托计划，底层资产为向融资人江苏开晟产业发展集团有限公司发放信托贷款，资产到期日不超过理财产品最近一次开放日。融资人评级为AA+（评级机构为联合资信评估股份有限公司），融资人第一大股东为海安经济技术开发区管理委员会，持股比例为100%。经营范围包括：许可项目:建设工程施工;房地产开发经营(依法须经批准的项目,经相关部门批准后方可开展经营活动,具体经营项目以审批结果为准)一般项目:土地整治服务;物业管理;企业管理;土地使用权租赁;非居住房地产租赁;住房租赁(除依法须经批准的项目外,凭营业执照依法自主开展经营活动)</w:t>
            </w:r>
          </w:p>
          <w:p w14:paraId="1F8BE8F1">
            <w:pPr>
              <w:spacing w:line="200" w:lineRule="exact"/>
            </w:pPr>
            <w:r>
              <w:rPr>
                <w:rFonts w:ascii="方正黑体_GBK" w:hAnsi="方正黑体_GBK" w:eastAsia="方正黑体_GBK" w:cs="宋体"/>
                <w:sz w:val="18"/>
                <w:szCs w:val="18"/>
              </w:rPr>
              <w:t>12.信托贷款：资产类型为信托公司设立的固定收益类信托计划，底层资产为向融资人扬州江淮建设发展有限公司发放信托贷款，资产到期日不超过理财产品最近一次开放日。融资人评级为AA+（评级机构为中证鹏元资信评估股份有限公司），融资人第一大股东为扬州市国联控股集团有限公司，持股比例为100%。经营范围包括：城镇化建设投资,旅游景区项目投资、开发,历史文化街区整合及开发,文化艺术交流服务,会展服务,商务信息咨询,对城中村改造项目、棚户区改造项目、农村基础设施项目及农业项目的投资。(依法须经批准的项目,经相关部门批准后方可开展经营活动)一般项目:建筑材料销售;林业产品销售(除依法须经批准的项目外,凭营业执照依法自主开展经营活动)</w:t>
            </w:r>
          </w:p>
          <w:p w14:paraId="7DFCF8A8">
            <w:pPr>
              <w:spacing w:line="200" w:lineRule="exact"/>
            </w:pPr>
            <w:r>
              <w:rPr>
                <w:rFonts w:ascii="方正黑体_GBK" w:hAnsi="方正黑体_GBK" w:eastAsia="方正黑体_GBK" w:cs="宋体"/>
                <w:sz w:val="18"/>
                <w:szCs w:val="18"/>
              </w:rPr>
              <w:t>13.信托贷款：资产类型为信托公司设立的固定收益类信托计划，底层资产为向融资人泰州市华融城镇建设有限公司发放信托贷款，资产到期日不超过理财产品最近一次开放日。融资人无外部评级，融资人第一大股东为江苏创鸿资产管理有限公司，持股比例为100%。经营范围包括：许可项目：建设工程施工；水产苗种生产(依法须经批准的项目，经相关部门批准后方可开展经营活动，具体经营项目以审批结果为准) 一般项目：建筑装饰材料销售；金属材料销售；农业园艺服务；城市绿化管理；园林绿化工程施工；工程管理服务；农村生活垃圾经营性服务；物业管理；以自有资金从事投资活动；创业投资(限投资未上市企业)；自有资金投资的资产管理服务；树木种植经营；农业科学研究和试验发展；水果种植；新鲜水果零售；花卉种植；蔬菜种植；新鲜蔬菜零售；礼品花卉销售；中草药种植；建筑材料销售；中草药收购；水产品零售；谷物种植；谷物销售；食用农产品批发；食用农产品零售(除依法须经批准的项目外，凭营业执照依法自主开展经营活动)</w:t>
            </w:r>
          </w:p>
          <w:p w14:paraId="6F5FFB52">
            <w:pPr>
              <w:spacing w:line="200" w:lineRule="exact"/>
            </w:pPr>
            <w:r>
              <w:rPr>
                <w:rFonts w:ascii="方正黑体_GBK" w:hAnsi="方正黑体_GBK" w:eastAsia="方正黑体_GBK" w:cs="宋体"/>
                <w:sz w:val="18"/>
                <w:szCs w:val="18"/>
              </w:rPr>
              <w:t>14.信托贷款：资产类型为信托公司设立的固定收益类信托计划，底层资产为向融资人泰州国控投资集团有限公司发放信托贷款，资产到期日不超过理财产品最近一次开放日。融资人评级为AAA（评级机构为中诚信国际信用评级有限责任公司），融资人第一大股东为泰州市政府国有资产监督管理委员会，持股比例为100%。经营范围包括：许可项目:房地产开发经营;城市生活垃圾经营性服务;非银行金融业务;金融资产管理服务;发电业务、输电业务、供(配)电业务;输电、供电、受电电力设施的安装、维修和试验;城市建筑垃圾处置(清运)(依法须经批准的项目,经相关部门批准后方可开展经营活动,具体经营项目以审批结果为准)一般项目:机动车充电销售;停车场服务;储能技术服务;集中式快速充电站;电动汽车充电基础设施运营;股权投资;以自有资金从事投资活动;工程管理服务;城市绿化管理;市政设施管理;土地使用权租赁;住房租赁;仓储设备租赁服务;污水处理及其再生利用;水污染治理;水环境污染防治服务;环保咨询服务;物业管理;信息咨询服务(不含许可类信息咨询服务);会议及展览服务;树木种植经营;花卉种植;中草药种植;农产品的生产、销售、加工、运输、贮藏及其他相关服务;养老服务(社区养老服务);养老服务(居家养老服务);养老服务(机构养老服务);从事国际集装箱船、普通货船运输;船舶港口服务;集装箱租赁服务;煤炭及制品销售;石油制品销售(不含危险化学品);有色金属合金销售;金属矿石销售;城乡市容管理;生态恢复及生态保护服务;土壤污染治理与修复服务;大气环境污染防治服务;建筑材料销售;机械设备租赁(除依法须经批准的项目外,凭营业执照依法自主开展经营活动)</w:t>
            </w:r>
          </w:p>
          <w:p w14:paraId="1B66FCAE">
            <w:pPr>
              <w:spacing w:line="200" w:lineRule="exact"/>
            </w:pPr>
            <w:r>
              <w:rPr>
                <w:rFonts w:ascii="方正黑体_GBK" w:hAnsi="方正黑体_GBK" w:eastAsia="方正黑体_GBK" w:cs="宋体"/>
                <w:sz w:val="18"/>
                <w:szCs w:val="18"/>
              </w:rPr>
              <w:t>15.信托贷款：资产类型为信托公司设立的固定收益类信托计划，底层资产为向融资人泰州市城市建设投资控股有限公司发放信托贷款，资产到期日不超过理财产品最近一次开放日。融资人评级为AA+（评级机构为上海新世纪资信评估投资服务有限公司），融资人第一大股东为泰州市城市建设投资集团有限公司，持股比例为100%。经营范围包括：许可项目:建设工程施工;餐饮服务;烟草制品零售;出版物零售;食品销售(依法须经批准的项目,经相关部门批准后方可开展经营活动,具体经营项目以审批结果为准)一般项目:以自有资金从事投资活动;股权投资;物业管理;商业综合体管理服务;建筑材料销售;住房租赁;非居住房地产租赁;机械设备租赁;新鲜水果零售;打字复印;润滑油销售;石油制品销售(不含危险化学品);化工产品销售(不含许可类化工产品);煤炭及制品销售(禁燃区内不得含有原煤、散煤、煤矸石、煤泥、煤粉、水煤浆、型煤、焦炭、兰炭等)(除依法须经批准的项目外,凭营业执照依法自主开展经营活动)</w:t>
            </w:r>
          </w:p>
          <w:p w14:paraId="74C0A481">
            <w:pPr>
              <w:spacing w:line="200" w:lineRule="exact"/>
            </w:pPr>
            <w:r>
              <w:rPr>
                <w:rFonts w:ascii="方正黑体_GBK" w:hAnsi="方正黑体_GBK" w:eastAsia="方正黑体_GBK" w:cs="宋体"/>
                <w:sz w:val="18"/>
                <w:szCs w:val="18"/>
              </w:rPr>
              <w:t>16.信托贷款：资产类型为信托公司设立的固定收益类信托计划，底层资产为向融资人靖江市欣城建设发展有限公司发放信托贷款，资产到期日不超过理财产品最近一次开放日。融资人无外部评级，融资人第一大股东为靖江市人民政府国有资产监督管理办公室，持股比例为90%。经营范围包括：城市基础设施投资建设；老居民区改造建设；棚户区改造建设；城中村改造建设；房屋工程建筑、市政工程、道路工程施工；土地整理；建材、金属材料、苗木销售。(依法须经批准的项目，经相关部门批准后方可开展经营活动)</w:t>
            </w:r>
          </w:p>
          <w:p w14:paraId="38677A33">
            <w:pPr>
              <w:spacing w:line="200" w:lineRule="exact"/>
            </w:pPr>
            <w:r>
              <w:rPr>
                <w:rFonts w:ascii="方正黑体_GBK" w:hAnsi="方正黑体_GBK" w:eastAsia="方正黑体_GBK" w:cs="宋体"/>
                <w:sz w:val="18"/>
                <w:szCs w:val="18"/>
              </w:rPr>
              <w:t>17.信托贷款：资产类型为信托公司设立的固定收益类信托计划，底层资产为向融资人盐城市大纵湖湖区资源开发有限公司发放信托贷款，资产到期日不超过理财产品最近一次开放日。融资人评级为AA（评级机构为中证鹏元资信评估股份有限公司），融资人第一大股东为盐城市城镇化建设投资集团有限公司，持股比例为100%。经营范围包括：大纵湖湖区资源开发、利用，旅游资源开发、经营管理、景区管理服务，酒店管理服务，湖区供水、污水管网建设、维护，实业投资，投资项目管理，湖区养殖业的推广，基础设施开发、建设，政府授权的国有资产的经营与管理，土地开发经营，物业管理，房屋拆除，市政公用工程、建筑装修装饰工程、园林绿化工程设计、施工，城市及道路照明工程、水利水电工程、土石方工程施工，水电安装（除供受电设施），空调安装，土地整理，市政设施管理、维护，畜禽粪污收集处理，谷物种植及技术推广，不再分装的农作物包装种子零售，建筑材料、钢材销售，农产品（除种子）、花卉、树木、草皮、种植、销售。（依法须经批准的项目，经相关部门批准后方可开展经营活动）许可项目：水产养殖；餐饮服务；草种生产经营；食品销售；住宿服务；酒吧服务（不含演艺娱乐活动）；营业性演出；演出经纪；歌舞娱乐活动；水路普通货物运输；道路旅客运输经营；洗浴服务；生活美容服务；烟草制品零售（依法须经批准的项目，经相关部门批准后方可开展经营活动，具体经营项目以审批结果为准）一般项目：游览景区管理；玩具、动漫及游艺用品销售；日用品销售；餐饮管理；企业管理；物业管理；生态保护区管理服务；停车场服务；花卉种植；园艺产品种植；广告设计、代理；广告制作；票务代理服务；市场营销策划；企业形象策划；项目策划与公关服务；体育赛事策划；组织文化艺术交流活动；会议及展览服务；教育咨询服务（不含涉许可审批的教育培训活动）；以自有资金从事投资活动；旅游开发项目策划咨询；园区管理服务；游乐园服务；船舶租赁；工艺美术品及收藏品零售（象牙及其制品除外）；非居住房地产租赁；组织体育表演活动；体育竞赛组织；棋牌室服务；工艺美术品及收藏品批发（象牙及其制品除外）；健身休闲活动；体育健康服务；洗染服务；家政服务；体育场地设施经营（不含高危险性体育运动）；工艺美术品及礼仪用品销售（象牙及其制品除外）；纺织、服装及家庭用品批发；服装服饰零售；农副产品销售；食品销售（仅销售预包装食品）；小微型客车租赁经营服务（除依法须经批准的项目外，凭营业执照依法自主开展经营活动）</w:t>
            </w:r>
          </w:p>
          <w:p w14:paraId="12444131">
            <w:pPr>
              <w:spacing w:line="200" w:lineRule="exact"/>
            </w:pPr>
            <w:r>
              <w:rPr>
                <w:rFonts w:ascii="方正黑体_GBK" w:hAnsi="方正黑体_GBK" w:eastAsia="方正黑体_GBK" w:cs="宋体"/>
                <w:sz w:val="18"/>
                <w:szCs w:val="18"/>
              </w:rPr>
              <w:t>18.信托贷款：资产类型为信托公司设立的固定收益类信托计划，底层资产为向融资人盐城高新区投资集团有限公司发放信托贷款，资产到期日不超过理财产品最近一次开放日。融资人评级为AA+（评级机构为中诚信国际信用评级有限责任公司），融资人第一大股东为盐城高新产业控股集团有限公司，持股比例为100%。经营范围包括：授权范围内的国有资产经营管理;高新技术产业投资和运营;园区基础配套设施及市政公用设施投资、建设、运营;土地开发经营;房屋租赁;物业管理;建筑材料、电子产品批发、零售。(依法须经批准的项目,经相关部门批准后方可开展经营活动)许可项目:建设工程施工;建设工程设计(依法须经批准的项目,经相关部门批准后方可开展经营活动,具体经营项目以审批结果为准)一般项目:城市绿化管理;树木种植经营;工程管理服务;林业产品销售(除依法须经批准的项目外,凭营业执照依法自主开展经营活动)</w:t>
            </w:r>
          </w:p>
          <w:p w14:paraId="5C4CD9F7">
            <w:pPr>
              <w:spacing w:line="200" w:lineRule="exact"/>
            </w:pPr>
            <w:r>
              <w:rPr>
                <w:rFonts w:ascii="方正黑体_GBK" w:hAnsi="方正黑体_GBK" w:eastAsia="方正黑体_GBK" w:cs="宋体"/>
                <w:sz w:val="18"/>
                <w:szCs w:val="18"/>
              </w:rPr>
              <w:t>19.信托贷款：资产类型为信托公司设立的固定收益类信托计划，底层资产为向融资人阜宁县城发控股集团有限公司发放信托贷款，资产到期日不超过理财产品最近一次开放日。融资人评级为AA+（评级机构为大公国际资信评估有限公司），融资人第一大股东为阜宁县人民政府国有资产监督管理办公室，持股比例为100%。经营范围包括：许可项目:建设工程施工;建设工程监理;第三类医疗器械经营(依法须经批准的项目,经相关部门批准后方可开展经营活动,具体经营项目以审批结果为准)一般项目:非居住房地产租赁;礼品花卉销售;树木种植经营;建筑材料销售;第一类医疗器械销售;第二类医疗器械销售;水果种植;市政设施管理;土地整治服务;以自有资金从事投资活动(除依法须经批准的项目外,凭营业执照依法自主开展经营活动)</w:t>
            </w:r>
          </w:p>
          <w:p w14:paraId="4678DA79">
            <w:pPr>
              <w:spacing w:line="200" w:lineRule="exact"/>
            </w:pPr>
            <w:r>
              <w:rPr>
                <w:rFonts w:ascii="方正黑体_GBK" w:hAnsi="方正黑体_GBK" w:eastAsia="方正黑体_GBK" w:cs="宋体"/>
                <w:sz w:val="18"/>
                <w:szCs w:val="18"/>
              </w:rPr>
              <w:t>20.信托贷款：资产类型为信托公司设立的固定收益类信托计划，底层资产为向融资人盐城市盐州实业有限公司发放信托贷款，资产到期日不超过理财产品最近一次开放日。融资人无外部评级，融资人第一大股东为盐城盛州集团有限公司，持股比例为100%。经营范围包括：电、水、卫、暖安装，工业技术创新，仓储服务，针纺织品制造，电子产品、橡胶制品、钢材、木材、针纺织品、五金、电器批发零售，经营授权范围内的国有资产，基础设施投资、建设管理，自有房屋租赁。(依法须经批准的项目，经相关部门批准后方可开展经营活动)</w:t>
            </w:r>
          </w:p>
          <w:p w14:paraId="6A5FE4C2">
            <w:pPr>
              <w:spacing w:line="200" w:lineRule="exact"/>
            </w:pPr>
            <w:r>
              <w:rPr>
                <w:rFonts w:ascii="方正黑体_GBK" w:hAnsi="方正黑体_GBK" w:eastAsia="方正黑体_GBK" w:cs="宋体"/>
                <w:sz w:val="18"/>
                <w:szCs w:val="18"/>
              </w:rPr>
              <w:t>21.信托贷款：资产类型为信托公司设立的固定收益类信托计划，底层资产为向融资人盐城市水务集团有限公司发放信托贷款，资产到期日不超过理财产品最近一次开放日。融资人无外部评级，融资人第一大股东为盐城市市政公用投资有限公司，持股比例为100%。经营范围包括：特许区域内(盐城市所辖盐都区、亭湖区和盐城经济开发区的现有区域)经营自来水生产、供应。自来水管道安装、维修；市政公用工程施工总承包；水暖器材加工；水质分析与检测、测试；水表检定及水流量检测。水资源专用机械设备制造；金属材料销售；五金产品批发；五金产品零售(依法须经批准的项目，经相关部门批准后方可开展经营活动)许可项目：第二类增值电信业务；现制现售饮用水(依法须经批准的项目，经相关部门批准后方可开展经营活动，具体经营项目以审批结果为准)</w:t>
            </w:r>
          </w:p>
          <w:p w14:paraId="68228369">
            <w:pPr>
              <w:spacing w:line="200" w:lineRule="exact"/>
            </w:pPr>
            <w:r>
              <w:rPr>
                <w:rFonts w:ascii="方正黑体_GBK" w:hAnsi="方正黑体_GBK" w:eastAsia="方正黑体_GBK" w:cs="宋体"/>
                <w:sz w:val="18"/>
                <w:szCs w:val="18"/>
              </w:rPr>
              <w:t>22.信托贷款：资产类型为信托公司设立的固定收益类信托计划，底层资产为向融资人盐城经开城建投资集团有限公司发放信托贷款，资产到期日不超过理财产品最近一次开放日。融资人无外部评级，融资人第一大股东为盐城经济技术开发区管理委员会，持股比例为100%。经营范围包括：经政府授权范围内的土地整理和开发；保障性住房开发经营；城乡基础设施建设、维护；公益性基础设施建设；危旧房改造项目开发建设；房地产开发经营；资产管理。(依法须经批准的项目，经相关部门批准后方可开展经营活动)一般项目：以自有资金从事投资活动；金属材料销售；建筑材料销售；市政设施管理(除依法须经批准的项目外，凭营业执照依法自主开展经营活动)</w:t>
            </w:r>
          </w:p>
          <w:p w14:paraId="008FE6EB">
            <w:pPr>
              <w:spacing w:line="200" w:lineRule="exact"/>
            </w:pPr>
            <w:r>
              <w:rPr>
                <w:rFonts w:ascii="方正黑体_GBK" w:hAnsi="方正黑体_GBK" w:eastAsia="方正黑体_GBK" w:cs="宋体"/>
                <w:sz w:val="18"/>
                <w:szCs w:val="18"/>
              </w:rPr>
              <w:t>23.信托贷款：资产类型为信托公司设立的固定收益类信托计划，底层资产为向融资人盐城盛州投资控股集团有限公司发放信托贷款，资产到期日不超过理财产品最近一次开放日。融资人无外部评级，融资人第一大股东为盐城市盐都区政府国有资产监督管理办公室，持股比例为100%。经营范围包括：许可项目：房地产开发经营(依法须经批准的项目，经相关部门批准后方可开展经营活动，具体经营项目以审批结果为准)一般项目：以自有资金从事投资活动；土地整治服务；房屋拆迁服务；市政设施管理；物业管理；酒店管理；租赁服务(不含许可类租赁服务)；城市绿化管理；会议及展览服务；公共事业管理服务；企业总部管理(除依法须经批准的项目外，凭营业执照依法自主开展经营活动)</w:t>
            </w:r>
          </w:p>
          <w:p w14:paraId="7105ED8D">
            <w:pPr>
              <w:spacing w:line="200" w:lineRule="exact"/>
            </w:pPr>
            <w:r>
              <w:rPr>
                <w:rFonts w:ascii="方正黑体_GBK" w:hAnsi="方正黑体_GBK" w:eastAsia="方正黑体_GBK" w:cs="宋体"/>
                <w:sz w:val="18"/>
                <w:szCs w:val="18"/>
              </w:rPr>
              <w:t>24.信托贷款：资产类型为信托公司设立的固定收益类信托计划，底层资产为向融资人泰州医药城控股集团有限公司发放信托贷款，资产到期日不超过理财产品最近一次开放日。融资人评级为AA+（评级机构为中证鹏元资信评估股份有限公司），融资人第一大股东为泰州医药高新技术产业开发区管理委员会，持股比例为100%。经营范围包括：一般项目:单位后勤管理服务;租赁服务(不含许可类租赁服务);教学专用仪器销售;第一类医疗器械销售;工程管理服务;日用百货销售;住房租赁;技术服务、技术开发、技术咨询、技术交流、技术转让、技术推广;金属材料销售;金属结构销售;建筑用金属配件销售;建筑用钢筋产品销售;有色金属合金销售(除依法须经批准的项目外,凭营业执照依法自主开展经营活动)。</w:t>
            </w:r>
          </w:p>
          <w:p w14:paraId="58AECA20">
            <w:pPr>
              <w:spacing w:line="200" w:lineRule="exact"/>
            </w:pPr>
            <w:r>
              <w:rPr>
                <w:rFonts w:ascii="方正黑体_GBK" w:hAnsi="方正黑体_GBK" w:eastAsia="方正黑体_GBK" w:cs="宋体"/>
                <w:sz w:val="18"/>
                <w:szCs w:val="18"/>
              </w:rPr>
              <w:t>25.信托贷款：资产类型为信托公司设立的固定收益类信托计划，底层资产为向融资人靖江市城市建设投资发展(集团)有限公司发放信托贷款，资产到期日不超过理财产品最近一次开放日。融资人评级为AA+（评级机构为中证鹏元资信评估股份有限公司），融资人第一大股东为靖江市人民政府国有资产监督管理办公室，持股比例为100%。经营范围包括：许可项目：住宅室内装饰装修；建设工程质量检测；建设工程施工；建设工程勘察；建设工程设计；房地产开发经营；城市生活垃圾经营性服务；建筑物拆除作业(爆破作业除外)；道路货物运输(不含危险货物)；水产养殖；发电业务、输电业务、供(配)电业务；供电业务；输电、供电、受电电力设施的安装、维修和试验；网络文化经营；互联网直播技术服务(依法须经批准的项目，经相关部门批准后方可开展经营活动，具体经营项目以审批结果为准)一般项目：对外承包工程；工程造价咨询业务；物业管理；信息咨询服务(不含许可类信息咨询服务)；以自有资金从事投资活动；城市绿化管理；工程管理服务；工程和技术研究和试验发展；园林绿化工程施工；房屋拆迁服务；住房租赁；非居住房地产租赁；金属结构销售；市政设施管理；建筑砌块制造；土地调查评估服务；建筑材料销售；金属制品销售；环境卫生公共设施安装服务；农业专业及辅助性活动；土地整治服务；树木种植经营；生态恢复及生态保护服务；休闲观光活动；光伏设备及元器件销售；光伏发电设备租赁；太阳能发电技术服务；太阳能热利用产品销售；太阳能热发电产品销售；太阳能热利用装备销售；太阳能热发电装备销售；养老服务；谷物种植；谷物销售；蔬菜种植；新鲜蔬菜批发；新鲜蔬菜零售；水果种植；新鲜水果批发；新鲜水果零售；粮食收购；花卉种植；礼品花卉销售；食用农产品初加工；食用农产品批发；食用农产品零售；粮油仓储服务；农作物栽培服务；科技推广和应用服务；农村民间工艺及制品、休闲农业和乡村旅游资源的开发经营；市场营销策划；组织文化艺术交流活动；会议及展览服务；广告制作；广告发布；广告设计、代理；农林牧渔业废弃物综合利用；城乡市容管理；园区管理服务；农村生活垃圾经营性服务；土石方工程施工；煤炭及制品销售；货物进出口；进出口代理；充电桩销售；充电控制设备租赁；集中式快速充电站；停车场服务；电动汽车充电基础设施运营；总质量4.5吨及以下普通货运车辆道路货物运输(除网络货运和危险货物)；互联网数据服务；物联网应用服务；人工智能公共服务平台技术咨询服务；人工智能基础资源与技术平台；信息系统集成服务；技术服务、技术开发、技术咨询、技术交流、技术转让、技术推广；软件开发；电子产品销售；通用设备修理；专用设备修理；电气设备修理；计算机软硬件及辅助设备批发；计算机软硬件及辅助设备零售；信息技术咨询服务；网络技术服务；物联网技术服务；云计算装备技术服务；5G通信技术服务；技术推广服务；家用电器销售；机械设备销售；智能基础制造装备制造；智能基础制造装备销售；人工智能基础软件开发；人工智能理论与算法软件开发；人工智能应用软件开发；人工智能公共数据平台；人工智能通用应用系统；智能控制系统集成；智能仪器仪表制造；智能仪器仪表销售；机械设备租赁；储能技术服务；租赁服务(不含许可类租赁服务)；合同能源管理；热力生产和供应(除依法须经批准的项目外，凭营业执照依法自主开展经营活动)</w:t>
            </w:r>
          </w:p>
          <w:p w14:paraId="24F634A5">
            <w:pPr>
              <w:spacing w:line="200" w:lineRule="exact"/>
            </w:pPr>
            <w:r>
              <w:rPr>
                <w:rFonts w:ascii="方正黑体_GBK" w:hAnsi="方正黑体_GBK" w:eastAsia="方正黑体_GBK" w:cs="宋体"/>
                <w:sz w:val="18"/>
                <w:szCs w:val="18"/>
              </w:rPr>
              <w:t>26.资产支持计划：资产类型为保险资产管理公司设立的资产支持计划，底层资产为京东及信托公司双重审核、信托公司自主风控后发放的“白条”个人消费贷款债权，资产到期日不超过理财产品最近一次开放日，仅投资优先级。</w:t>
            </w:r>
          </w:p>
          <w:p w14:paraId="2B0158D6">
            <w:pPr>
              <w:spacing w:line="200" w:lineRule="exact"/>
            </w:pPr>
            <w:r>
              <w:rPr>
                <w:rFonts w:ascii="方正黑体_GBK" w:hAnsi="方正黑体_GBK" w:eastAsia="方正黑体_GBK" w:cs="宋体"/>
                <w:sz w:val="18"/>
                <w:szCs w:val="18"/>
              </w:rPr>
              <w:t>27.资产支持计划：资产类型为保险资产管理公司设立的资产支持计划，底层资产为京东及信托公司双重审核、信托公司自主风控后发放的“金条”个人消费贷款债权，资产到期日不超过理财产品最近一次开放日，仅投资优先级。</w:t>
            </w:r>
          </w:p>
          <w:p w14:paraId="60AAD78E">
            <w:pPr>
              <w:spacing w:line="200" w:lineRule="exact"/>
            </w:pPr>
            <w:r>
              <w:rPr>
                <w:rFonts w:ascii="方正黑体_GBK" w:hAnsi="方正黑体_GBK" w:eastAsia="方正黑体_GBK" w:cs="宋体"/>
                <w:sz w:val="18"/>
                <w:szCs w:val="18"/>
              </w:rPr>
              <w:t>28.资产支持计划：资产类型为保险资产管理公司设立的资产支持计划，底层资产为京东及信托公司双重审核、信托公司自主风控后发放的“白条取现”个人消费贷款债权，资产到期日不超过理财产品最近一次开放日，仅投资优先级。</w:t>
            </w:r>
          </w:p>
          <w:p w14:paraId="48369B3A">
            <w:pPr>
              <w:spacing w:line="200" w:lineRule="exact"/>
            </w:pPr>
            <w:r>
              <w:rPr>
                <w:rFonts w:ascii="方正黑体_GBK" w:hAnsi="方正黑体_GBK" w:eastAsia="方正黑体_GBK" w:cs="宋体"/>
                <w:sz w:val="18"/>
                <w:szCs w:val="18"/>
              </w:rPr>
              <w:t>29.资产支持计划：资产类型为保险资产管理公司设立的资产支持计划，底层资产为抖音及信托公司双重审核、信托公司自主风控后发放的“月付”个人消费贷款债权，资产到期日不超过理财产品最近一次开放日，仅投资优先级。</w:t>
            </w:r>
          </w:p>
          <w:p w14:paraId="30DB0994">
            <w:pPr>
              <w:spacing w:line="200" w:lineRule="exact"/>
            </w:pPr>
            <w:r>
              <w:rPr>
                <w:rFonts w:ascii="方正黑体_GBK" w:hAnsi="方正黑体_GBK" w:eastAsia="方正黑体_GBK" w:cs="宋体"/>
                <w:sz w:val="18"/>
                <w:szCs w:val="18"/>
              </w:rPr>
              <w:t>30.资产支持计划：资产类型为保险资产管理公司设立的资产支持计划，底层资产为抖音及信托公司双重审核、信托公司自主风控后发放的“放心借”贷款资产，资产到期日不超过理财产品最近一次开放日，仅投资优先级。</w:t>
            </w:r>
          </w:p>
          <w:p w14:paraId="4E56991D">
            <w:pPr>
              <w:spacing w:line="200" w:lineRule="exact"/>
            </w:pPr>
            <w:r>
              <w:rPr>
                <w:rFonts w:ascii="方正黑体_GBK" w:hAnsi="方正黑体_GBK" w:eastAsia="方正黑体_GBK" w:cs="宋体"/>
                <w:sz w:val="18"/>
                <w:szCs w:val="18"/>
              </w:rPr>
              <w:t>31.资产支持计划：资产类型为保险资产管理公司设立的资产支持计划，底层资产为蚂蚁及信托公司双重审核、信托公司自主风控后发放的“花呗”个人消费贷款债权，资产到期日不超过理财产品最近一次开放日，仅投资优先级。</w:t>
            </w:r>
          </w:p>
          <w:p w14:paraId="4B9F0ECC">
            <w:pPr>
              <w:spacing w:line="200" w:lineRule="exact"/>
            </w:pPr>
            <w:r>
              <w:rPr>
                <w:rFonts w:ascii="方正黑体_GBK" w:hAnsi="方正黑体_GBK" w:eastAsia="方正黑体_GBK" w:cs="宋体"/>
                <w:sz w:val="18"/>
                <w:szCs w:val="18"/>
              </w:rPr>
              <w:t>32.资产支持计划：资产类型为保险资产管理公司设立的资产支持计划，底层资产为蚂蚁及信托公司双重审核、信托公司自主风控后发放的“借呗”个人消费贷款债权，资产到期日不超过理财产品最近一次开放日，仅投资优先级。</w:t>
            </w:r>
          </w:p>
          <w:p w14:paraId="6EA04447">
            <w:pPr>
              <w:spacing w:line="200" w:lineRule="exact"/>
            </w:pPr>
            <w:r>
              <w:rPr>
                <w:rFonts w:ascii="方正黑体_GBK" w:hAnsi="方正黑体_GBK" w:eastAsia="方正黑体_GBK" w:cs="宋体"/>
                <w:sz w:val="18"/>
                <w:szCs w:val="18"/>
              </w:rPr>
              <w:t>33.信托贷款：资产类型为信托公司设立的资金信托计划，底层资产为京东及信托公司双重审核、信托公司自主风控后发放的“白条”个人消费贷款债权，资产到期日不超过理财产品最近一次开放日。</w:t>
            </w:r>
          </w:p>
          <w:p w14:paraId="7A3A13FF">
            <w:pPr>
              <w:spacing w:line="200" w:lineRule="exact"/>
            </w:pPr>
            <w:r>
              <w:rPr>
                <w:rFonts w:ascii="方正黑体_GBK" w:hAnsi="方正黑体_GBK" w:eastAsia="方正黑体_GBK" w:cs="宋体"/>
                <w:sz w:val="18"/>
                <w:szCs w:val="18"/>
              </w:rPr>
              <w:t>34.信托贷款：资产类型为信托公司设立的资金信托计划，底层资产为京东及信托公司双重审核、信托公司自主风控后发放的“金条”个人消费贷款债权，资产到期日不超过理财产品最近一次开放日。</w:t>
            </w:r>
          </w:p>
          <w:p w14:paraId="389D4E7B">
            <w:pPr>
              <w:spacing w:line="200" w:lineRule="exact"/>
            </w:pPr>
            <w:r>
              <w:rPr>
                <w:rFonts w:ascii="方正黑体_GBK" w:hAnsi="方正黑体_GBK" w:eastAsia="方正黑体_GBK" w:cs="宋体"/>
                <w:sz w:val="18"/>
                <w:szCs w:val="18"/>
              </w:rPr>
              <w:t>35.信托贷款：资产类型为信托公司设立的资金信托计划，底层资产为京东及信托公司双重审核、信托公司自主风控后发放的“白条取现”个人消费贷款债权，资产到期日不超过理财产品最近一次开放日。</w:t>
            </w:r>
          </w:p>
          <w:p w14:paraId="780BF1CE">
            <w:pPr>
              <w:spacing w:line="200" w:lineRule="exact"/>
            </w:pPr>
            <w:r>
              <w:rPr>
                <w:rFonts w:ascii="方正黑体_GBK" w:hAnsi="方正黑体_GBK" w:eastAsia="方正黑体_GBK" w:cs="宋体"/>
                <w:sz w:val="18"/>
                <w:szCs w:val="18"/>
              </w:rPr>
              <w:t>36.信托贷款：资产类型为信托公司设立的资金信托计划，底层资产为抖音及信托公司双重审核、信托公司自主风控后发放的“月付”个人消费贷款债权，资产到期日不超过理财产品最近一次开放日。</w:t>
            </w:r>
          </w:p>
          <w:p w14:paraId="5A26B6CE">
            <w:pPr>
              <w:spacing w:line="200" w:lineRule="exact"/>
            </w:pPr>
            <w:r>
              <w:rPr>
                <w:rFonts w:ascii="方正黑体_GBK" w:hAnsi="方正黑体_GBK" w:eastAsia="方正黑体_GBK" w:cs="宋体"/>
                <w:sz w:val="18"/>
                <w:szCs w:val="18"/>
              </w:rPr>
              <w:t>37.信托贷款：资产类型为信托公司设立的资金信托计划，底层资产为抖音及信托公司双重审核、信托公司自主风控后发放的“放心借”贷款资产，资产到期日不超过理财产品最近一次开放日。</w:t>
            </w:r>
          </w:p>
          <w:p w14:paraId="391FD7B7">
            <w:pPr>
              <w:spacing w:line="200" w:lineRule="exact"/>
            </w:pPr>
            <w:r>
              <w:rPr>
                <w:rFonts w:ascii="方正黑体_GBK" w:hAnsi="方正黑体_GBK" w:eastAsia="方正黑体_GBK" w:cs="宋体"/>
                <w:sz w:val="18"/>
                <w:szCs w:val="18"/>
              </w:rPr>
              <w:t>38.信托贷款：资产类型为信托公司设立的资金信托计划，底层资产为蚂蚁及信托公司双重审核、信托公司自主风控后发放的“花呗”个人消费贷款债权，资产到期日不超过理财产品最近一次开放日。</w:t>
            </w:r>
          </w:p>
          <w:p w14:paraId="73B41156">
            <w:pPr>
              <w:spacing w:line="200" w:lineRule="exact"/>
            </w:pPr>
            <w:r>
              <w:rPr>
                <w:rFonts w:ascii="方正黑体_GBK" w:hAnsi="方正黑体_GBK" w:eastAsia="方正黑体_GBK" w:cs="宋体"/>
                <w:sz w:val="18"/>
                <w:szCs w:val="18"/>
              </w:rPr>
              <w:t>39.信托贷款：资产类型为信托公司设立的资金信托计划，底层资产为蚂蚁及信托公司双重审核、信托公司自主风控后发放的“借呗”个人消费贷款债权，资产到期日不超过理财产品最近一次开放日。</w:t>
            </w:r>
          </w:p>
          <w:p w14:paraId="7B58F3E8">
            <w:pPr>
              <w:spacing w:line="200" w:lineRule="exact"/>
            </w:pPr>
            <w:r>
              <w:rPr>
                <w:rFonts w:ascii="方正黑体_GBK" w:hAnsi="方正黑体_GBK" w:eastAsia="方正黑体_GBK" w:cs="宋体"/>
                <w:sz w:val="18"/>
                <w:szCs w:val="18"/>
              </w:rPr>
              <w:t>40.信托贷款：资产类型为信托公司设立的资金信托计划，底层资产为微信及信托公司双重审核、信托公司自主风控后发放的“分付”个人消费贷款债权，资产到期日不超过理财产品最近一次开放日。</w:t>
            </w:r>
          </w:p>
          <w:p w14:paraId="230BCBE2">
            <w:pPr>
              <w:spacing w:line="200" w:lineRule="exact"/>
            </w:pPr>
            <w:r>
              <w:rPr>
                <w:rFonts w:ascii="方正黑体_GBK" w:hAnsi="方正黑体_GBK" w:eastAsia="方正黑体_GBK" w:cs="宋体"/>
                <w:sz w:val="18"/>
                <w:szCs w:val="18"/>
              </w:rPr>
              <w:t>41.信托贷款：资产类型为信托公司设立的资金信托计划，底层资产为度小满及信托公司双重审核、信托公司自主风控后发放的“满易贷”个人消费贷款债权，资产到期日不超过理财产品最近一次开放日。</w:t>
            </w:r>
          </w:p>
          <w:p w14:paraId="65A418B4">
            <w:pPr>
              <w:spacing w:line="200" w:lineRule="exact"/>
            </w:pPr>
            <w:r>
              <w:rPr>
                <w:rFonts w:ascii="方正黑体_GBK" w:hAnsi="方正黑体_GBK" w:eastAsia="方正黑体_GBK" w:cs="宋体"/>
                <w:sz w:val="18"/>
                <w:szCs w:val="18"/>
              </w:rPr>
              <w:t>42.券商收益凭证：资产类型为证券公司发行的收益凭证，资产到期日不超过理财产品最近一次开放日，融资人为华宝证券股份有限公司，融资人评级为AA+（评级机构为联合资信评估股份有限公司）。</w:t>
            </w:r>
          </w:p>
          <w:p w14:paraId="20DCF1FA">
            <w:pPr>
              <w:spacing w:line="200" w:lineRule="exact"/>
            </w:pPr>
            <w:r>
              <w:rPr>
                <w:rFonts w:ascii="方正黑体_GBK" w:hAnsi="方正黑体_GBK" w:eastAsia="方正黑体_GBK" w:cs="宋体"/>
                <w:sz w:val="18"/>
                <w:szCs w:val="18"/>
              </w:rPr>
              <w:t>43.券商收益凭证：资产类型为证券公司发行的收益凭证，资产到期日不超过理财产品最近一次开放日，融资人为上海证券有限责任公司，融资人评级为AAA（评级机构为上海新世纪资信评估投资服务有限公司）。</w:t>
            </w:r>
          </w:p>
          <w:p w14:paraId="233468B2">
            <w:pPr>
              <w:spacing w:line="200" w:lineRule="exact"/>
            </w:pPr>
            <w:r>
              <w:rPr>
                <w:rFonts w:ascii="方正黑体_GBK" w:hAnsi="方正黑体_GBK" w:eastAsia="方正黑体_GBK" w:cs="宋体"/>
                <w:sz w:val="18"/>
                <w:szCs w:val="18"/>
              </w:rPr>
              <w:t>44.券商收益凭证：资产类型为证券公司发行的收益凭证，资产到期日不超过理财产品最近一次开放日，融资人为山西证券股份有限公司，融资人评级为AAA（评级机构为中诚信国际信用评级有限责任公司）。</w:t>
            </w:r>
          </w:p>
          <w:p w14:paraId="4E025936">
            <w:pPr>
              <w:spacing w:line="200" w:lineRule="exact"/>
            </w:pPr>
            <w:r>
              <w:rPr>
                <w:rFonts w:ascii="方正黑体_GBK" w:hAnsi="方正黑体_GBK" w:eastAsia="方正黑体_GBK" w:cs="宋体"/>
                <w:sz w:val="18"/>
                <w:szCs w:val="18"/>
              </w:rPr>
              <w:t>45.券商收益凭证：资产类型为证券公司发行的收益凭证，资产到期日不超过理财产品最近一次开放日，融资人为中银国际证券股份有限公司，融资人评级为AAA（评级机构为中诚信国际信用评级有限责任公司）。</w:t>
            </w:r>
          </w:p>
          <w:p w14:paraId="1FDD0959">
            <w:pPr>
              <w:spacing w:line="200" w:lineRule="exact"/>
            </w:pPr>
            <w:r>
              <w:rPr>
                <w:rFonts w:ascii="方正黑体_GBK" w:hAnsi="方正黑体_GBK" w:eastAsia="方正黑体_GBK" w:cs="宋体"/>
                <w:sz w:val="18"/>
                <w:szCs w:val="18"/>
              </w:rPr>
              <w:t>46.券商收益凭证：资产类型为证券公司发行的收益凭证，资产到期日不超过理财产品最近一次开放日，融资人为首创证券股份有限公司，融资人评级为AAA（评级机构为中诚信国际信用评级有限责任公司）。</w:t>
            </w:r>
          </w:p>
          <w:p w14:paraId="66ED4FCE">
            <w:pPr>
              <w:spacing w:line="200" w:lineRule="exact"/>
            </w:pPr>
            <w:r>
              <w:rPr>
                <w:rFonts w:ascii="方正黑体_GBK" w:hAnsi="方正黑体_GBK" w:eastAsia="方正黑体_GBK" w:cs="宋体"/>
                <w:sz w:val="18"/>
                <w:szCs w:val="18"/>
              </w:rPr>
              <w:t>47.同业借款：资产类型为南银理财有限责任公司向持牌金融机构发放的同业借款，资产到期日不超过理财产品最近一次开放日，融资人为中国中信金融资产管理股份有限公司。</w:t>
            </w:r>
          </w:p>
          <w:p w14:paraId="7CCC355A">
            <w:pPr>
              <w:spacing w:line="200" w:lineRule="exact"/>
            </w:pPr>
            <w:r>
              <w:rPr>
                <w:rFonts w:ascii="方正黑体_GBK" w:hAnsi="方正黑体_GBK" w:eastAsia="方正黑体_GBK" w:cs="宋体"/>
                <w:sz w:val="18"/>
                <w:szCs w:val="18"/>
              </w:rPr>
              <w:t>48.同业借款：资产类型为南银理财有限责任公司向持牌金融机构发放的同业借款，资产到期日不超过理财产品最近一次开放日，融资人为中国东方资产管理股份有限公司。</w:t>
            </w:r>
          </w:p>
          <w:p w14:paraId="6B6ECDA6">
            <w:pPr>
              <w:spacing w:line="200" w:lineRule="exact"/>
            </w:pPr>
            <w:r>
              <w:rPr>
                <w:rFonts w:ascii="方正黑体_GBK" w:hAnsi="方正黑体_GBK" w:eastAsia="方正黑体_GBK" w:cs="宋体"/>
                <w:sz w:val="18"/>
                <w:szCs w:val="18"/>
              </w:rPr>
              <w:t>49.同业借款：资产类型为南银理财有限责任公司向持牌金融机构发放的同业借款，资产到期日不超过理财产品最近一次开放日，融资人为中国信达资产管理股份有限公司。</w:t>
            </w:r>
          </w:p>
          <w:p w14:paraId="602AF2A6">
            <w:pPr>
              <w:spacing w:line="200" w:lineRule="exact"/>
            </w:pPr>
            <w:r>
              <w:rPr>
                <w:rFonts w:ascii="方正黑体_GBK" w:hAnsi="方正黑体_GBK" w:eastAsia="方正黑体_GBK" w:cs="宋体"/>
                <w:sz w:val="18"/>
                <w:szCs w:val="18"/>
              </w:rPr>
              <w:t>50.同业借款：资产类型为南银理财有限责任公司向持牌金融机构发放的同业借款，资产到期日不超过理财产品最近一次开放日，融资人为中国长城资产管理股份有限公司。</w:t>
            </w:r>
          </w:p>
          <w:p w14:paraId="28F2688D">
            <w:pPr>
              <w:spacing w:line="200" w:lineRule="exact"/>
            </w:pPr>
            <w:r>
              <w:rPr>
                <w:rFonts w:ascii="方正黑体_GBK" w:hAnsi="方正黑体_GBK" w:eastAsia="方正黑体_GBK" w:cs="宋体"/>
                <w:b/>
                <w:sz w:val="18"/>
                <w:szCs w:val="18"/>
              </w:rPr>
              <w:t>以上资产剩余期限均不超过产品期限。</w:t>
            </w:r>
            <w:r>
              <w:rPr>
                <w:rFonts w:ascii="方正黑体_GBK" w:hAnsi="方正黑体_GBK" w:eastAsia="方正黑体_GBK"/>
              </w:rPr>
              <w:br w:type="textWrapping"/>
            </w:r>
            <w:r>
              <w:rPr>
                <w:rFonts w:ascii="方正黑体_GBK" w:hAnsi="方正黑体_GBK" w:eastAsia="方正黑体_GBK" w:cs="宋体"/>
                <w:b/>
                <w:sz w:val="18"/>
                <w:szCs w:val="18"/>
              </w:rPr>
              <w:t>若本理财产品投资上述备选非标准化债权类资产以外的非标准化债权类资产，管理人将优选与上述资产同类型的、符合监管要求的非标准化债权类资产，履行内部严格的审批流程，并在本理财产品的定期报告中进行信息披露。</w:t>
            </w:r>
          </w:p>
        </w:tc>
      </w:tr>
      <w:tr w14:paraId="6A603FE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A8694B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0F30F85A">
            <w:pPr>
              <w:spacing w:line="200" w:lineRule="exact"/>
            </w:pPr>
            <w:r>
              <w:rPr>
                <w:rFonts w:ascii="方正黑体_GBK" w:hAnsi="方正黑体_GBK" w:eastAsia="方正黑体_GBK" w:cs="宋体"/>
                <w:sz w:val="18"/>
                <w:szCs w:val="18"/>
              </w:rPr>
              <w:t>A份额：业绩比较基准为年化2.7%-3% 。</w:t>
            </w:r>
          </w:p>
          <w:p w14:paraId="1BB92BB8">
            <w:pPr>
              <w:spacing w:line="200" w:lineRule="exact"/>
            </w:pPr>
            <w:r>
              <w:rPr>
                <w:rFonts w:ascii="方正黑体_GBK" w:hAnsi="方正黑体_GBK" w:eastAsia="方正黑体_GBK" w:cs="宋体"/>
                <w:sz w:val="18"/>
                <w:szCs w:val="18"/>
              </w:rPr>
              <w:t>B份额：业绩比较基准为年化2.7%-3% 。</w:t>
            </w:r>
          </w:p>
          <w:p w14:paraId="714933C3">
            <w:pPr>
              <w:spacing w:line="200" w:lineRule="exact"/>
            </w:pPr>
            <w:r>
              <w:rPr>
                <w:rFonts w:ascii="方正黑体_GBK" w:hAnsi="方正黑体_GBK" w:eastAsia="方正黑体_GBK" w:cs="宋体"/>
                <w:sz w:val="18"/>
                <w:szCs w:val="18"/>
              </w:rPr>
              <w:t>C份额：业绩比较基准为年化2.8%-3.1% 。</w:t>
            </w:r>
          </w:p>
          <w:p w14:paraId="006B60AE">
            <w:pPr>
              <w:spacing w:line="200" w:lineRule="exact"/>
            </w:pPr>
            <w:r>
              <w:rPr>
                <w:rFonts w:ascii="方正黑体_GBK" w:hAnsi="方正黑体_GBK" w:eastAsia="方正黑体_GBK" w:cs="宋体"/>
                <w:sz w:val="18"/>
                <w:szCs w:val="18"/>
              </w:rPr>
              <w:t>D份额：业绩比较基准为年化2.85%-3.15% 。</w:t>
            </w:r>
          </w:p>
          <w:p w14:paraId="0AA002FA">
            <w:pPr>
              <w:spacing w:line="200" w:lineRule="exact"/>
            </w:pPr>
            <w:r>
              <w:rPr>
                <w:rFonts w:ascii="方正黑体_GBK" w:hAnsi="方正黑体_GBK" w:eastAsia="方正黑体_GBK" w:cs="宋体"/>
                <w:sz w:val="18"/>
                <w:szCs w:val="18"/>
              </w:rPr>
              <w:t>E份额：业绩比较基准为年化2.95%-3.25% 。</w:t>
            </w:r>
          </w:p>
          <w:p w14:paraId="14DC9849">
            <w:pPr>
              <w:spacing w:line="200" w:lineRule="exact"/>
            </w:pPr>
            <w:r>
              <w:rPr>
                <w:rFonts w:ascii="方正黑体_GBK" w:hAnsi="方正黑体_GBK" w:eastAsia="方正黑体_GBK" w:cs="宋体"/>
                <w:sz w:val="18"/>
                <w:szCs w:val="18"/>
              </w:rPr>
              <w:t>F份额：业绩比较基准为年化2.8%-3.1% 。</w:t>
            </w:r>
          </w:p>
          <w:p w14:paraId="7BCA9158">
            <w:pPr>
              <w:spacing w:line="200" w:lineRule="exact"/>
            </w:pPr>
            <w:r>
              <w:rPr>
                <w:rFonts w:ascii="方正黑体_GBK" w:hAnsi="方正黑体_GBK" w:eastAsia="方正黑体_GBK" w:cs="宋体"/>
                <w:sz w:val="18"/>
                <w:szCs w:val="18"/>
              </w:rPr>
              <w:t>G份额：业绩比较基准为年化2.9%-3.2% 。</w:t>
            </w:r>
          </w:p>
          <w:p w14:paraId="565B81D1">
            <w:pPr>
              <w:spacing w:line="200" w:lineRule="exact"/>
            </w:pPr>
            <w:r>
              <w:rPr>
                <w:rFonts w:ascii="方正黑体_GBK" w:hAnsi="方正黑体_GBK" w:eastAsia="方正黑体_GBK" w:cs="宋体"/>
                <w:sz w:val="18"/>
                <w:szCs w:val="18"/>
              </w:rPr>
              <w:t>I份额：业绩比较基准为年化3.05%-3.35% 。</w:t>
            </w:r>
          </w:p>
          <w:p w14:paraId="12E8AA90">
            <w:pPr>
              <w:spacing w:line="200" w:lineRule="exact"/>
            </w:pPr>
            <w:r>
              <w:rPr>
                <w:rFonts w:ascii="方正黑体_GBK" w:hAnsi="方正黑体_GBK" w:eastAsia="方正黑体_GBK" w:cs="宋体"/>
                <w:sz w:val="18"/>
                <w:szCs w:val="18"/>
              </w:rPr>
              <w:t>J份额：业绩比较基准为年化2.7%-3% 。</w:t>
            </w:r>
          </w:p>
          <w:p w14:paraId="2403CD8F">
            <w:pPr>
              <w:spacing w:line="200" w:lineRule="exact"/>
            </w:pPr>
            <w:r>
              <w:rPr>
                <w:rFonts w:ascii="方正黑体_GBK" w:hAnsi="方正黑体_GBK" w:eastAsia="方正黑体_GBK" w:cs="宋体"/>
                <w:sz w:val="18"/>
                <w:szCs w:val="18"/>
              </w:rPr>
              <w:t>K份额：业绩比较基准为年化2.7%-3% 。</w:t>
            </w:r>
          </w:p>
          <w:p w14:paraId="42BA3496">
            <w:pPr>
              <w:spacing w:line="200" w:lineRule="exact"/>
            </w:pPr>
            <w:r>
              <w:rPr>
                <w:rFonts w:ascii="方正黑体_GBK" w:hAnsi="方正黑体_GBK" w:eastAsia="方正黑体_GBK" w:cs="宋体"/>
                <w:sz w:val="18"/>
                <w:szCs w:val="18"/>
              </w:rPr>
              <w:t>M份额：业绩比较基准为年化2.7%-3% 。</w:t>
            </w:r>
          </w:p>
          <w:p w14:paraId="4DB8743A">
            <w:pPr>
              <w:spacing w:line="200" w:lineRule="exact"/>
            </w:pPr>
            <w:r>
              <w:rPr>
                <w:rFonts w:ascii="方正黑体_GBK" w:hAnsi="方正黑体_GBK" w:eastAsia="方正黑体_GBK" w:cs="宋体"/>
                <w:sz w:val="18"/>
                <w:szCs w:val="18"/>
              </w:rPr>
              <w:t>N份额：业绩比较基准为年化3%-3.3% 。</w:t>
            </w:r>
          </w:p>
          <w:p w14:paraId="45328732">
            <w:pPr>
              <w:spacing w:line="200" w:lineRule="exact"/>
            </w:pPr>
            <w:r>
              <w:rPr>
                <w:rFonts w:ascii="方正黑体_GBK" w:hAnsi="方正黑体_GBK" w:eastAsia="方正黑体_GBK" w:cs="宋体"/>
                <w:sz w:val="18"/>
                <w:szCs w:val="18"/>
              </w:rPr>
              <w:t>O份额：业绩比较基准为年化2.85%-3.15% 。</w:t>
            </w:r>
          </w:p>
          <w:p w14:paraId="06817FBE">
            <w:pPr>
              <w:spacing w:line="200" w:lineRule="exact"/>
            </w:pPr>
            <w:r>
              <w:rPr>
                <w:rFonts w:ascii="方正黑体_GBK" w:hAnsi="方正黑体_GBK" w:eastAsia="方正黑体_GBK" w:cs="宋体"/>
                <w:sz w:val="18"/>
                <w:szCs w:val="18"/>
              </w:rPr>
              <w:t>P份额：业绩比较基准为年化2.9%-3.2% 。</w:t>
            </w:r>
          </w:p>
          <w:p w14:paraId="43AB73AD">
            <w:pPr>
              <w:spacing w:line="200" w:lineRule="exact"/>
            </w:pPr>
            <w:r>
              <w:rPr>
                <w:rFonts w:ascii="方正黑体_GBK" w:hAnsi="方正黑体_GBK" w:eastAsia="方正黑体_GBK" w:cs="宋体"/>
                <w:sz w:val="18"/>
                <w:szCs w:val="18"/>
              </w:rPr>
              <w:t>A2份额：业绩比较基准为年化2.7%-3% 。</w:t>
            </w:r>
          </w:p>
          <w:p w14:paraId="416E5FB0">
            <w:pPr>
              <w:spacing w:line="200" w:lineRule="exact"/>
            </w:pPr>
            <w:r>
              <w:rPr>
                <w:rFonts w:ascii="方正黑体_GBK" w:hAnsi="方正黑体_GBK" w:eastAsia="方正黑体_GBK" w:cs="宋体"/>
                <w:sz w:val="18"/>
                <w:szCs w:val="18"/>
              </w:rPr>
              <w:t>B2份额：业绩比较基准为年化2.7%-3% 。</w:t>
            </w:r>
          </w:p>
          <w:p w14:paraId="7B6425B7">
            <w:pPr>
              <w:spacing w:line="200" w:lineRule="exact"/>
            </w:pPr>
            <w:r>
              <w:rPr>
                <w:rFonts w:ascii="方正黑体_GBK" w:hAnsi="方正黑体_GBK" w:eastAsia="方正黑体_GBK" w:cs="宋体"/>
                <w:sz w:val="18"/>
                <w:szCs w:val="18"/>
              </w:rPr>
              <w:t>C2份额：业绩比较基准为年化2.8%-3.1% 。</w:t>
            </w:r>
          </w:p>
          <w:p w14:paraId="1CF2A997">
            <w:pPr>
              <w:spacing w:line="200" w:lineRule="exact"/>
            </w:pPr>
            <w:r>
              <w:rPr>
                <w:rFonts w:ascii="方正黑体_GBK" w:hAnsi="方正黑体_GBK" w:eastAsia="方正黑体_GBK" w:cs="宋体"/>
                <w:sz w:val="18"/>
                <w:szCs w:val="18"/>
              </w:rPr>
              <w:t>D2份额：业绩比较基准为年化2.85%-3.15% 。</w:t>
            </w:r>
          </w:p>
          <w:p w14:paraId="451EFF97">
            <w:pPr>
              <w:spacing w:line="200" w:lineRule="exact"/>
            </w:pPr>
            <w:r>
              <w:rPr>
                <w:rFonts w:ascii="方正黑体_GBK" w:hAnsi="方正黑体_GBK" w:eastAsia="方正黑体_GBK" w:cs="宋体"/>
                <w:sz w:val="18"/>
                <w:szCs w:val="18"/>
              </w:rPr>
              <w:t>E2份额：业绩比较基准为年化2.95%-3.25% 。</w:t>
            </w:r>
          </w:p>
          <w:p w14:paraId="51EAE93B">
            <w:pPr>
              <w:spacing w:line="200" w:lineRule="exact"/>
            </w:pPr>
            <w:r>
              <w:rPr>
                <w:rFonts w:ascii="方正黑体_GBK" w:hAnsi="方正黑体_GBK" w:eastAsia="方正黑体_GBK" w:cs="宋体"/>
                <w:sz w:val="18"/>
                <w:szCs w:val="18"/>
              </w:rPr>
              <w:t>A3份额：业绩比较基准为年化2.7%-3% 。</w:t>
            </w:r>
          </w:p>
          <w:p w14:paraId="52FF068E">
            <w:pPr>
              <w:spacing w:line="200" w:lineRule="exact"/>
            </w:pPr>
            <w:r>
              <w:rPr>
                <w:rFonts w:ascii="方正黑体_GBK" w:hAnsi="方正黑体_GBK" w:eastAsia="方正黑体_GBK" w:cs="宋体"/>
                <w:sz w:val="18"/>
                <w:szCs w:val="18"/>
              </w:rPr>
              <w:t>B3份额：业绩比较基准为年化2.7%-3% 。</w:t>
            </w:r>
          </w:p>
          <w:p w14:paraId="41CB6AC4">
            <w:pPr>
              <w:spacing w:line="200" w:lineRule="exact"/>
            </w:pPr>
            <w:r>
              <w:rPr>
                <w:rFonts w:ascii="方正黑体_GBK" w:hAnsi="方正黑体_GBK" w:eastAsia="方正黑体_GBK" w:cs="宋体"/>
                <w:sz w:val="18"/>
                <w:szCs w:val="18"/>
              </w:rPr>
              <w:t>C3份额：业绩比较基准为年化2.8%-3.1% 。</w:t>
            </w:r>
          </w:p>
          <w:p w14:paraId="3903C6B8">
            <w:pPr>
              <w:spacing w:line="200" w:lineRule="exact"/>
            </w:pPr>
            <w:r>
              <w:rPr>
                <w:rFonts w:ascii="方正黑体_GBK" w:hAnsi="方正黑体_GBK" w:eastAsia="方正黑体_GBK" w:cs="宋体"/>
                <w:sz w:val="18"/>
                <w:szCs w:val="18"/>
              </w:rPr>
              <w:t>D3份额：业绩比较基准为年化2.85%-3.15% 。</w:t>
            </w:r>
          </w:p>
          <w:p w14:paraId="7AF26AE0">
            <w:pPr>
              <w:spacing w:line="200" w:lineRule="exact"/>
            </w:pPr>
            <w:r>
              <w:rPr>
                <w:rFonts w:ascii="方正黑体_GBK" w:hAnsi="方正黑体_GBK" w:eastAsia="方正黑体_GBK" w:cs="宋体"/>
                <w:sz w:val="18"/>
                <w:szCs w:val="18"/>
              </w:rPr>
              <w:t>E3份额：业绩比较基准为年化2.95%-3.25% 。</w:t>
            </w:r>
          </w:p>
          <w:p w14:paraId="329ADCFF">
            <w:pPr>
              <w:spacing w:line="200" w:lineRule="exact"/>
            </w:pPr>
            <w:r>
              <w:rPr>
                <w:rFonts w:ascii="方正黑体_GBK" w:hAnsi="方正黑体_GBK" w:eastAsia="方正黑体_GBK" w:cs="宋体"/>
                <w:sz w:val="18"/>
                <w:szCs w:val="18"/>
              </w:rPr>
              <w:t>A4份额：业绩比较基准为年化2.7%-3% 。</w:t>
            </w:r>
          </w:p>
          <w:p w14:paraId="1FCBE95C">
            <w:pPr>
              <w:spacing w:line="200" w:lineRule="exact"/>
            </w:pPr>
            <w:r>
              <w:rPr>
                <w:rFonts w:ascii="方正黑体_GBK" w:hAnsi="方正黑体_GBK" w:eastAsia="方正黑体_GBK" w:cs="宋体"/>
                <w:sz w:val="18"/>
                <w:szCs w:val="18"/>
              </w:rPr>
              <w:t>B4份额：业绩比较基准为年化2.7%-3% 。</w:t>
            </w:r>
          </w:p>
          <w:p w14:paraId="62E0FCCB">
            <w:pPr>
              <w:spacing w:line="200" w:lineRule="exact"/>
            </w:pPr>
            <w:r>
              <w:rPr>
                <w:rFonts w:ascii="方正黑体_GBK" w:hAnsi="方正黑体_GBK" w:eastAsia="方正黑体_GBK" w:cs="宋体"/>
                <w:sz w:val="18"/>
                <w:szCs w:val="18"/>
              </w:rPr>
              <w:t>C4份额：业绩比较基准为年化2.8%-3.1% 。</w:t>
            </w:r>
          </w:p>
          <w:p w14:paraId="4E425795">
            <w:pPr>
              <w:spacing w:line="200" w:lineRule="exact"/>
            </w:pPr>
            <w:r>
              <w:rPr>
                <w:rFonts w:ascii="方正黑体_GBK" w:hAnsi="方正黑体_GBK" w:eastAsia="方正黑体_GBK" w:cs="宋体"/>
                <w:sz w:val="18"/>
                <w:szCs w:val="18"/>
              </w:rPr>
              <w:t>D4份额：业绩比较基准为年化2.85%-3.15% 。</w:t>
            </w:r>
          </w:p>
          <w:p w14:paraId="727D30E8">
            <w:pPr>
              <w:spacing w:line="200" w:lineRule="exact"/>
            </w:pPr>
            <w:r>
              <w:rPr>
                <w:rFonts w:ascii="方正黑体_GBK" w:hAnsi="方正黑体_GBK" w:eastAsia="方正黑体_GBK" w:cs="宋体"/>
                <w:sz w:val="18"/>
                <w:szCs w:val="18"/>
              </w:rPr>
              <w:t>E4份额：业绩比较基准为年化2.95%-3.25% 。</w:t>
            </w:r>
          </w:p>
          <w:p w14:paraId="62E85E83">
            <w:pPr>
              <w:spacing w:line="200" w:lineRule="exact"/>
            </w:pPr>
            <w:r>
              <w:rPr>
                <w:rFonts w:ascii="方正黑体_GBK" w:hAnsi="方正黑体_GBK" w:eastAsia="方正黑体_GBK" w:cs="宋体"/>
                <w:sz w:val="18"/>
                <w:szCs w:val="18"/>
              </w:rPr>
              <w:t>F2份额：业绩比较基准为年化2.8%-3.1% 。</w:t>
            </w:r>
          </w:p>
          <w:p w14:paraId="58E9190E">
            <w:pPr>
              <w:spacing w:line="200" w:lineRule="exact"/>
            </w:pPr>
            <w:r>
              <w:rPr>
                <w:rFonts w:ascii="方正黑体_GBK" w:hAnsi="方正黑体_GBK" w:eastAsia="方正黑体_GBK" w:cs="宋体"/>
                <w:sz w:val="18"/>
                <w:szCs w:val="18"/>
              </w:rPr>
              <w:t>F3份额：业绩比较基准为年化2.8%-3.1% 。</w:t>
            </w:r>
          </w:p>
          <w:p w14:paraId="0C9EF950">
            <w:pPr>
              <w:spacing w:line="200" w:lineRule="exact"/>
            </w:pPr>
            <w:r>
              <w:rPr>
                <w:rFonts w:ascii="方正黑体_GBK" w:hAnsi="方正黑体_GBK" w:eastAsia="方正黑体_GBK" w:cs="宋体"/>
                <w:sz w:val="18"/>
                <w:szCs w:val="18"/>
              </w:rPr>
              <w:t>G2份额：业绩比较基准为年化2.9%-3.2% 。</w:t>
            </w:r>
          </w:p>
          <w:p w14:paraId="4A92F092">
            <w:pPr>
              <w:spacing w:line="200" w:lineRule="exact"/>
            </w:pPr>
            <w:r>
              <w:rPr>
                <w:rFonts w:ascii="方正黑体_GBK" w:hAnsi="方正黑体_GBK" w:eastAsia="方正黑体_GBK" w:cs="宋体"/>
                <w:sz w:val="18"/>
                <w:szCs w:val="18"/>
              </w:rPr>
              <w:t>G3份额：业绩比较基准为年化2.9%-3.2% 。</w:t>
            </w:r>
          </w:p>
          <w:p w14:paraId="182E3461">
            <w:pPr>
              <w:spacing w:line="200" w:lineRule="exact"/>
            </w:pPr>
            <w:r>
              <w:rPr>
                <w:rFonts w:ascii="方正黑体_GBK" w:hAnsi="方正黑体_GBK" w:eastAsia="方正黑体_GBK" w:cs="宋体"/>
                <w:sz w:val="18"/>
                <w:szCs w:val="18"/>
              </w:rPr>
              <w:t>F4份额：业绩比较基准为年化2.8%-3.1% 。</w:t>
            </w:r>
          </w:p>
          <w:p w14:paraId="2F03C10F">
            <w:pPr>
              <w:spacing w:line="200" w:lineRule="exact"/>
            </w:pPr>
            <w:r>
              <w:rPr>
                <w:rFonts w:ascii="方正黑体_GBK" w:hAnsi="方正黑体_GBK" w:eastAsia="方正黑体_GBK" w:cs="宋体"/>
                <w:sz w:val="18"/>
                <w:szCs w:val="18"/>
              </w:rPr>
              <w:t>G4份额：业绩比较基准为年化2.9%-3.2% 。</w:t>
            </w:r>
          </w:p>
          <w:p w14:paraId="3E23C346">
            <w:pPr>
              <w:spacing w:line="200" w:lineRule="exact"/>
            </w:pPr>
            <w:r>
              <w:rPr>
                <w:rFonts w:ascii="方正黑体_GBK" w:hAnsi="方正黑体_GBK" w:eastAsia="方正黑体_GBK" w:cs="宋体"/>
                <w:sz w:val="18"/>
                <w:szCs w:val="18"/>
              </w:rPr>
              <w:t>H2份额：业绩比较基准为年化2.9%-3.2% 。</w:t>
            </w:r>
          </w:p>
          <w:p w14:paraId="210741A6">
            <w:pPr>
              <w:spacing w:line="200" w:lineRule="exact"/>
            </w:pPr>
            <w:r>
              <w:rPr>
                <w:rFonts w:ascii="方正黑体_GBK" w:hAnsi="方正黑体_GBK" w:eastAsia="方正黑体_GBK" w:cs="宋体"/>
                <w:sz w:val="18"/>
                <w:szCs w:val="18"/>
              </w:rPr>
              <w:t>J2份额：业绩比较基准为年化2.7%-3% 。</w:t>
            </w:r>
          </w:p>
          <w:p w14:paraId="2F823EBA">
            <w:pPr>
              <w:spacing w:line="200" w:lineRule="exact"/>
            </w:pPr>
            <w:r>
              <w:rPr>
                <w:rFonts w:ascii="方正黑体_GBK" w:hAnsi="方正黑体_GBK" w:eastAsia="方正黑体_GBK" w:cs="宋体"/>
                <w:sz w:val="18"/>
                <w:szCs w:val="18"/>
              </w:rPr>
              <w:t>K2份额：业绩比较基准为年化2.7%-3% 。</w:t>
            </w:r>
          </w:p>
          <w:p w14:paraId="4EBFC0CB">
            <w:pPr>
              <w:spacing w:line="200" w:lineRule="exact"/>
            </w:pPr>
            <w:r>
              <w:rPr>
                <w:rFonts w:ascii="方正黑体_GBK" w:hAnsi="方正黑体_GBK" w:eastAsia="方正黑体_GBK" w:cs="宋体"/>
                <w:sz w:val="18"/>
                <w:szCs w:val="18"/>
              </w:rPr>
              <w:t>J3份额：业绩比较基准为年化2.7%-3% 。</w:t>
            </w:r>
          </w:p>
          <w:p w14:paraId="57A99F86">
            <w:pPr>
              <w:spacing w:line="200" w:lineRule="exact"/>
            </w:pPr>
            <w:r>
              <w:rPr>
                <w:rFonts w:ascii="方正黑体_GBK" w:hAnsi="方正黑体_GBK" w:eastAsia="方正黑体_GBK" w:cs="宋体"/>
                <w:sz w:val="18"/>
                <w:szCs w:val="18"/>
              </w:rPr>
              <w:t>K3份额：业绩比较基准为年化2.7%-3% 。</w:t>
            </w:r>
          </w:p>
          <w:p w14:paraId="01984287">
            <w:pPr>
              <w:spacing w:line="200" w:lineRule="exact"/>
            </w:pPr>
            <w:r>
              <w:rPr>
                <w:rFonts w:ascii="方正黑体_GBK" w:hAnsi="方正黑体_GBK" w:eastAsia="方正黑体_GBK" w:cs="宋体"/>
                <w:sz w:val="18"/>
                <w:szCs w:val="18"/>
              </w:rPr>
              <w:t>J4份额：业绩比较基准为年化2.7%-3% 。</w:t>
            </w:r>
          </w:p>
          <w:p w14:paraId="59153E3F">
            <w:pPr>
              <w:spacing w:line="200" w:lineRule="exact"/>
            </w:pPr>
            <w:r>
              <w:rPr>
                <w:rFonts w:ascii="方正黑体_GBK" w:hAnsi="方正黑体_GBK" w:eastAsia="方正黑体_GBK" w:cs="宋体"/>
                <w:sz w:val="18"/>
                <w:szCs w:val="18"/>
              </w:rPr>
              <w:t>K4份额：业绩比较基准为年化2.7%-3% 。</w:t>
            </w:r>
          </w:p>
          <w:p w14:paraId="0E888693">
            <w:pPr>
              <w:spacing w:line="200" w:lineRule="exact"/>
            </w:pPr>
            <w:r>
              <w:rPr>
                <w:rFonts w:ascii="方正黑体_GBK" w:hAnsi="方正黑体_GBK" w:eastAsia="方正黑体_GBK" w:cs="宋体"/>
                <w:sz w:val="18"/>
                <w:szCs w:val="18"/>
              </w:rPr>
              <w:t>L4份额：业绩比较基准为年化2.8%-3.1% 。</w:t>
            </w:r>
          </w:p>
          <w:p w14:paraId="10C77844">
            <w:pPr>
              <w:spacing w:line="200" w:lineRule="exact"/>
            </w:pPr>
            <w:r>
              <w:rPr>
                <w:rFonts w:ascii="方正黑体_GBK" w:hAnsi="方正黑体_GBK" w:eastAsia="方正黑体_GBK" w:cs="宋体"/>
                <w:sz w:val="18"/>
                <w:szCs w:val="18"/>
              </w:rPr>
              <w:t>M2份额：业绩比较基准为年化2.7%-3% 。</w:t>
            </w:r>
          </w:p>
          <w:p w14:paraId="29D84157">
            <w:pPr>
              <w:spacing w:line="200" w:lineRule="exact"/>
            </w:pPr>
            <w:r>
              <w:rPr>
                <w:rFonts w:ascii="方正黑体_GBK" w:hAnsi="方正黑体_GBK" w:eastAsia="方正黑体_GBK" w:cs="宋体"/>
                <w:sz w:val="18"/>
                <w:szCs w:val="18"/>
              </w:rPr>
              <w:t>M3份额：业绩比较基准为年化2.7%-3% 。</w:t>
            </w:r>
          </w:p>
          <w:p w14:paraId="50E4873D">
            <w:pPr>
              <w:spacing w:line="200" w:lineRule="exact"/>
            </w:pPr>
            <w:r>
              <w:rPr>
                <w:rFonts w:ascii="方正黑体_GBK" w:hAnsi="方正黑体_GBK" w:eastAsia="方正黑体_GBK" w:cs="宋体"/>
                <w:sz w:val="18"/>
                <w:szCs w:val="18"/>
              </w:rPr>
              <w:t>M4份额：业绩比较基准为年化2.7%-3% 。</w:t>
            </w:r>
          </w:p>
          <w:p w14:paraId="4BA13D6D">
            <w:pPr>
              <w:spacing w:line="200" w:lineRule="exact"/>
            </w:pPr>
            <w:r>
              <w:rPr>
                <w:rFonts w:ascii="方正黑体_GBK" w:hAnsi="方正黑体_GBK" w:eastAsia="方正黑体_GBK" w:cs="宋体"/>
                <w:sz w:val="18"/>
                <w:szCs w:val="18"/>
              </w:rPr>
              <w:t>O2份额：业绩比较基准为年化2.85%-3.15% 。</w:t>
            </w:r>
          </w:p>
          <w:p w14:paraId="072948C9">
            <w:pPr>
              <w:spacing w:line="200" w:lineRule="exact"/>
            </w:pPr>
            <w:r>
              <w:rPr>
                <w:rFonts w:ascii="方正黑体_GBK" w:hAnsi="方正黑体_GBK" w:eastAsia="方正黑体_GBK" w:cs="宋体"/>
                <w:sz w:val="18"/>
                <w:szCs w:val="18"/>
              </w:rPr>
              <w:t>P2份额：业绩比较基准为年化2.9%-3.2% 。</w:t>
            </w:r>
          </w:p>
          <w:p w14:paraId="55717023">
            <w:pPr>
              <w:spacing w:line="200" w:lineRule="exact"/>
            </w:pPr>
            <w:r>
              <w:rPr>
                <w:rFonts w:ascii="方正黑体_GBK" w:hAnsi="方正黑体_GBK" w:eastAsia="方正黑体_GBK" w:cs="宋体"/>
                <w:sz w:val="18"/>
                <w:szCs w:val="18"/>
              </w:rPr>
              <w:t>O3份额：业绩比较基准为年化2.85%-3.15% 。</w:t>
            </w:r>
          </w:p>
          <w:p w14:paraId="7D0CA3D2">
            <w:pPr>
              <w:spacing w:line="200" w:lineRule="exact"/>
            </w:pPr>
            <w:r>
              <w:rPr>
                <w:rFonts w:ascii="方正黑体_GBK" w:hAnsi="方正黑体_GBK" w:eastAsia="方正黑体_GBK" w:cs="宋体"/>
                <w:sz w:val="18"/>
                <w:szCs w:val="18"/>
              </w:rPr>
              <w:t>P3份额：业绩比较基准为年化2.9%-3.2% 。</w:t>
            </w:r>
          </w:p>
          <w:p w14:paraId="28CDC519">
            <w:pPr>
              <w:spacing w:line="200" w:lineRule="exact"/>
            </w:pPr>
            <w:r>
              <w:rPr>
                <w:rFonts w:ascii="方正黑体_GBK" w:hAnsi="方正黑体_GBK" w:eastAsia="方正黑体_GBK" w:cs="宋体"/>
                <w:sz w:val="18"/>
                <w:szCs w:val="18"/>
              </w:rPr>
              <w:t>O4份额：业绩比较基准为年化2.85%-3.15% 。</w:t>
            </w:r>
          </w:p>
          <w:p w14:paraId="3F421E3F">
            <w:pPr>
              <w:spacing w:line="200" w:lineRule="exact"/>
            </w:pPr>
            <w:r>
              <w:rPr>
                <w:rFonts w:ascii="方正黑体_GBK" w:hAnsi="方正黑体_GBK" w:eastAsia="方正黑体_GBK" w:cs="宋体"/>
                <w:sz w:val="18"/>
                <w:szCs w:val="18"/>
              </w:rPr>
              <w:t>P4份额：业绩比较基准为年化2.9%-3.2% 。</w:t>
            </w:r>
          </w:p>
          <w:p w14:paraId="13C4079E">
            <w:pPr>
              <w:spacing w:line="200" w:lineRule="exact"/>
              <w:jc w:val="lef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14:paraId="75E6B51B">
            <w:pPr>
              <w:spacing w:line="200" w:lineRule="exact"/>
              <w:jc w:val="left"/>
            </w:pPr>
            <w:r>
              <w:rPr>
                <w:rFonts w:ascii="方正黑体_GBK" w:hAnsi="方正黑体_GBK" w:eastAsia="方正黑体_GBK" w:cs="宋体"/>
                <w:sz w:val="18"/>
                <w:szCs w:val="18"/>
              </w:rPr>
              <w:t>注：管理人可根据市场情况对业绩比较基准进行适当调整，如有调整，将至少于调整前3个工作日公布调整方案。</w:t>
            </w:r>
          </w:p>
          <w:p w14:paraId="2F04EBBC">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7342100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206681D">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4603D189">
            <w:pPr>
              <w:spacing w:line="200" w:lineRule="exact"/>
            </w:pPr>
            <w:r>
              <w:rPr>
                <w:rFonts w:ascii="方正黑体_GBK" w:hAnsi="方正黑体_GBK" w:eastAsia="方正黑体_GBK" w:cs="宋体"/>
                <w:b/>
                <w:sz w:val="18"/>
                <w:szCs w:val="18"/>
              </w:rPr>
              <w:t>认/申购费：本理财产品暂不收取认/申购费。</w:t>
            </w:r>
          </w:p>
          <w:p w14:paraId="69A10536">
            <w:pPr>
              <w:spacing w:line="200" w:lineRule="exact"/>
            </w:pPr>
            <w:r>
              <w:rPr>
                <w:rFonts w:ascii="方正黑体_GBK" w:hAnsi="方正黑体_GBK" w:eastAsia="方正黑体_GBK" w:cs="宋体"/>
                <w:b/>
                <w:sz w:val="18"/>
                <w:szCs w:val="18"/>
              </w:rPr>
              <w:t>赎回费：本理财产品暂不收取赎回费。</w:t>
            </w:r>
          </w:p>
          <w:p w14:paraId="5E238CC5">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66D68AA8">
            <w:pPr>
              <w:spacing w:line="200" w:lineRule="exact"/>
            </w:pPr>
            <w:r>
              <w:rPr>
                <w:rFonts w:ascii="方正黑体_GBK" w:hAnsi="方正黑体_GBK" w:eastAsia="方正黑体_GBK" w:cs="宋体"/>
                <w:b/>
                <w:sz w:val="18"/>
                <w:szCs w:val="18"/>
              </w:rPr>
              <w:t>A份额：销售费年化0.2%</w:t>
            </w:r>
          </w:p>
          <w:p w14:paraId="6E216C65">
            <w:pPr>
              <w:spacing w:line="200" w:lineRule="exact"/>
            </w:pPr>
            <w:r>
              <w:rPr>
                <w:rFonts w:ascii="方正黑体_GBK" w:hAnsi="方正黑体_GBK" w:eastAsia="方正黑体_GBK" w:cs="宋体"/>
                <w:b/>
                <w:sz w:val="18"/>
                <w:szCs w:val="18"/>
              </w:rPr>
              <w:t>B份额：销售费年化0.2%</w:t>
            </w:r>
          </w:p>
          <w:p w14:paraId="2C8EA1AA">
            <w:pPr>
              <w:spacing w:line="200" w:lineRule="exact"/>
            </w:pPr>
            <w:r>
              <w:rPr>
                <w:rFonts w:ascii="方正黑体_GBK" w:hAnsi="方正黑体_GBK" w:eastAsia="方正黑体_GBK" w:cs="宋体"/>
                <w:b/>
                <w:sz w:val="18"/>
                <w:szCs w:val="18"/>
              </w:rPr>
              <w:t>C份额：销售费年化0.15%</w:t>
            </w:r>
          </w:p>
          <w:p w14:paraId="2BEB8377">
            <w:pPr>
              <w:spacing w:line="200" w:lineRule="exact"/>
            </w:pPr>
            <w:r>
              <w:rPr>
                <w:rFonts w:ascii="方正黑体_GBK" w:hAnsi="方正黑体_GBK" w:eastAsia="方正黑体_GBK" w:cs="宋体"/>
                <w:b/>
                <w:sz w:val="18"/>
                <w:szCs w:val="18"/>
              </w:rPr>
              <w:t>D份额：销售费年化0.15%</w:t>
            </w:r>
          </w:p>
          <w:p w14:paraId="22A247A0">
            <w:pPr>
              <w:spacing w:line="200" w:lineRule="exact"/>
            </w:pPr>
            <w:r>
              <w:rPr>
                <w:rFonts w:ascii="方正黑体_GBK" w:hAnsi="方正黑体_GBK" w:eastAsia="方正黑体_GBK" w:cs="宋体"/>
                <w:b/>
                <w:sz w:val="18"/>
                <w:szCs w:val="18"/>
              </w:rPr>
              <w:t>E份额：销售费年化0.05%</w:t>
            </w:r>
          </w:p>
          <w:p w14:paraId="62A78E0B">
            <w:pPr>
              <w:spacing w:line="200" w:lineRule="exact"/>
            </w:pPr>
            <w:r>
              <w:rPr>
                <w:rFonts w:ascii="方正黑体_GBK" w:hAnsi="方正黑体_GBK" w:eastAsia="方正黑体_GBK" w:cs="宋体"/>
                <w:b/>
                <w:sz w:val="18"/>
                <w:szCs w:val="18"/>
              </w:rPr>
              <w:t>F份额：销售费年化0.2%</w:t>
            </w:r>
          </w:p>
          <w:p w14:paraId="1C8D2201">
            <w:pPr>
              <w:spacing w:line="200" w:lineRule="exact"/>
            </w:pPr>
            <w:r>
              <w:rPr>
                <w:rFonts w:ascii="方正黑体_GBK" w:hAnsi="方正黑体_GBK" w:eastAsia="方正黑体_GBK" w:cs="宋体"/>
                <w:b/>
                <w:sz w:val="18"/>
                <w:szCs w:val="18"/>
              </w:rPr>
              <w:t>G份额：销售费年化0.1%</w:t>
            </w:r>
          </w:p>
          <w:p w14:paraId="5F6FECB2">
            <w:pPr>
              <w:spacing w:line="200" w:lineRule="exact"/>
            </w:pPr>
            <w:r>
              <w:rPr>
                <w:rFonts w:ascii="方正黑体_GBK" w:hAnsi="方正黑体_GBK" w:eastAsia="方正黑体_GBK" w:cs="宋体"/>
                <w:b/>
                <w:sz w:val="18"/>
                <w:szCs w:val="18"/>
              </w:rPr>
              <w:t>I份额：销售费年化0.05%</w:t>
            </w:r>
          </w:p>
          <w:p w14:paraId="795B92CE">
            <w:pPr>
              <w:spacing w:line="200" w:lineRule="exact"/>
            </w:pPr>
            <w:r>
              <w:rPr>
                <w:rFonts w:ascii="方正黑体_GBK" w:hAnsi="方正黑体_GBK" w:eastAsia="方正黑体_GBK" w:cs="宋体"/>
                <w:b/>
                <w:sz w:val="18"/>
                <w:szCs w:val="18"/>
              </w:rPr>
              <w:t>J份额：销售费年化0.3%</w:t>
            </w:r>
          </w:p>
          <w:p w14:paraId="1E4768BC">
            <w:pPr>
              <w:spacing w:line="200" w:lineRule="exact"/>
            </w:pPr>
            <w:r>
              <w:rPr>
                <w:rFonts w:ascii="方正黑体_GBK" w:hAnsi="方正黑体_GBK" w:eastAsia="方正黑体_GBK" w:cs="宋体"/>
                <w:b/>
                <w:sz w:val="18"/>
                <w:szCs w:val="18"/>
              </w:rPr>
              <w:t>K份额：销售费年化0.3%</w:t>
            </w:r>
          </w:p>
          <w:p w14:paraId="69B6A7AE">
            <w:pPr>
              <w:spacing w:line="200" w:lineRule="exact"/>
            </w:pPr>
            <w:r>
              <w:rPr>
                <w:rFonts w:ascii="方正黑体_GBK" w:hAnsi="方正黑体_GBK" w:eastAsia="方正黑体_GBK" w:cs="宋体"/>
                <w:b/>
                <w:sz w:val="18"/>
                <w:szCs w:val="18"/>
              </w:rPr>
              <w:t>M份额：销售费年化0.2%</w:t>
            </w:r>
          </w:p>
          <w:p w14:paraId="2E48F1D6">
            <w:pPr>
              <w:spacing w:line="200" w:lineRule="exact"/>
            </w:pPr>
            <w:r>
              <w:rPr>
                <w:rFonts w:ascii="方正黑体_GBK" w:hAnsi="方正黑体_GBK" w:eastAsia="方正黑体_GBK" w:cs="宋体"/>
                <w:b/>
                <w:sz w:val="18"/>
                <w:szCs w:val="18"/>
              </w:rPr>
              <w:t>N份额：销售费年化0.05%</w:t>
            </w:r>
          </w:p>
          <w:p w14:paraId="42F6AE1E">
            <w:pPr>
              <w:spacing w:line="200" w:lineRule="exact"/>
            </w:pPr>
            <w:r>
              <w:rPr>
                <w:rFonts w:ascii="方正黑体_GBK" w:hAnsi="方正黑体_GBK" w:eastAsia="方正黑体_GBK" w:cs="宋体"/>
                <w:b/>
                <w:sz w:val="18"/>
                <w:szCs w:val="18"/>
              </w:rPr>
              <w:t>O份额：销售费年化0.2%</w:t>
            </w:r>
          </w:p>
          <w:p w14:paraId="2630C443">
            <w:pPr>
              <w:spacing w:line="200" w:lineRule="exact"/>
            </w:pPr>
            <w:r>
              <w:rPr>
                <w:rFonts w:ascii="方正黑体_GBK" w:hAnsi="方正黑体_GBK" w:eastAsia="方正黑体_GBK" w:cs="宋体"/>
                <w:b/>
                <w:sz w:val="18"/>
                <w:szCs w:val="18"/>
              </w:rPr>
              <w:t>P份额：销售费年化0.15%</w:t>
            </w:r>
          </w:p>
          <w:p w14:paraId="5C0A2C3F">
            <w:pPr>
              <w:spacing w:line="200" w:lineRule="exact"/>
            </w:pPr>
            <w:r>
              <w:rPr>
                <w:rFonts w:ascii="方正黑体_GBK" w:hAnsi="方正黑体_GBK" w:eastAsia="方正黑体_GBK" w:cs="宋体"/>
                <w:b/>
                <w:sz w:val="18"/>
                <w:szCs w:val="18"/>
              </w:rPr>
              <w:t>A2份额：销售费年化0.2%</w:t>
            </w:r>
          </w:p>
          <w:p w14:paraId="17D7AD91">
            <w:pPr>
              <w:spacing w:line="200" w:lineRule="exact"/>
            </w:pPr>
            <w:r>
              <w:rPr>
                <w:rFonts w:ascii="方正黑体_GBK" w:hAnsi="方正黑体_GBK" w:eastAsia="方正黑体_GBK" w:cs="宋体"/>
                <w:b/>
                <w:sz w:val="18"/>
                <w:szCs w:val="18"/>
              </w:rPr>
              <w:t>B2份额：销售费年化0.2%</w:t>
            </w:r>
          </w:p>
          <w:p w14:paraId="013FC9B2">
            <w:pPr>
              <w:spacing w:line="200" w:lineRule="exact"/>
            </w:pPr>
            <w:r>
              <w:rPr>
                <w:rFonts w:ascii="方正黑体_GBK" w:hAnsi="方正黑体_GBK" w:eastAsia="方正黑体_GBK" w:cs="宋体"/>
                <w:b/>
                <w:sz w:val="18"/>
                <w:szCs w:val="18"/>
              </w:rPr>
              <w:t>C2份额：销售费年化0.15%</w:t>
            </w:r>
          </w:p>
          <w:p w14:paraId="58D11CF9">
            <w:pPr>
              <w:spacing w:line="200" w:lineRule="exact"/>
            </w:pPr>
            <w:r>
              <w:rPr>
                <w:rFonts w:ascii="方正黑体_GBK" w:hAnsi="方正黑体_GBK" w:eastAsia="方正黑体_GBK" w:cs="宋体"/>
                <w:b/>
                <w:sz w:val="18"/>
                <w:szCs w:val="18"/>
              </w:rPr>
              <w:t>D2份额：销售费年化0.15%</w:t>
            </w:r>
          </w:p>
          <w:p w14:paraId="488BF003">
            <w:pPr>
              <w:spacing w:line="200" w:lineRule="exact"/>
            </w:pPr>
            <w:r>
              <w:rPr>
                <w:rFonts w:ascii="方正黑体_GBK" w:hAnsi="方正黑体_GBK" w:eastAsia="方正黑体_GBK" w:cs="宋体"/>
                <w:b/>
                <w:sz w:val="18"/>
                <w:szCs w:val="18"/>
              </w:rPr>
              <w:t>E2份额：销售费年化0.05%</w:t>
            </w:r>
          </w:p>
          <w:p w14:paraId="05881AEF">
            <w:pPr>
              <w:spacing w:line="200" w:lineRule="exact"/>
            </w:pPr>
            <w:r>
              <w:rPr>
                <w:rFonts w:ascii="方正黑体_GBK" w:hAnsi="方正黑体_GBK" w:eastAsia="方正黑体_GBK" w:cs="宋体"/>
                <w:b/>
                <w:sz w:val="18"/>
                <w:szCs w:val="18"/>
              </w:rPr>
              <w:t>A3份额：销售费年化0.2%</w:t>
            </w:r>
          </w:p>
          <w:p w14:paraId="4578A431">
            <w:pPr>
              <w:spacing w:line="200" w:lineRule="exact"/>
            </w:pPr>
            <w:r>
              <w:rPr>
                <w:rFonts w:ascii="方正黑体_GBK" w:hAnsi="方正黑体_GBK" w:eastAsia="方正黑体_GBK" w:cs="宋体"/>
                <w:b/>
                <w:sz w:val="18"/>
                <w:szCs w:val="18"/>
              </w:rPr>
              <w:t>B3份额：销售费年化0.2%</w:t>
            </w:r>
          </w:p>
          <w:p w14:paraId="272D7C97">
            <w:pPr>
              <w:spacing w:line="200" w:lineRule="exact"/>
            </w:pPr>
            <w:r>
              <w:rPr>
                <w:rFonts w:ascii="方正黑体_GBK" w:hAnsi="方正黑体_GBK" w:eastAsia="方正黑体_GBK" w:cs="宋体"/>
                <w:b/>
                <w:sz w:val="18"/>
                <w:szCs w:val="18"/>
              </w:rPr>
              <w:t>C3份额：销售费年化0.15%</w:t>
            </w:r>
          </w:p>
          <w:p w14:paraId="05AFBA24">
            <w:pPr>
              <w:spacing w:line="200" w:lineRule="exact"/>
            </w:pPr>
            <w:r>
              <w:rPr>
                <w:rFonts w:ascii="方正黑体_GBK" w:hAnsi="方正黑体_GBK" w:eastAsia="方正黑体_GBK" w:cs="宋体"/>
                <w:b/>
                <w:sz w:val="18"/>
                <w:szCs w:val="18"/>
              </w:rPr>
              <w:t>D3份额：销售费年化0.15%</w:t>
            </w:r>
          </w:p>
          <w:p w14:paraId="791466AC">
            <w:pPr>
              <w:spacing w:line="200" w:lineRule="exact"/>
            </w:pPr>
            <w:r>
              <w:rPr>
                <w:rFonts w:ascii="方正黑体_GBK" w:hAnsi="方正黑体_GBK" w:eastAsia="方正黑体_GBK" w:cs="宋体"/>
                <w:b/>
                <w:sz w:val="18"/>
                <w:szCs w:val="18"/>
              </w:rPr>
              <w:t>E3份额：销售费年化0.05%</w:t>
            </w:r>
          </w:p>
          <w:p w14:paraId="7B71C712">
            <w:pPr>
              <w:spacing w:line="200" w:lineRule="exact"/>
            </w:pPr>
            <w:r>
              <w:rPr>
                <w:rFonts w:ascii="方正黑体_GBK" w:hAnsi="方正黑体_GBK" w:eastAsia="方正黑体_GBK" w:cs="宋体"/>
                <w:b/>
                <w:sz w:val="18"/>
                <w:szCs w:val="18"/>
              </w:rPr>
              <w:t>A4份额：销售费年化0.2%</w:t>
            </w:r>
          </w:p>
          <w:p w14:paraId="6199FA69">
            <w:pPr>
              <w:spacing w:line="200" w:lineRule="exact"/>
            </w:pPr>
            <w:r>
              <w:rPr>
                <w:rFonts w:ascii="方正黑体_GBK" w:hAnsi="方正黑体_GBK" w:eastAsia="方正黑体_GBK" w:cs="宋体"/>
                <w:b/>
                <w:sz w:val="18"/>
                <w:szCs w:val="18"/>
              </w:rPr>
              <w:t>B4份额：销售费年化0.2%</w:t>
            </w:r>
          </w:p>
          <w:p w14:paraId="655F0159">
            <w:pPr>
              <w:spacing w:line="200" w:lineRule="exact"/>
            </w:pPr>
            <w:r>
              <w:rPr>
                <w:rFonts w:ascii="方正黑体_GBK" w:hAnsi="方正黑体_GBK" w:eastAsia="方正黑体_GBK" w:cs="宋体"/>
                <w:b/>
                <w:sz w:val="18"/>
                <w:szCs w:val="18"/>
              </w:rPr>
              <w:t>C4份额：销售费年化0.15%</w:t>
            </w:r>
          </w:p>
          <w:p w14:paraId="194D5B41">
            <w:pPr>
              <w:spacing w:line="200" w:lineRule="exact"/>
            </w:pPr>
            <w:r>
              <w:rPr>
                <w:rFonts w:ascii="方正黑体_GBK" w:hAnsi="方正黑体_GBK" w:eastAsia="方正黑体_GBK" w:cs="宋体"/>
                <w:b/>
                <w:sz w:val="18"/>
                <w:szCs w:val="18"/>
              </w:rPr>
              <w:t>D4份额：销售费年化0.15%</w:t>
            </w:r>
          </w:p>
          <w:p w14:paraId="5AEB69F2">
            <w:pPr>
              <w:spacing w:line="200" w:lineRule="exact"/>
            </w:pPr>
            <w:r>
              <w:rPr>
                <w:rFonts w:ascii="方正黑体_GBK" w:hAnsi="方正黑体_GBK" w:eastAsia="方正黑体_GBK" w:cs="宋体"/>
                <w:b/>
                <w:sz w:val="18"/>
                <w:szCs w:val="18"/>
              </w:rPr>
              <w:t>E4份额：销售费年化0.05%</w:t>
            </w:r>
          </w:p>
          <w:p w14:paraId="42519D2B">
            <w:pPr>
              <w:spacing w:line="200" w:lineRule="exact"/>
            </w:pPr>
            <w:r>
              <w:rPr>
                <w:rFonts w:ascii="方正黑体_GBK" w:hAnsi="方正黑体_GBK" w:eastAsia="方正黑体_GBK" w:cs="宋体"/>
                <w:b/>
                <w:sz w:val="18"/>
                <w:szCs w:val="18"/>
              </w:rPr>
              <w:t>F2份额：销售费年化0.2%</w:t>
            </w:r>
          </w:p>
          <w:p w14:paraId="41CC3509">
            <w:pPr>
              <w:spacing w:line="200" w:lineRule="exact"/>
            </w:pPr>
            <w:r>
              <w:rPr>
                <w:rFonts w:ascii="方正黑体_GBK" w:hAnsi="方正黑体_GBK" w:eastAsia="方正黑体_GBK" w:cs="宋体"/>
                <w:b/>
                <w:sz w:val="18"/>
                <w:szCs w:val="18"/>
              </w:rPr>
              <w:t>F3份额：销售费年化0.2%</w:t>
            </w:r>
          </w:p>
          <w:p w14:paraId="28759405">
            <w:pPr>
              <w:spacing w:line="200" w:lineRule="exact"/>
            </w:pPr>
            <w:r>
              <w:rPr>
                <w:rFonts w:ascii="方正黑体_GBK" w:hAnsi="方正黑体_GBK" w:eastAsia="方正黑体_GBK" w:cs="宋体"/>
                <w:b/>
                <w:sz w:val="18"/>
                <w:szCs w:val="18"/>
              </w:rPr>
              <w:t>G2份额：销售费年化0.1%</w:t>
            </w:r>
          </w:p>
          <w:p w14:paraId="4A955A08">
            <w:pPr>
              <w:spacing w:line="200" w:lineRule="exact"/>
            </w:pPr>
            <w:r>
              <w:rPr>
                <w:rFonts w:ascii="方正黑体_GBK" w:hAnsi="方正黑体_GBK" w:eastAsia="方正黑体_GBK" w:cs="宋体"/>
                <w:b/>
                <w:sz w:val="18"/>
                <w:szCs w:val="18"/>
              </w:rPr>
              <w:t>G3份额：销售费年化0.1%</w:t>
            </w:r>
          </w:p>
          <w:p w14:paraId="6D3D85A6">
            <w:pPr>
              <w:spacing w:line="200" w:lineRule="exact"/>
            </w:pPr>
            <w:r>
              <w:rPr>
                <w:rFonts w:ascii="方正黑体_GBK" w:hAnsi="方正黑体_GBK" w:eastAsia="方正黑体_GBK" w:cs="宋体"/>
                <w:b/>
                <w:sz w:val="18"/>
                <w:szCs w:val="18"/>
              </w:rPr>
              <w:t>F4份额：销售费年化0.2%</w:t>
            </w:r>
          </w:p>
          <w:p w14:paraId="76F6A1B4">
            <w:pPr>
              <w:spacing w:line="200" w:lineRule="exact"/>
            </w:pPr>
            <w:r>
              <w:rPr>
                <w:rFonts w:ascii="方正黑体_GBK" w:hAnsi="方正黑体_GBK" w:eastAsia="方正黑体_GBK" w:cs="宋体"/>
                <w:b/>
                <w:sz w:val="18"/>
                <w:szCs w:val="18"/>
              </w:rPr>
              <w:t>G4份额：销售费年化0.1%</w:t>
            </w:r>
          </w:p>
          <w:p w14:paraId="18B941F7">
            <w:pPr>
              <w:spacing w:line="200" w:lineRule="exact"/>
            </w:pPr>
            <w:r>
              <w:rPr>
                <w:rFonts w:ascii="方正黑体_GBK" w:hAnsi="方正黑体_GBK" w:eastAsia="方正黑体_GBK" w:cs="宋体"/>
                <w:b/>
                <w:sz w:val="18"/>
                <w:szCs w:val="18"/>
              </w:rPr>
              <w:t>H2份额：销售费年化0.1%</w:t>
            </w:r>
          </w:p>
          <w:p w14:paraId="7A2204FE">
            <w:pPr>
              <w:spacing w:line="200" w:lineRule="exact"/>
            </w:pPr>
            <w:r>
              <w:rPr>
                <w:rFonts w:ascii="方正黑体_GBK" w:hAnsi="方正黑体_GBK" w:eastAsia="方正黑体_GBK" w:cs="宋体"/>
                <w:b/>
                <w:sz w:val="18"/>
                <w:szCs w:val="18"/>
              </w:rPr>
              <w:t>J2份额：销售费年化0.3%</w:t>
            </w:r>
          </w:p>
          <w:p w14:paraId="266C9099">
            <w:pPr>
              <w:spacing w:line="200" w:lineRule="exact"/>
            </w:pPr>
            <w:r>
              <w:rPr>
                <w:rFonts w:ascii="方正黑体_GBK" w:hAnsi="方正黑体_GBK" w:eastAsia="方正黑体_GBK" w:cs="宋体"/>
                <w:b/>
                <w:sz w:val="18"/>
                <w:szCs w:val="18"/>
              </w:rPr>
              <w:t>K2份额：销售费年化0.3%</w:t>
            </w:r>
          </w:p>
          <w:p w14:paraId="41AFCDE2">
            <w:pPr>
              <w:spacing w:line="200" w:lineRule="exact"/>
            </w:pPr>
            <w:r>
              <w:rPr>
                <w:rFonts w:ascii="方正黑体_GBK" w:hAnsi="方正黑体_GBK" w:eastAsia="方正黑体_GBK" w:cs="宋体"/>
                <w:b/>
                <w:sz w:val="18"/>
                <w:szCs w:val="18"/>
              </w:rPr>
              <w:t>J3份额：销售费年化0.3%</w:t>
            </w:r>
          </w:p>
          <w:p w14:paraId="0F407091">
            <w:pPr>
              <w:spacing w:line="200" w:lineRule="exact"/>
            </w:pPr>
            <w:r>
              <w:rPr>
                <w:rFonts w:ascii="方正黑体_GBK" w:hAnsi="方正黑体_GBK" w:eastAsia="方正黑体_GBK" w:cs="宋体"/>
                <w:b/>
                <w:sz w:val="18"/>
                <w:szCs w:val="18"/>
              </w:rPr>
              <w:t>K3份额：销售费年化0.3%</w:t>
            </w:r>
          </w:p>
          <w:p w14:paraId="20A6EEBA">
            <w:pPr>
              <w:spacing w:line="200" w:lineRule="exact"/>
            </w:pPr>
            <w:r>
              <w:rPr>
                <w:rFonts w:ascii="方正黑体_GBK" w:hAnsi="方正黑体_GBK" w:eastAsia="方正黑体_GBK" w:cs="宋体"/>
                <w:b/>
                <w:sz w:val="18"/>
                <w:szCs w:val="18"/>
              </w:rPr>
              <w:t>J4份额：销售费年化0.3%</w:t>
            </w:r>
          </w:p>
          <w:p w14:paraId="1F1952C8">
            <w:pPr>
              <w:spacing w:line="200" w:lineRule="exact"/>
            </w:pPr>
            <w:r>
              <w:rPr>
                <w:rFonts w:ascii="方正黑体_GBK" w:hAnsi="方正黑体_GBK" w:eastAsia="方正黑体_GBK" w:cs="宋体"/>
                <w:b/>
                <w:sz w:val="18"/>
                <w:szCs w:val="18"/>
              </w:rPr>
              <w:t>K4份额：销售费年化0.3%</w:t>
            </w:r>
          </w:p>
          <w:p w14:paraId="533D47D6">
            <w:pPr>
              <w:spacing w:line="200" w:lineRule="exact"/>
            </w:pPr>
            <w:r>
              <w:rPr>
                <w:rFonts w:ascii="方正黑体_GBK" w:hAnsi="方正黑体_GBK" w:eastAsia="方正黑体_GBK" w:cs="宋体"/>
                <w:b/>
                <w:sz w:val="18"/>
                <w:szCs w:val="18"/>
              </w:rPr>
              <w:t>L4份额：销售费年化0.2%</w:t>
            </w:r>
          </w:p>
          <w:p w14:paraId="608E390B">
            <w:pPr>
              <w:spacing w:line="200" w:lineRule="exact"/>
            </w:pPr>
            <w:r>
              <w:rPr>
                <w:rFonts w:ascii="方正黑体_GBK" w:hAnsi="方正黑体_GBK" w:eastAsia="方正黑体_GBK" w:cs="宋体"/>
                <w:b/>
                <w:sz w:val="18"/>
                <w:szCs w:val="18"/>
              </w:rPr>
              <w:t>M2份额：销售费年化0.2%</w:t>
            </w:r>
          </w:p>
          <w:p w14:paraId="11F8B375">
            <w:pPr>
              <w:spacing w:line="200" w:lineRule="exact"/>
            </w:pPr>
            <w:r>
              <w:rPr>
                <w:rFonts w:ascii="方正黑体_GBK" w:hAnsi="方正黑体_GBK" w:eastAsia="方正黑体_GBK" w:cs="宋体"/>
                <w:b/>
                <w:sz w:val="18"/>
                <w:szCs w:val="18"/>
              </w:rPr>
              <w:t>M3份额：销售费年化0.2%</w:t>
            </w:r>
          </w:p>
          <w:p w14:paraId="2D22968A">
            <w:pPr>
              <w:spacing w:line="200" w:lineRule="exact"/>
            </w:pPr>
            <w:r>
              <w:rPr>
                <w:rFonts w:ascii="方正黑体_GBK" w:hAnsi="方正黑体_GBK" w:eastAsia="方正黑体_GBK" w:cs="宋体"/>
                <w:b/>
                <w:sz w:val="18"/>
                <w:szCs w:val="18"/>
              </w:rPr>
              <w:t>M4份额：销售费年化0.2%</w:t>
            </w:r>
          </w:p>
          <w:p w14:paraId="64B43B0B">
            <w:pPr>
              <w:spacing w:line="200" w:lineRule="exact"/>
            </w:pPr>
            <w:r>
              <w:rPr>
                <w:rFonts w:ascii="方正黑体_GBK" w:hAnsi="方正黑体_GBK" w:eastAsia="方正黑体_GBK" w:cs="宋体"/>
                <w:b/>
                <w:sz w:val="18"/>
                <w:szCs w:val="18"/>
              </w:rPr>
              <w:t>O2份额：销售费年化0.2%</w:t>
            </w:r>
          </w:p>
          <w:p w14:paraId="51D3A4DD">
            <w:pPr>
              <w:spacing w:line="200" w:lineRule="exact"/>
            </w:pPr>
            <w:r>
              <w:rPr>
                <w:rFonts w:ascii="方正黑体_GBK" w:hAnsi="方正黑体_GBK" w:eastAsia="方正黑体_GBK" w:cs="宋体"/>
                <w:b/>
                <w:sz w:val="18"/>
                <w:szCs w:val="18"/>
              </w:rPr>
              <w:t>P2份额：销售费年化0.15%</w:t>
            </w:r>
          </w:p>
          <w:p w14:paraId="3BA26BED">
            <w:pPr>
              <w:spacing w:line="200" w:lineRule="exact"/>
            </w:pPr>
            <w:r>
              <w:rPr>
                <w:rFonts w:ascii="方正黑体_GBK" w:hAnsi="方正黑体_GBK" w:eastAsia="方正黑体_GBK" w:cs="宋体"/>
                <w:b/>
                <w:sz w:val="18"/>
                <w:szCs w:val="18"/>
              </w:rPr>
              <w:t>O3份额：销售费年化0.2%</w:t>
            </w:r>
          </w:p>
          <w:p w14:paraId="36E2A070">
            <w:pPr>
              <w:spacing w:line="200" w:lineRule="exact"/>
            </w:pPr>
            <w:r>
              <w:rPr>
                <w:rFonts w:ascii="方正黑体_GBK" w:hAnsi="方正黑体_GBK" w:eastAsia="方正黑体_GBK" w:cs="宋体"/>
                <w:b/>
                <w:sz w:val="18"/>
                <w:szCs w:val="18"/>
              </w:rPr>
              <w:t>P3份额：销售费年化0.15%</w:t>
            </w:r>
          </w:p>
          <w:p w14:paraId="156CCBA1">
            <w:pPr>
              <w:spacing w:line="200" w:lineRule="exact"/>
            </w:pPr>
            <w:r>
              <w:rPr>
                <w:rFonts w:ascii="方正黑体_GBK" w:hAnsi="方正黑体_GBK" w:eastAsia="方正黑体_GBK" w:cs="宋体"/>
                <w:b/>
                <w:sz w:val="18"/>
                <w:szCs w:val="18"/>
              </w:rPr>
              <w:t>O4份额：销售费年化0.2%</w:t>
            </w:r>
          </w:p>
          <w:p w14:paraId="1EA7371C">
            <w:pPr>
              <w:spacing w:line="200" w:lineRule="exact"/>
            </w:pPr>
            <w:r>
              <w:rPr>
                <w:rFonts w:ascii="方正黑体_GBK" w:hAnsi="方正黑体_GBK" w:eastAsia="方正黑体_GBK" w:cs="宋体"/>
                <w:b/>
                <w:sz w:val="18"/>
                <w:szCs w:val="18"/>
              </w:rPr>
              <w:t>P4份额：销售费年化0.15%</w:t>
            </w:r>
          </w:p>
          <w:p w14:paraId="1E69BA4F">
            <w:pPr>
              <w:spacing w:line="200" w:lineRule="exact"/>
            </w:pPr>
            <w:r>
              <w:rPr>
                <w:rFonts w:ascii="方正黑体_GBK" w:hAnsi="方正黑体_GBK" w:eastAsia="方正黑体_GBK" w:cs="宋体"/>
                <w:b/>
                <w:sz w:val="18"/>
                <w:szCs w:val="18"/>
              </w:rPr>
              <w:t>每日计提的销售费=前一日理财产品资产净值×年化销售费率÷365</w:t>
            </w:r>
          </w:p>
          <w:p w14:paraId="314E81CB">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20C6E4B7">
            <w:pPr>
              <w:spacing w:line="200" w:lineRule="exact"/>
            </w:pPr>
            <w:r>
              <w:rPr>
                <w:rFonts w:ascii="方正黑体_GBK" w:hAnsi="方正黑体_GBK" w:eastAsia="方正黑体_GBK" w:cs="宋体"/>
                <w:b/>
                <w:sz w:val="18"/>
                <w:szCs w:val="18"/>
              </w:rPr>
              <w:t>A份额：固定管理费年化0.3%</w:t>
            </w:r>
          </w:p>
          <w:p w14:paraId="0A97E6B0">
            <w:pPr>
              <w:spacing w:line="200" w:lineRule="exact"/>
            </w:pPr>
            <w:r>
              <w:rPr>
                <w:rFonts w:ascii="方正黑体_GBK" w:hAnsi="方正黑体_GBK" w:eastAsia="方正黑体_GBK" w:cs="宋体"/>
                <w:b/>
                <w:sz w:val="18"/>
                <w:szCs w:val="18"/>
              </w:rPr>
              <w:t>B份额：固定管理费年化0.3%</w:t>
            </w:r>
          </w:p>
          <w:p w14:paraId="4815B3A2">
            <w:pPr>
              <w:spacing w:line="200" w:lineRule="exact"/>
            </w:pPr>
            <w:r>
              <w:rPr>
                <w:rFonts w:ascii="方正黑体_GBK" w:hAnsi="方正黑体_GBK" w:eastAsia="方正黑体_GBK" w:cs="宋体"/>
                <w:b/>
                <w:sz w:val="18"/>
                <w:szCs w:val="18"/>
              </w:rPr>
              <w:t>C份额：固定管理费年化0.25%</w:t>
            </w:r>
          </w:p>
          <w:p w14:paraId="25B9EDAD">
            <w:pPr>
              <w:spacing w:line="200" w:lineRule="exact"/>
            </w:pPr>
            <w:r>
              <w:rPr>
                <w:rFonts w:ascii="方正黑体_GBK" w:hAnsi="方正黑体_GBK" w:eastAsia="方正黑体_GBK" w:cs="宋体"/>
                <w:b/>
                <w:sz w:val="18"/>
                <w:szCs w:val="18"/>
              </w:rPr>
              <w:t>D份额：固定管理费年化0.2%</w:t>
            </w:r>
          </w:p>
          <w:p w14:paraId="6F1F9729">
            <w:pPr>
              <w:spacing w:line="200" w:lineRule="exact"/>
            </w:pPr>
            <w:r>
              <w:rPr>
                <w:rFonts w:ascii="方正黑体_GBK" w:hAnsi="方正黑体_GBK" w:eastAsia="方正黑体_GBK" w:cs="宋体"/>
                <w:b/>
                <w:sz w:val="18"/>
                <w:szCs w:val="18"/>
              </w:rPr>
              <w:t>E份额：固定管理费年化0.2%</w:t>
            </w:r>
          </w:p>
          <w:p w14:paraId="0F96EA93">
            <w:pPr>
              <w:spacing w:line="200" w:lineRule="exact"/>
            </w:pPr>
            <w:r>
              <w:rPr>
                <w:rFonts w:ascii="方正黑体_GBK" w:hAnsi="方正黑体_GBK" w:eastAsia="方正黑体_GBK" w:cs="宋体"/>
                <w:b/>
                <w:sz w:val="18"/>
                <w:szCs w:val="18"/>
              </w:rPr>
              <w:t>F份额：固定管理费年化0.2%</w:t>
            </w:r>
          </w:p>
          <w:p w14:paraId="784788B2">
            <w:pPr>
              <w:spacing w:line="200" w:lineRule="exact"/>
            </w:pPr>
            <w:r>
              <w:rPr>
                <w:rFonts w:ascii="方正黑体_GBK" w:hAnsi="方正黑体_GBK" w:eastAsia="方正黑体_GBK" w:cs="宋体"/>
                <w:b/>
                <w:sz w:val="18"/>
                <w:szCs w:val="18"/>
              </w:rPr>
              <w:t>G份额：固定管理费年化0.2%</w:t>
            </w:r>
          </w:p>
          <w:p w14:paraId="2B99176D">
            <w:pPr>
              <w:spacing w:line="200" w:lineRule="exact"/>
            </w:pPr>
            <w:r>
              <w:rPr>
                <w:rFonts w:ascii="方正黑体_GBK" w:hAnsi="方正黑体_GBK" w:eastAsia="方正黑体_GBK" w:cs="宋体"/>
                <w:b/>
                <w:sz w:val="18"/>
                <w:szCs w:val="18"/>
              </w:rPr>
              <w:t>I份额：固定管理费年化0.1%</w:t>
            </w:r>
          </w:p>
          <w:p w14:paraId="17268A28">
            <w:pPr>
              <w:spacing w:line="200" w:lineRule="exact"/>
            </w:pPr>
            <w:r>
              <w:rPr>
                <w:rFonts w:ascii="方正黑体_GBK" w:hAnsi="方正黑体_GBK" w:eastAsia="方正黑体_GBK" w:cs="宋体"/>
                <w:b/>
                <w:sz w:val="18"/>
                <w:szCs w:val="18"/>
              </w:rPr>
              <w:t>J份额：固定管理费年化0.2%</w:t>
            </w:r>
          </w:p>
          <w:p w14:paraId="770BF775">
            <w:pPr>
              <w:spacing w:line="200" w:lineRule="exact"/>
            </w:pPr>
            <w:r>
              <w:rPr>
                <w:rFonts w:ascii="方正黑体_GBK" w:hAnsi="方正黑体_GBK" w:eastAsia="方正黑体_GBK" w:cs="宋体"/>
                <w:b/>
                <w:sz w:val="18"/>
                <w:szCs w:val="18"/>
              </w:rPr>
              <w:t>K份额：固定管理费年化0.2%</w:t>
            </w:r>
          </w:p>
          <w:p w14:paraId="71EEB367">
            <w:pPr>
              <w:spacing w:line="200" w:lineRule="exact"/>
            </w:pPr>
            <w:r>
              <w:rPr>
                <w:rFonts w:ascii="方正黑体_GBK" w:hAnsi="方正黑体_GBK" w:eastAsia="方正黑体_GBK" w:cs="宋体"/>
                <w:b/>
                <w:sz w:val="18"/>
                <w:szCs w:val="18"/>
              </w:rPr>
              <w:t>M份额：固定管理费年化0.3%</w:t>
            </w:r>
          </w:p>
          <w:p w14:paraId="3A038E14">
            <w:pPr>
              <w:spacing w:line="200" w:lineRule="exact"/>
            </w:pPr>
            <w:r>
              <w:rPr>
                <w:rFonts w:ascii="方正黑体_GBK" w:hAnsi="方正黑体_GBK" w:eastAsia="方正黑体_GBK" w:cs="宋体"/>
                <w:b/>
                <w:sz w:val="18"/>
                <w:szCs w:val="18"/>
              </w:rPr>
              <w:t>N份额：固定管理费年化0.15%</w:t>
            </w:r>
          </w:p>
          <w:p w14:paraId="4D683FBB">
            <w:pPr>
              <w:spacing w:line="200" w:lineRule="exact"/>
            </w:pPr>
            <w:r>
              <w:rPr>
                <w:rFonts w:ascii="方正黑体_GBK" w:hAnsi="方正黑体_GBK" w:eastAsia="方正黑体_GBK" w:cs="宋体"/>
                <w:b/>
                <w:sz w:val="18"/>
                <w:szCs w:val="18"/>
              </w:rPr>
              <w:t>O份额：固定管理费年化0.15%</w:t>
            </w:r>
          </w:p>
          <w:p w14:paraId="7F1F8EA0">
            <w:pPr>
              <w:spacing w:line="200" w:lineRule="exact"/>
            </w:pPr>
            <w:r>
              <w:rPr>
                <w:rFonts w:ascii="方正黑体_GBK" w:hAnsi="方正黑体_GBK" w:eastAsia="方正黑体_GBK" w:cs="宋体"/>
                <w:b/>
                <w:sz w:val="18"/>
                <w:szCs w:val="18"/>
              </w:rPr>
              <w:t>P份额：固定管理费年化0.15%</w:t>
            </w:r>
          </w:p>
          <w:p w14:paraId="06306D5F">
            <w:pPr>
              <w:spacing w:line="200" w:lineRule="exact"/>
            </w:pPr>
            <w:r>
              <w:rPr>
                <w:rFonts w:ascii="方正黑体_GBK" w:hAnsi="方正黑体_GBK" w:eastAsia="方正黑体_GBK" w:cs="宋体"/>
                <w:b/>
                <w:sz w:val="18"/>
                <w:szCs w:val="18"/>
              </w:rPr>
              <w:t>A2份额：固定管理费年化0.3%</w:t>
            </w:r>
          </w:p>
          <w:p w14:paraId="24950CDC">
            <w:pPr>
              <w:spacing w:line="200" w:lineRule="exact"/>
            </w:pPr>
            <w:r>
              <w:rPr>
                <w:rFonts w:ascii="方正黑体_GBK" w:hAnsi="方正黑体_GBK" w:eastAsia="方正黑体_GBK" w:cs="宋体"/>
                <w:b/>
                <w:sz w:val="18"/>
                <w:szCs w:val="18"/>
              </w:rPr>
              <w:t>B2份额：固定管理费年化0.3%</w:t>
            </w:r>
          </w:p>
          <w:p w14:paraId="6E773F80">
            <w:pPr>
              <w:spacing w:line="200" w:lineRule="exact"/>
            </w:pPr>
            <w:r>
              <w:rPr>
                <w:rFonts w:ascii="方正黑体_GBK" w:hAnsi="方正黑体_GBK" w:eastAsia="方正黑体_GBK" w:cs="宋体"/>
                <w:b/>
                <w:sz w:val="18"/>
                <w:szCs w:val="18"/>
              </w:rPr>
              <w:t>C2份额：固定管理费年化0.25%</w:t>
            </w:r>
          </w:p>
          <w:p w14:paraId="129F1FF5">
            <w:pPr>
              <w:spacing w:line="200" w:lineRule="exact"/>
            </w:pPr>
            <w:r>
              <w:rPr>
                <w:rFonts w:ascii="方正黑体_GBK" w:hAnsi="方正黑体_GBK" w:eastAsia="方正黑体_GBK" w:cs="宋体"/>
                <w:b/>
                <w:sz w:val="18"/>
                <w:szCs w:val="18"/>
              </w:rPr>
              <w:t>D2份额：固定管理费年化0.2%</w:t>
            </w:r>
          </w:p>
          <w:p w14:paraId="1E56273A">
            <w:pPr>
              <w:spacing w:line="200" w:lineRule="exact"/>
            </w:pPr>
            <w:r>
              <w:rPr>
                <w:rFonts w:ascii="方正黑体_GBK" w:hAnsi="方正黑体_GBK" w:eastAsia="方正黑体_GBK" w:cs="宋体"/>
                <w:b/>
                <w:sz w:val="18"/>
                <w:szCs w:val="18"/>
              </w:rPr>
              <w:t>E2份额：固定管理费年化0.2%</w:t>
            </w:r>
          </w:p>
          <w:p w14:paraId="5E6701A9">
            <w:pPr>
              <w:spacing w:line="200" w:lineRule="exact"/>
            </w:pPr>
            <w:r>
              <w:rPr>
                <w:rFonts w:ascii="方正黑体_GBK" w:hAnsi="方正黑体_GBK" w:eastAsia="方正黑体_GBK" w:cs="宋体"/>
                <w:b/>
                <w:sz w:val="18"/>
                <w:szCs w:val="18"/>
              </w:rPr>
              <w:t>A3份额：固定管理费年化0.3%</w:t>
            </w:r>
          </w:p>
          <w:p w14:paraId="352EE31C">
            <w:pPr>
              <w:spacing w:line="200" w:lineRule="exact"/>
            </w:pPr>
            <w:r>
              <w:rPr>
                <w:rFonts w:ascii="方正黑体_GBK" w:hAnsi="方正黑体_GBK" w:eastAsia="方正黑体_GBK" w:cs="宋体"/>
                <w:b/>
                <w:sz w:val="18"/>
                <w:szCs w:val="18"/>
              </w:rPr>
              <w:t>B3份额：固定管理费年化0.3%</w:t>
            </w:r>
          </w:p>
          <w:p w14:paraId="5E5FAEF3">
            <w:pPr>
              <w:spacing w:line="200" w:lineRule="exact"/>
            </w:pPr>
            <w:r>
              <w:rPr>
                <w:rFonts w:ascii="方正黑体_GBK" w:hAnsi="方正黑体_GBK" w:eastAsia="方正黑体_GBK" w:cs="宋体"/>
                <w:b/>
                <w:sz w:val="18"/>
                <w:szCs w:val="18"/>
              </w:rPr>
              <w:t>C3份额：固定管理费年化0.25%</w:t>
            </w:r>
          </w:p>
          <w:p w14:paraId="65FCC186">
            <w:pPr>
              <w:spacing w:line="200" w:lineRule="exact"/>
            </w:pPr>
            <w:r>
              <w:rPr>
                <w:rFonts w:ascii="方正黑体_GBK" w:hAnsi="方正黑体_GBK" w:eastAsia="方正黑体_GBK" w:cs="宋体"/>
                <w:b/>
                <w:sz w:val="18"/>
                <w:szCs w:val="18"/>
              </w:rPr>
              <w:t>D3份额：固定管理费年化0.2%</w:t>
            </w:r>
          </w:p>
          <w:p w14:paraId="02D32B20">
            <w:pPr>
              <w:spacing w:line="200" w:lineRule="exact"/>
            </w:pPr>
            <w:r>
              <w:rPr>
                <w:rFonts w:ascii="方正黑体_GBK" w:hAnsi="方正黑体_GBK" w:eastAsia="方正黑体_GBK" w:cs="宋体"/>
                <w:b/>
                <w:sz w:val="18"/>
                <w:szCs w:val="18"/>
              </w:rPr>
              <w:t>E3份额：固定管理费年化0.2%</w:t>
            </w:r>
          </w:p>
          <w:p w14:paraId="4CCB32DB">
            <w:pPr>
              <w:spacing w:line="200" w:lineRule="exact"/>
            </w:pPr>
            <w:r>
              <w:rPr>
                <w:rFonts w:ascii="方正黑体_GBK" w:hAnsi="方正黑体_GBK" w:eastAsia="方正黑体_GBK" w:cs="宋体"/>
                <w:b/>
                <w:sz w:val="18"/>
                <w:szCs w:val="18"/>
              </w:rPr>
              <w:t>A4份额：固定管理费年化0.3%</w:t>
            </w:r>
          </w:p>
          <w:p w14:paraId="5D948C9C">
            <w:pPr>
              <w:spacing w:line="200" w:lineRule="exact"/>
            </w:pPr>
            <w:r>
              <w:rPr>
                <w:rFonts w:ascii="方正黑体_GBK" w:hAnsi="方正黑体_GBK" w:eastAsia="方正黑体_GBK" w:cs="宋体"/>
                <w:b/>
                <w:sz w:val="18"/>
                <w:szCs w:val="18"/>
              </w:rPr>
              <w:t>B4份额：固定管理费年化0.3%</w:t>
            </w:r>
          </w:p>
          <w:p w14:paraId="193D6346">
            <w:pPr>
              <w:spacing w:line="200" w:lineRule="exact"/>
            </w:pPr>
            <w:r>
              <w:rPr>
                <w:rFonts w:ascii="方正黑体_GBK" w:hAnsi="方正黑体_GBK" w:eastAsia="方正黑体_GBK" w:cs="宋体"/>
                <w:b/>
                <w:sz w:val="18"/>
                <w:szCs w:val="18"/>
              </w:rPr>
              <w:t>C4份额：固定管理费年化0.25%</w:t>
            </w:r>
          </w:p>
          <w:p w14:paraId="4473D21F">
            <w:pPr>
              <w:spacing w:line="200" w:lineRule="exact"/>
            </w:pPr>
            <w:r>
              <w:rPr>
                <w:rFonts w:ascii="方正黑体_GBK" w:hAnsi="方正黑体_GBK" w:eastAsia="方正黑体_GBK" w:cs="宋体"/>
                <w:b/>
                <w:sz w:val="18"/>
                <w:szCs w:val="18"/>
              </w:rPr>
              <w:t>D4份额：固定管理费年化0.2%</w:t>
            </w:r>
          </w:p>
          <w:p w14:paraId="7F064268">
            <w:pPr>
              <w:spacing w:line="200" w:lineRule="exact"/>
            </w:pPr>
            <w:r>
              <w:rPr>
                <w:rFonts w:ascii="方正黑体_GBK" w:hAnsi="方正黑体_GBK" w:eastAsia="方正黑体_GBK" w:cs="宋体"/>
                <w:b/>
                <w:sz w:val="18"/>
                <w:szCs w:val="18"/>
              </w:rPr>
              <w:t>E4份额：固定管理费年化0.2%</w:t>
            </w:r>
          </w:p>
          <w:p w14:paraId="4CB7FD3D">
            <w:pPr>
              <w:spacing w:line="200" w:lineRule="exact"/>
            </w:pPr>
            <w:r>
              <w:rPr>
                <w:rFonts w:ascii="方正黑体_GBK" w:hAnsi="方正黑体_GBK" w:eastAsia="方正黑体_GBK" w:cs="宋体"/>
                <w:b/>
                <w:sz w:val="18"/>
                <w:szCs w:val="18"/>
              </w:rPr>
              <w:t>F2份额：固定管理费年化0.2%</w:t>
            </w:r>
          </w:p>
          <w:p w14:paraId="596925AE">
            <w:pPr>
              <w:spacing w:line="200" w:lineRule="exact"/>
            </w:pPr>
            <w:r>
              <w:rPr>
                <w:rFonts w:ascii="方正黑体_GBK" w:hAnsi="方正黑体_GBK" w:eastAsia="方正黑体_GBK" w:cs="宋体"/>
                <w:b/>
                <w:sz w:val="18"/>
                <w:szCs w:val="18"/>
              </w:rPr>
              <w:t>F3份额：固定管理费年化0.2%</w:t>
            </w:r>
          </w:p>
          <w:p w14:paraId="73D5C19A">
            <w:pPr>
              <w:spacing w:line="200" w:lineRule="exact"/>
            </w:pPr>
            <w:r>
              <w:rPr>
                <w:rFonts w:ascii="方正黑体_GBK" w:hAnsi="方正黑体_GBK" w:eastAsia="方正黑体_GBK" w:cs="宋体"/>
                <w:b/>
                <w:sz w:val="18"/>
                <w:szCs w:val="18"/>
              </w:rPr>
              <w:t>G2份额：固定管理费年化0.2%</w:t>
            </w:r>
          </w:p>
          <w:p w14:paraId="0A9D0A06">
            <w:pPr>
              <w:spacing w:line="200" w:lineRule="exact"/>
            </w:pPr>
            <w:r>
              <w:rPr>
                <w:rFonts w:ascii="方正黑体_GBK" w:hAnsi="方正黑体_GBK" w:eastAsia="方正黑体_GBK" w:cs="宋体"/>
                <w:b/>
                <w:sz w:val="18"/>
                <w:szCs w:val="18"/>
              </w:rPr>
              <w:t>G3份额：固定管理费年化0.2%</w:t>
            </w:r>
          </w:p>
          <w:p w14:paraId="49DD839B">
            <w:pPr>
              <w:spacing w:line="200" w:lineRule="exact"/>
            </w:pPr>
            <w:r>
              <w:rPr>
                <w:rFonts w:ascii="方正黑体_GBK" w:hAnsi="方正黑体_GBK" w:eastAsia="方正黑体_GBK" w:cs="宋体"/>
                <w:b/>
                <w:sz w:val="18"/>
                <w:szCs w:val="18"/>
              </w:rPr>
              <w:t>F4份额：固定管理费年化0.2%</w:t>
            </w:r>
          </w:p>
          <w:p w14:paraId="1D3AA2DF">
            <w:pPr>
              <w:spacing w:line="200" w:lineRule="exact"/>
            </w:pPr>
            <w:r>
              <w:rPr>
                <w:rFonts w:ascii="方正黑体_GBK" w:hAnsi="方正黑体_GBK" w:eastAsia="方正黑体_GBK" w:cs="宋体"/>
                <w:b/>
                <w:sz w:val="18"/>
                <w:szCs w:val="18"/>
              </w:rPr>
              <w:t>G4份额：固定管理费年化0.2%</w:t>
            </w:r>
          </w:p>
          <w:p w14:paraId="1528955A">
            <w:pPr>
              <w:spacing w:line="200" w:lineRule="exact"/>
            </w:pPr>
            <w:r>
              <w:rPr>
                <w:rFonts w:ascii="方正黑体_GBK" w:hAnsi="方正黑体_GBK" w:eastAsia="方正黑体_GBK" w:cs="宋体"/>
                <w:b/>
                <w:sz w:val="18"/>
                <w:szCs w:val="18"/>
              </w:rPr>
              <w:t>H2份额：固定管理费年化0.2%</w:t>
            </w:r>
          </w:p>
          <w:p w14:paraId="7B887867">
            <w:pPr>
              <w:spacing w:line="200" w:lineRule="exact"/>
            </w:pPr>
            <w:r>
              <w:rPr>
                <w:rFonts w:ascii="方正黑体_GBK" w:hAnsi="方正黑体_GBK" w:eastAsia="方正黑体_GBK" w:cs="宋体"/>
                <w:b/>
                <w:sz w:val="18"/>
                <w:szCs w:val="18"/>
              </w:rPr>
              <w:t>J2份额：固定管理费年化0.2%</w:t>
            </w:r>
          </w:p>
          <w:p w14:paraId="31FB4194">
            <w:pPr>
              <w:spacing w:line="200" w:lineRule="exact"/>
            </w:pPr>
            <w:r>
              <w:rPr>
                <w:rFonts w:ascii="方正黑体_GBK" w:hAnsi="方正黑体_GBK" w:eastAsia="方正黑体_GBK" w:cs="宋体"/>
                <w:b/>
                <w:sz w:val="18"/>
                <w:szCs w:val="18"/>
              </w:rPr>
              <w:t>K2份额：固定管理费年化0.2%</w:t>
            </w:r>
          </w:p>
          <w:p w14:paraId="7B3FCCE5">
            <w:pPr>
              <w:spacing w:line="200" w:lineRule="exact"/>
            </w:pPr>
            <w:r>
              <w:rPr>
                <w:rFonts w:ascii="方正黑体_GBK" w:hAnsi="方正黑体_GBK" w:eastAsia="方正黑体_GBK" w:cs="宋体"/>
                <w:b/>
                <w:sz w:val="18"/>
                <w:szCs w:val="18"/>
              </w:rPr>
              <w:t>J3份额：固定管理费年化0.2%</w:t>
            </w:r>
          </w:p>
          <w:p w14:paraId="4CBFD54E">
            <w:pPr>
              <w:spacing w:line="200" w:lineRule="exact"/>
            </w:pPr>
            <w:r>
              <w:rPr>
                <w:rFonts w:ascii="方正黑体_GBK" w:hAnsi="方正黑体_GBK" w:eastAsia="方正黑体_GBK" w:cs="宋体"/>
                <w:b/>
                <w:sz w:val="18"/>
                <w:szCs w:val="18"/>
              </w:rPr>
              <w:t>K3份额：固定管理费年化0.2%</w:t>
            </w:r>
          </w:p>
          <w:p w14:paraId="31E66690">
            <w:pPr>
              <w:spacing w:line="200" w:lineRule="exact"/>
            </w:pPr>
            <w:r>
              <w:rPr>
                <w:rFonts w:ascii="方正黑体_GBK" w:hAnsi="方正黑体_GBK" w:eastAsia="方正黑体_GBK" w:cs="宋体"/>
                <w:b/>
                <w:sz w:val="18"/>
                <w:szCs w:val="18"/>
              </w:rPr>
              <w:t>J4份额：固定管理费年化0.2%</w:t>
            </w:r>
          </w:p>
          <w:p w14:paraId="457F723D">
            <w:pPr>
              <w:spacing w:line="200" w:lineRule="exact"/>
            </w:pPr>
            <w:r>
              <w:rPr>
                <w:rFonts w:ascii="方正黑体_GBK" w:hAnsi="方正黑体_GBK" w:eastAsia="方正黑体_GBK" w:cs="宋体"/>
                <w:b/>
                <w:sz w:val="18"/>
                <w:szCs w:val="18"/>
              </w:rPr>
              <w:t>K4份额：固定管理费年化0.2%</w:t>
            </w:r>
          </w:p>
          <w:p w14:paraId="3D8295C0">
            <w:pPr>
              <w:spacing w:line="200" w:lineRule="exact"/>
            </w:pPr>
            <w:r>
              <w:rPr>
                <w:rFonts w:ascii="方正黑体_GBK" w:hAnsi="方正黑体_GBK" w:eastAsia="方正黑体_GBK" w:cs="宋体"/>
                <w:b/>
                <w:sz w:val="18"/>
                <w:szCs w:val="18"/>
              </w:rPr>
              <w:t>L4份额：固定管理费年化0.2%</w:t>
            </w:r>
          </w:p>
          <w:p w14:paraId="3016AEE2">
            <w:pPr>
              <w:spacing w:line="200" w:lineRule="exact"/>
            </w:pPr>
            <w:r>
              <w:rPr>
                <w:rFonts w:ascii="方正黑体_GBK" w:hAnsi="方正黑体_GBK" w:eastAsia="方正黑体_GBK" w:cs="宋体"/>
                <w:b/>
                <w:sz w:val="18"/>
                <w:szCs w:val="18"/>
              </w:rPr>
              <w:t>M2份额：固定管理费年化0.3%</w:t>
            </w:r>
          </w:p>
          <w:p w14:paraId="61617B8C">
            <w:pPr>
              <w:spacing w:line="200" w:lineRule="exact"/>
            </w:pPr>
            <w:r>
              <w:rPr>
                <w:rFonts w:ascii="方正黑体_GBK" w:hAnsi="方正黑体_GBK" w:eastAsia="方正黑体_GBK" w:cs="宋体"/>
                <w:b/>
                <w:sz w:val="18"/>
                <w:szCs w:val="18"/>
              </w:rPr>
              <w:t>M3份额：固定管理费年化0.3%</w:t>
            </w:r>
          </w:p>
          <w:p w14:paraId="6CD9CC84">
            <w:pPr>
              <w:spacing w:line="200" w:lineRule="exact"/>
            </w:pPr>
            <w:r>
              <w:rPr>
                <w:rFonts w:ascii="方正黑体_GBK" w:hAnsi="方正黑体_GBK" w:eastAsia="方正黑体_GBK" w:cs="宋体"/>
                <w:b/>
                <w:sz w:val="18"/>
                <w:szCs w:val="18"/>
              </w:rPr>
              <w:t>M4份额：固定管理费年化0.3%</w:t>
            </w:r>
          </w:p>
          <w:p w14:paraId="116EE20F">
            <w:pPr>
              <w:spacing w:line="200" w:lineRule="exact"/>
            </w:pPr>
            <w:r>
              <w:rPr>
                <w:rFonts w:ascii="方正黑体_GBK" w:hAnsi="方正黑体_GBK" w:eastAsia="方正黑体_GBK" w:cs="宋体"/>
                <w:b/>
                <w:sz w:val="18"/>
                <w:szCs w:val="18"/>
              </w:rPr>
              <w:t>O2份额：固定管理费年化0.15%</w:t>
            </w:r>
          </w:p>
          <w:p w14:paraId="5597FAAE">
            <w:pPr>
              <w:spacing w:line="200" w:lineRule="exact"/>
            </w:pPr>
            <w:r>
              <w:rPr>
                <w:rFonts w:ascii="方正黑体_GBK" w:hAnsi="方正黑体_GBK" w:eastAsia="方正黑体_GBK" w:cs="宋体"/>
                <w:b/>
                <w:sz w:val="18"/>
                <w:szCs w:val="18"/>
              </w:rPr>
              <w:t>P2份额：固定管理费年化0.15%</w:t>
            </w:r>
          </w:p>
          <w:p w14:paraId="0CCC10C5">
            <w:pPr>
              <w:spacing w:line="200" w:lineRule="exact"/>
            </w:pPr>
            <w:r>
              <w:rPr>
                <w:rFonts w:ascii="方正黑体_GBK" w:hAnsi="方正黑体_GBK" w:eastAsia="方正黑体_GBK" w:cs="宋体"/>
                <w:b/>
                <w:sz w:val="18"/>
                <w:szCs w:val="18"/>
              </w:rPr>
              <w:t>O3份额：固定管理费年化0.15%</w:t>
            </w:r>
          </w:p>
          <w:p w14:paraId="6EFB7F4B">
            <w:pPr>
              <w:spacing w:line="200" w:lineRule="exact"/>
            </w:pPr>
            <w:r>
              <w:rPr>
                <w:rFonts w:ascii="方正黑体_GBK" w:hAnsi="方正黑体_GBK" w:eastAsia="方正黑体_GBK" w:cs="宋体"/>
                <w:b/>
                <w:sz w:val="18"/>
                <w:szCs w:val="18"/>
              </w:rPr>
              <w:t>P3份额：固定管理费年化0.15%</w:t>
            </w:r>
          </w:p>
          <w:p w14:paraId="210895B1">
            <w:pPr>
              <w:spacing w:line="200" w:lineRule="exact"/>
            </w:pPr>
            <w:r>
              <w:rPr>
                <w:rFonts w:ascii="方正黑体_GBK" w:hAnsi="方正黑体_GBK" w:eastAsia="方正黑体_GBK" w:cs="宋体"/>
                <w:b/>
                <w:sz w:val="18"/>
                <w:szCs w:val="18"/>
              </w:rPr>
              <w:t>O4份额：固定管理费年化0.15%</w:t>
            </w:r>
          </w:p>
          <w:p w14:paraId="5318C534">
            <w:pPr>
              <w:spacing w:line="200" w:lineRule="exact"/>
            </w:pPr>
            <w:r>
              <w:rPr>
                <w:rFonts w:ascii="方正黑体_GBK" w:hAnsi="方正黑体_GBK" w:eastAsia="方正黑体_GBK" w:cs="宋体"/>
                <w:b/>
                <w:sz w:val="18"/>
                <w:szCs w:val="18"/>
              </w:rPr>
              <w:t>P4份额：固定管理费年化0.15%</w:t>
            </w:r>
          </w:p>
          <w:p w14:paraId="25F59C34">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05F1CE76">
            <w:pPr>
              <w:spacing w:line="200" w:lineRule="exact"/>
            </w:pPr>
            <w:r>
              <w:rPr>
                <w:rFonts w:ascii="方正黑体_GBK" w:hAnsi="方正黑体_GBK" w:eastAsia="方正黑体_GBK" w:cs="宋体"/>
                <w:b/>
                <w:sz w:val="18"/>
                <w:szCs w:val="18"/>
              </w:rPr>
              <w:t>托管费：</w:t>
            </w:r>
          </w:p>
          <w:p w14:paraId="2E884541">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27F02D9F">
            <w:pPr>
              <w:spacing w:line="200" w:lineRule="exact"/>
            </w:pPr>
            <w:r>
              <w:rPr>
                <w:rFonts w:ascii="方正黑体_GBK" w:hAnsi="方正黑体_GBK" w:eastAsia="方正黑体_GBK" w:cs="宋体"/>
                <w:b/>
                <w:sz w:val="18"/>
                <w:szCs w:val="18"/>
              </w:rPr>
              <w:t>每日计提的托管费=前一日理财产品资产净值×年化托管费率÷365</w:t>
            </w:r>
          </w:p>
          <w:p w14:paraId="469FC6A4">
            <w:pPr>
              <w:spacing w:line="200" w:lineRule="exact"/>
            </w:pPr>
            <w:r>
              <w:rPr>
                <w:rFonts w:ascii="方正黑体_GBK" w:hAnsi="方正黑体_GBK" w:eastAsia="方正黑体_GBK" w:cs="宋体"/>
                <w:b/>
                <w:sz w:val="18"/>
                <w:szCs w:val="18"/>
              </w:rPr>
              <w:t>业绩报酬：</w:t>
            </w:r>
          </w:p>
          <w:p w14:paraId="07F65002">
            <w:pPr>
              <w:spacing w:line="200" w:lineRule="exact"/>
            </w:pPr>
            <w:r>
              <w:rPr>
                <w:rFonts w:ascii="方正黑体_GBK" w:hAnsi="方正黑体_GBK" w:eastAsia="方正黑体_GBK" w:cs="宋体"/>
                <w:b/>
                <w:sz w:val="18"/>
                <w:szCs w:val="18"/>
              </w:rPr>
              <w:t>A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35BF0450">
            <w:pPr>
              <w:spacing w:line="200" w:lineRule="exact"/>
            </w:pPr>
            <w:r>
              <w:rPr>
                <w:rFonts w:ascii="方正黑体_GBK" w:hAnsi="方正黑体_GBK" w:eastAsia="方正黑体_GBK" w:cs="宋体"/>
                <w:b/>
                <w:sz w:val="18"/>
                <w:szCs w:val="18"/>
              </w:rPr>
              <w:t>B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54C334C0">
            <w:pPr>
              <w:spacing w:line="200" w:lineRule="exact"/>
            </w:pPr>
            <w:r>
              <w:rPr>
                <w:rFonts w:ascii="方正黑体_GBK" w:hAnsi="方正黑体_GBK" w:eastAsia="方正黑体_GBK" w:cs="宋体"/>
                <w:b/>
                <w:sz w:val="18"/>
                <w:szCs w:val="18"/>
              </w:rPr>
              <w:t>C份额：申购/赎回确认日和产品实际到期时，当期产品投资的实际资产组合收益（扣除销售费、固定管理费、托管费等相关费用）超过3.1%（年化，即产品该份额对应的业绩报酬计提基准）时，超过部分管理人将按60%收取业绩报酬。</w:t>
            </w:r>
          </w:p>
          <w:p w14:paraId="4E5D729D">
            <w:pPr>
              <w:spacing w:line="200" w:lineRule="exact"/>
            </w:pPr>
            <w:r>
              <w:rPr>
                <w:rFonts w:ascii="方正黑体_GBK" w:hAnsi="方正黑体_GBK" w:eastAsia="方正黑体_GBK" w:cs="宋体"/>
                <w:b/>
                <w:sz w:val="18"/>
                <w:szCs w:val="18"/>
              </w:rPr>
              <w:t>D份额：申购/赎回确认日和产品实际到期时，当期产品投资的实际资产组合收益（扣除销售费、固定管理费、托管费等相关费用）超过3.15%（年化，即产品该份额对应的业绩报酬计提基准）时，超过部分管理人将按60%收取业绩报酬。</w:t>
            </w:r>
          </w:p>
          <w:p w14:paraId="5473A01E">
            <w:pPr>
              <w:spacing w:line="200" w:lineRule="exact"/>
            </w:pPr>
            <w:r>
              <w:rPr>
                <w:rFonts w:ascii="方正黑体_GBK" w:hAnsi="方正黑体_GBK" w:eastAsia="方正黑体_GBK" w:cs="宋体"/>
                <w:b/>
                <w:sz w:val="18"/>
                <w:szCs w:val="18"/>
              </w:rPr>
              <w:t>E份额：申购/赎回确认日和产品实际到期时，当期产品投资的实际资产组合收益（扣除销售费、固定管理费、托管费等相关费用）超过3.25%（年化，即产品该份额对应的业绩报酬计提基准）时，超过部分管理人将按60%收取业绩报酬。</w:t>
            </w:r>
          </w:p>
          <w:p w14:paraId="3CF4F3A2">
            <w:pPr>
              <w:spacing w:line="200" w:lineRule="exact"/>
            </w:pPr>
            <w:r>
              <w:rPr>
                <w:rFonts w:ascii="方正黑体_GBK" w:hAnsi="方正黑体_GBK" w:eastAsia="方正黑体_GBK" w:cs="宋体"/>
                <w:b/>
                <w:sz w:val="18"/>
                <w:szCs w:val="18"/>
              </w:rPr>
              <w:t>F份额：申购/赎回确认日和产品实际到期时，当期产品投资的实际资产组合收益（扣除销售费、固定管理费、托管费等相关费用）超过3.1%（年化，即产品该份额对应的业绩报酬计提基准）时，超过部分管理人将按60%收取业绩报酬。</w:t>
            </w:r>
          </w:p>
          <w:p w14:paraId="3660C98B">
            <w:pPr>
              <w:spacing w:line="200" w:lineRule="exact"/>
            </w:pPr>
            <w:r>
              <w:rPr>
                <w:rFonts w:ascii="方正黑体_GBK" w:hAnsi="方正黑体_GBK" w:eastAsia="方正黑体_GBK" w:cs="宋体"/>
                <w:b/>
                <w:sz w:val="18"/>
                <w:szCs w:val="18"/>
              </w:rPr>
              <w:t>G份额：申购/赎回确认日和产品实际到期时，当期产品投资的实际资产组合收益（扣除销售费、固定管理费、托管费等相关费用）超过3.2%（年化，即产品该份额对应的业绩报酬计提基准）时，超过部分管理人将按60%收取业绩报酬。</w:t>
            </w:r>
          </w:p>
          <w:p w14:paraId="7F701F7F">
            <w:pPr>
              <w:spacing w:line="200" w:lineRule="exact"/>
            </w:pPr>
            <w:r>
              <w:rPr>
                <w:rFonts w:ascii="方正黑体_GBK" w:hAnsi="方正黑体_GBK" w:eastAsia="方正黑体_GBK" w:cs="宋体"/>
                <w:b/>
                <w:sz w:val="18"/>
                <w:szCs w:val="18"/>
              </w:rPr>
              <w:t>I份额：申购/赎回确认日和产品实际到期时，当期产品投资的实际资产组合收益（扣除销售费、固定管理费、托管费等相关费用）超过3.35%（年化，即产品该份额对应的业绩报酬计提基准）时，超过部分管理人将按60%收取业绩报酬。</w:t>
            </w:r>
          </w:p>
          <w:p w14:paraId="4029F1D4">
            <w:pPr>
              <w:spacing w:line="200" w:lineRule="exact"/>
            </w:pPr>
            <w:r>
              <w:rPr>
                <w:rFonts w:ascii="方正黑体_GBK" w:hAnsi="方正黑体_GBK" w:eastAsia="方正黑体_GBK" w:cs="宋体"/>
                <w:b/>
                <w:sz w:val="18"/>
                <w:szCs w:val="18"/>
              </w:rPr>
              <w:t>J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37349588">
            <w:pPr>
              <w:spacing w:line="200" w:lineRule="exact"/>
            </w:pPr>
            <w:r>
              <w:rPr>
                <w:rFonts w:ascii="方正黑体_GBK" w:hAnsi="方正黑体_GBK" w:eastAsia="方正黑体_GBK" w:cs="宋体"/>
                <w:b/>
                <w:sz w:val="18"/>
                <w:szCs w:val="18"/>
              </w:rPr>
              <w:t>K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5666C6BA">
            <w:pPr>
              <w:spacing w:line="200" w:lineRule="exact"/>
            </w:pPr>
            <w:r>
              <w:rPr>
                <w:rFonts w:ascii="方正黑体_GBK" w:hAnsi="方正黑体_GBK" w:eastAsia="方正黑体_GBK" w:cs="宋体"/>
                <w:b/>
                <w:sz w:val="18"/>
                <w:szCs w:val="18"/>
              </w:rPr>
              <w:t>M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09DECF5E">
            <w:pPr>
              <w:spacing w:line="200" w:lineRule="exact"/>
            </w:pPr>
            <w:r>
              <w:rPr>
                <w:rFonts w:ascii="方正黑体_GBK" w:hAnsi="方正黑体_GBK" w:eastAsia="方正黑体_GBK" w:cs="宋体"/>
                <w:b/>
                <w:sz w:val="18"/>
                <w:szCs w:val="18"/>
              </w:rPr>
              <w:t>N份额：申购/赎回确认日和产品实际到期时，当期产品投资的实际资产组合收益（扣除销售费、固定管理费、托管费等相关费用）超过3.3%（年化，即产品该份额对应的业绩报酬计提基准）时，超过部分管理人将按60%收取业绩报酬。</w:t>
            </w:r>
          </w:p>
          <w:p w14:paraId="6FD49C14">
            <w:pPr>
              <w:spacing w:line="200" w:lineRule="exact"/>
            </w:pPr>
            <w:r>
              <w:rPr>
                <w:rFonts w:ascii="方正黑体_GBK" w:hAnsi="方正黑体_GBK" w:eastAsia="方正黑体_GBK" w:cs="宋体"/>
                <w:b/>
                <w:sz w:val="18"/>
                <w:szCs w:val="18"/>
              </w:rPr>
              <w:t>O份额：申购/赎回确认日和产品实际到期时，当期产品投资的实际资产组合收益（扣除销售费、固定管理费、托管费等相关费用）超过3.15%（年化，即产品该份额对应的业绩报酬计提基准）时，超过部分管理人将按60%收取业绩报酬。</w:t>
            </w:r>
          </w:p>
          <w:p w14:paraId="465B181B">
            <w:pPr>
              <w:spacing w:line="200" w:lineRule="exact"/>
            </w:pPr>
            <w:r>
              <w:rPr>
                <w:rFonts w:ascii="方正黑体_GBK" w:hAnsi="方正黑体_GBK" w:eastAsia="方正黑体_GBK" w:cs="宋体"/>
                <w:b/>
                <w:sz w:val="18"/>
                <w:szCs w:val="18"/>
              </w:rPr>
              <w:t>P份额：申购/赎回确认日和产品实际到期时，当期产品投资的实际资产组合收益（扣除销售费、固定管理费、托管费等相关费用）超过3.2%（年化，即产品该份额对应的业绩报酬计提基准）时，超过部分管理人将按60%收取业绩报酬。</w:t>
            </w:r>
          </w:p>
          <w:p w14:paraId="119DD0B5">
            <w:pPr>
              <w:spacing w:line="200" w:lineRule="exact"/>
            </w:pPr>
            <w:r>
              <w:rPr>
                <w:rFonts w:ascii="方正黑体_GBK" w:hAnsi="方正黑体_GBK" w:eastAsia="方正黑体_GBK" w:cs="宋体"/>
                <w:b/>
                <w:sz w:val="18"/>
                <w:szCs w:val="18"/>
              </w:rPr>
              <w:t>A2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31B71F8E">
            <w:pPr>
              <w:spacing w:line="200" w:lineRule="exact"/>
            </w:pPr>
            <w:r>
              <w:rPr>
                <w:rFonts w:ascii="方正黑体_GBK" w:hAnsi="方正黑体_GBK" w:eastAsia="方正黑体_GBK" w:cs="宋体"/>
                <w:b/>
                <w:sz w:val="18"/>
                <w:szCs w:val="18"/>
              </w:rPr>
              <w:t>B2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4294DA6E">
            <w:pPr>
              <w:spacing w:line="200" w:lineRule="exact"/>
            </w:pPr>
            <w:r>
              <w:rPr>
                <w:rFonts w:ascii="方正黑体_GBK" w:hAnsi="方正黑体_GBK" w:eastAsia="方正黑体_GBK" w:cs="宋体"/>
                <w:b/>
                <w:sz w:val="18"/>
                <w:szCs w:val="18"/>
              </w:rPr>
              <w:t>C2份额：申购/赎回确认日和产品实际到期时，当期产品投资的实际资产组合收益（扣除销售费、固定管理费、托管费等相关费用）超过3.1%（年化，即产品该份额对应的业绩报酬计提基准）时，超过部分管理人将按60%收取业绩报酬。</w:t>
            </w:r>
          </w:p>
          <w:p w14:paraId="2F57CFD7">
            <w:pPr>
              <w:spacing w:line="200" w:lineRule="exact"/>
            </w:pPr>
            <w:r>
              <w:rPr>
                <w:rFonts w:ascii="方正黑体_GBK" w:hAnsi="方正黑体_GBK" w:eastAsia="方正黑体_GBK" w:cs="宋体"/>
                <w:b/>
                <w:sz w:val="18"/>
                <w:szCs w:val="18"/>
              </w:rPr>
              <w:t>D2份额：申购/赎回确认日和产品实际到期时，当期产品投资的实际资产组合收益（扣除销售费、固定管理费、托管费等相关费用）超过3.15%（年化，即产品该份额对应的业绩报酬计提基准）时，超过部分管理人将按60%收取业绩报酬。</w:t>
            </w:r>
          </w:p>
          <w:p w14:paraId="024E8282">
            <w:pPr>
              <w:spacing w:line="200" w:lineRule="exact"/>
            </w:pPr>
            <w:r>
              <w:rPr>
                <w:rFonts w:ascii="方正黑体_GBK" w:hAnsi="方正黑体_GBK" w:eastAsia="方正黑体_GBK" w:cs="宋体"/>
                <w:b/>
                <w:sz w:val="18"/>
                <w:szCs w:val="18"/>
              </w:rPr>
              <w:t>E2份额：申购/赎回确认日和产品实际到期时，当期产品投资的实际资产组合收益（扣除销售费、固定管理费、托管费等相关费用）超过3.25%（年化，即产品该份额对应的业绩报酬计提基准）时，超过部分管理人将按60%收取业绩报酬。</w:t>
            </w:r>
          </w:p>
          <w:p w14:paraId="53ADD84A">
            <w:pPr>
              <w:spacing w:line="200" w:lineRule="exact"/>
            </w:pPr>
            <w:r>
              <w:rPr>
                <w:rFonts w:ascii="方正黑体_GBK" w:hAnsi="方正黑体_GBK" w:eastAsia="方正黑体_GBK" w:cs="宋体"/>
                <w:b/>
                <w:sz w:val="18"/>
                <w:szCs w:val="18"/>
              </w:rPr>
              <w:t>A3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7115FCCC">
            <w:pPr>
              <w:spacing w:line="200" w:lineRule="exact"/>
            </w:pPr>
            <w:r>
              <w:rPr>
                <w:rFonts w:ascii="方正黑体_GBK" w:hAnsi="方正黑体_GBK" w:eastAsia="方正黑体_GBK" w:cs="宋体"/>
                <w:b/>
                <w:sz w:val="18"/>
                <w:szCs w:val="18"/>
              </w:rPr>
              <w:t>B3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1601E055">
            <w:pPr>
              <w:spacing w:line="200" w:lineRule="exact"/>
            </w:pPr>
            <w:r>
              <w:rPr>
                <w:rFonts w:ascii="方正黑体_GBK" w:hAnsi="方正黑体_GBK" w:eastAsia="方正黑体_GBK" w:cs="宋体"/>
                <w:b/>
                <w:sz w:val="18"/>
                <w:szCs w:val="18"/>
              </w:rPr>
              <w:t>C3份额：申购/赎回确认日和产品实际到期时，当期产品投资的实际资产组合收益（扣除销售费、固定管理费、托管费等相关费用）超过3.1%（年化，即产品该份额对应的业绩报酬计提基准）时，超过部分管理人将按60%收取业绩报酬。</w:t>
            </w:r>
          </w:p>
          <w:p w14:paraId="3FB251F6">
            <w:pPr>
              <w:spacing w:line="200" w:lineRule="exact"/>
            </w:pPr>
            <w:r>
              <w:rPr>
                <w:rFonts w:ascii="方正黑体_GBK" w:hAnsi="方正黑体_GBK" w:eastAsia="方正黑体_GBK" w:cs="宋体"/>
                <w:b/>
                <w:sz w:val="18"/>
                <w:szCs w:val="18"/>
              </w:rPr>
              <w:t>D3份额：申购/赎回确认日和产品实际到期时，当期产品投资的实际资产组合收益（扣除销售费、固定管理费、托管费等相关费用）超过3.15%（年化，即产品该份额对应的业绩报酬计提基准）时，超过部分管理人将按60%收取业绩报酬。</w:t>
            </w:r>
          </w:p>
          <w:p w14:paraId="2BAA1750">
            <w:pPr>
              <w:spacing w:line="200" w:lineRule="exact"/>
            </w:pPr>
            <w:r>
              <w:rPr>
                <w:rFonts w:ascii="方正黑体_GBK" w:hAnsi="方正黑体_GBK" w:eastAsia="方正黑体_GBK" w:cs="宋体"/>
                <w:b/>
                <w:sz w:val="18"/>
                <w:szCs w:val="18"/>
              </w:rPr>
              <w:t>E3份额：申购/赎回确认日和产品实际到期时，当期产品投资的实际资产组合收益（扣除销售费、固定管理费、托管费等相关费用）超过3.25%（年化，即产品该份额对应的业绩报酬计提基准）时，超过部分管理人将按60%收取业绩报酬。</w:t>
            </w:r>
          </w:p>
          <w:p w14:paraId="5B5DF2A8">
            <w:pPr>
              <w:spacing w:line="200" w:lineRule="exact"/>
            </w:pPr>
            <w:r>
              <w:rPr>
                <w:rFonts w:ascii="方正黑体_GBK" w:hAnsi="方正黑体_GBK" w:eastAsia="方正黑体_GBK" w:cs="宋体"/>
                <w:b/>
                <w:sz w:val="18"/>
                <w:szCs w:val="18"/>
              </w:rPr>
              <w:t>A4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68A5F3C5">
            <w:pPr>
              <w:spacing w:line="200" w:lineRule="exact"/>
            </w:pPr>
            <w:r>
              <w:rPr>
                <w:rFonts w:ascii="方正黑体_GBK" w:hAnsi="方正黑体_GBK" w:eastAsia="方正黑体_GBK" w:cs="宋体"/>
                <w:b/>
                <w:sz w:val="18"/>
                <w:szCs w:val="18"/>
              </w:rPr>
              <w:t>B4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7CDD177E">
            <w:pPr>
              <w:spacing w:line="200" w:lineRule="exact"/>
            </w:pPr>
            <w:r>
              <w:rPr>
                <w:rFonts w:ascii="方正黑体_GBK" w:hAnsi="方正黑体_GBK" w:eastAsia="方正黑体_GBK" w:cs="宋体"/>
                <w:b/>
                <w:sz w:val="18"/>
                <w:szCs w:val="18"/>
              </w:rPr>
              <w:t>C4份额：申购/赎回确认日和产品实际到期时，当期产品投资的实际资产组合收益（扣除销售费、固定管理费、托管费等相关费用）超过3.1%（年化，即产品该份额对应的业绩报酬计提基准）时，超过部分管理人将按60%收取业绩报酬。</w:t>
            </w:r>
          </w:p>
          <w:p w14:paraId="6C9D7647">
            <w:pPr>
              <w:spacing w:line="200" w:lineRule="exact"/>
            </w:pPr>
            <w:r>
              <w:rPr>
                <w:rFonts w:ascii="方正黑体_GBK" w:hAnsi="方正黑体_GBK" w:eastAsia="方正黑体_GBK" w:cs="宋体"/>
                <w:b/>
                <w:sz w:val="18"/>
                <w:szCs w:val="18"/>
              </w:rPr>
              <w:t>D4份额：申购/赎回确认日和产品实际到期时，当期产品投资的实际资产组合收益（扣除销售费、固定管理费、托管费等相关费用）超过3.15%（年化，即产品该份额对应的业绩报酬计提基准）时，超过部分管理人将按60%收取业绩报酬。</w:t>
            </w:r>
          </w:p>
          <w:p w14:paraId="208398FB">
            <w:pPr>
              <w:spacing w:line="200" w:lineRule="exact"/>
            </w:pPr>
            <w:r>
              <w:rPr>
                <w:rFonts w:ascii="方正黑体_GBK" w:hAnsi="方正黑体_GBK" w:eastAsia="方正黑体_GBK" w:cs="宋体"/>
                <w:b/>
                <w:sz w:val="18"/>
                <w:szCs w:val="18"/>
              </w:rPr>
              <w:t>E4份额：申购/赎回确认日和产品实际到期时，当期产品投资的实际资产组合收益（扣除销售费、固定管理费、托管费等相关费用）超过3.25%（年化，即产品该份额对应的业绩报酬计提基准）时，超过部分管理人将按60%收取业绩报酬。</w:t>
            </w:r>
          </w:p>
          <w:p w14:paraId="11756B80">
            <w:pPr>
              <w:spacing w:line="200" w:lineRule="exact"/>
            </w:pPr>
            <w:r>
              <w:rPr>
                <w:rFonts w:ascii="方正黑体_GBK" w:hAnsi="方正黑体_GBK" w:eastAsia="方正黑体_GBK" w:cs="宋体"/>
                <w:b/>
                <w:sz w:val="18"/>
                <w:szCs w:val="18"/>
              </w:rPr>
              <w:t>F2份额：申购/赎回确认日和产品实际到期时，当期产品投资的实际资产组合收益（扣除销售费、固定管理费、托管费等相关费用）超过3.1%（年化，即产品该份额对应的业绩报酬计提基准）时，超过部分管理人将按60%收取业绩报酬。</w:t>
            </w:r>
          </w:p>
          <w:p w14:paraId="6E1B4D01">
            <w:pPr>
              <w:spacing w:line="200" w:lineRule="exact"/>
            </w:pPr>
            <w:r>
              <w:rPr>
                <w:rFonts w:ascii="方正黑体_GBK" w:hAnsi="方正黑体_GBK" w:eastAsia="方正黑体_GBK" w:cs="宋体"/>
                <w:b/>
                <w:sz w:val="18"/>
                <w:szCs w:val="18"/>
              </w:rPr>
              <w:t>F3份额：申购/赎回确认日和产品实际到期时，当期产品投资的实际资产组合收益（扣除销售费、固定管理费、托管费等相关费用）超过3.1%（年化，即产品该份额对应的业绩报酬计提基准）时，超过部分管理人将按60%收取业绩报酬。</w:t>
            </w:r>
          </w:p>
          <w:p w14:paraId="1DE0842E">
            <w:pPr>
              <w:spacing w:line="200" w:lineRule="exact"/>
            </w:pPr>
            <w:r>
              <w:rPr>
                <w:rFonts w:ascii="方正黑体_GBK" w:hAnsi="方正黑体_GBK" w:eastAsia="方正黑体_GBK" w:cs="宋体"/>
                <w:b/>
                <w:sz w:val="18"/>
                <w:szCs w:val="18"/>
              </w:rPr>
              <w:t>G2份额：申购/赎回确认日和产品实际到期时，当期产品投资的实际资产组合收益（扣除销售费、固定管理费、托管费等相关费用）超过3.2%（年化，即产品该份额对应的业绩报酬计提基准）时，超过部分管理人将按60%收取业绩报酬。</w:t>
            </w:r>
          </w:p>
          <w:p w14:paraId="3CD69955">
            <w:pPr>
              <w:spacing w:line="200" w:lineRule="exact"/>
            </w:pPr>
            <w:r>
              <w:rPr>
                <w:rFonts w:ascii="方正黑体_GBK" w:hAnsi="方正黑体_GBK" w:eastAsia="方正黑体_GBK" w:cs="宋体"/>
                <w:b/>
                <w:sz w:val="18"/>
                <w:szCs w:val="18"/>
              </w:rPr>
              <w:t>G3份额：申购/赎回确认日和产品实际到期时，当期产品投资的实际资产组合收益（扣除销售费、固定管理费、托管费等相关费用）超过3.2%（年化，即产品该份额对应的业绩报酬计提基准）时，超过部分管理人将按60%收取业绩报酬。</w:t>
            </w:r>
          </w:p>
          <w:p w14:paraId="4754D0A2">
            <w:pPr>
              <w:spacing w:line="200" w:lineRule="exact"/>
            </w:pPr>
            <w:r>
              <w:rPr>
                <w:rFonts w:ascii="方正黑体_GBK" w:hAnsi="方正黑体_GBK" w:eastAsia="方正黑体_GBK" w:cs="宋体"/>
                <w:b/>
                <w:sz w:val="18"/>
                <w:szCs w:val="18"/>
              </w:rPr>
              <w:t>F4份额：申购/赎回确认日和产品实际到期时，当期产品投资的实际资产组合收益（扣除销售费、固定管理费、托管费等相关费用）超过3.1%（年化，即产品该份额对应的业绩报酬计提基准）时，超过部分管理人将按60%收取业绩报酬。</w:t>
            </w:r>
          </w:p>
          <w:p w14:paraId="095B809D">
            <w:pPr>
              <w:spacing w:line="200" w:lineRule="exact"/>
            </w:pPr>
            <w:r>
              <w:rPr>
                <w:rFonts w:ascii="方正黑体_GBK" w:hAnsi="方正黑体_GBK" w:eastAsia="方正黑体_GBK" w:cs="宋体"/>
                <w:b/>
                <w:sz w:val="18"/>
                <w:szCs w:val="18"/>
              </w:rPr>
              <w:t>G4份额：申购/赎回确认日和产品实际到期时，当期产品投资的实际资产组合收益（扣除销售费、固定管理费、托管费等相关费用）超过3.2%（年化，即产品该份额对应的业绩报酬计提基准）时，超过部分管理人将按60%收取业绩报酬。</w:t>
            </w:r>
          </w:p>
          <w:p w14:paraId="20CEA991">
            <w:pPr>
              <w:spacing w:line="200" w:lineRule="exact"/>
            </w:pPr>
            <w:r>
              <w:rPr>
                <w:rFonts w:ascii="方正黑体_GBK" w:hAnsi="方正黑体_GBK" w:eastAsia="方正黑体_GBK" w:cs="宋体"/>
                <w:b/>
                <w:sz w:val="18"/>
                <w:szCs w:val="18"/>
              </w:rPr>
              <w:t>H2份额：申购/赎回确认日和产品实际到期时，当期产品投资的实际资产组合收益（扣除销售费、固定管理费、托管费等相关费用）超过3.2%（年化，即产品该份额对应的业绩报酬计提基准）时，超过部分管理人将按60%收取业绩报酬。</w:t>
            </w:r>
          </w:p>
          <w:p w14:paraId="5048A1FC">
            <w:pPr>
              <w:spacing w:line="200" w:lineRule="exact"/>
            </w:pPr>
            <w:r>
              <w:rPr>
                <w:rFonts w:ascii="方正黑体_GBK" w:hAnsi="方正黑体_GBK" w:eastAsia="方正黑体_GBK" w:cs="宋体"/>
                <w:b/>
                <w:sz w:val="18"/>
                <w:szCs w:val="18"/>
              </w:rPr>
              <w:t>J2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0167177B">
            <w:pPr>
              <w:spacing w:line="200" w:lineRule="exact"/>
            </w:pPr>
            <w:r>
              <w:rPr>
                <w:rFonts w:ascii="方正黑体_GBK" w:hAnsi="方正黑体_GBK" w:eastAsia="方正黑体_GBK" w:cs="宋体"/>
                <w:b/>
                <w:sz w:val="18"/>
                <w:szCs w:val="18"/>
              </w:rPr>
              <w:t>K2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3235C722">
            <w:pPr>
              <w:spacing w:line="200" w:lineRule="exact"/>
            </w:pPr>
            <w:r>
              <w:rPr>
                <w:rFonts w:ascii="方正黑体_GBK" w:hAnsi="方正黑体_GBK" w:eastAsia="方正黑体_GBK" w:cs="宋体"/>
                <w:b/>
                <w:sz w:val="18"/>
                <w:szCs w:val="18"/>
              </w:rPr>
              <w:t>J3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44016502">
            <w:pPr>
              <w:spacing w:line="200" w:lineRule="exact"/>
            </w:pPr>
            <w:r>
              <w:rPr>
                <w:rFonts w:ascii="方正黑体_GBK" w:hAnsi="方正黑体_GBK" w:eastAsia="方正黑体_GBK" w:cs="宋体"/>
                <w:b/>
                <w:sz w:val="18"/>
                <w:szCs w:val="18"/>
              </w:rPr>
              <w:t>K3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59FB455B">
            <w:pPr>
              <w:spacing w:line="200" w:lineRule="exact"/>
            </w:pPr>
            <w:r>
              <w:rPr>
                <w:rFonts w:ascii="方正黑体_GBK" w:hAnsi="方正黑体_GBK" w:eastAsia="方正黑体_GBK" w:cs="宋体"/>
                <w:b/>
                <w:sz w:val="18"/>
                <w:szCs w:val="18"/>
              </w:rPr>
              <w:t>J4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6D8702E3">
            <w:pPr>
              <w:spacing w:line="200" w:lineRule="exact"/>
            </w:pPr>
            <w:r>
              <w:rPr>
                <w:rFonts w:ascii="方正黑体_GBK" w:hAnsi="方正黑体_GBK" w:eastAsia="方正黑体_GBK" w:cs="宋体"/>
                <w:b/>
                <w:sz w:val="18"/>
                <w:szCs w:val="18"/>
              </w:rPr>
              <w:t>K4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4DCDF927">
            <w:pPr>
              <w:spacing w:line="200" w:lineRule="exact"/>
            </w:pPr>
            <w:r>
              <w:rPr>
                <w:rFonts w:ascii="方正黑体_GBK" w:hAnsi="方正黑体_GBK" w:eastAsia="方正黑体_GBK" w:cs="宋体"/>
                <w:b/>
                <w:sz w:val="18"/>
                <w:szCs w:val="18"/>
              </w:rPr>
              <w:t>L4份额：申购/赎回确认日和产品实际到期时，当期产品投资的实际资产组合收益（扣除销售费、固定管理费、托管费等相关费用）超过3.1%（年化，即产品该份额对应的业绩报酬计提基准）时，超过部分管理人将按60%收取业绩报酬。</w:t>
            </w:r>
          </w:p>
          <w:p w14:paraId="25F45267">
            <w:pPr>
              <w:spacing w:line="200" w:lineRule="exact"/>
            </w:pPr>
            <w:r>
              <w:rPr>
                <w:rFonts w:ascii="方正黑体_GBK" w:hAnsi="方正黑体_GBK" w:eastAsia="方正黑体_GBK" w:cs="宋体"/>
                <w:b/>
                <w:sz w:val="18"/>
                <w:szCs w:val="18"/>
              </w:rPr>
              <w:t>M2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138C9793">
            <w:pPr>
              <w:spacing w:line="200" w:lineRule="exact"/>
            </w:pPr>
            <w:r>
              <w:rPr>
                <w:rFonts w:ascii="方正黑体_GBK" w:hAnsi="方正黑体_GBK" w:eastAsia="方正黑体_GBK" w:cs="宋体"/>
                <w:b/>
                <w:sz w:val="18"/>
                <w:szCs w:val="18"/>
              </w:rPr>
              <w:t>M3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7F0C01F5">
            <w:pPr>
              <w:spacing w:line="200" w:lineRule="exact"/>
            </w:pPr>
            <w:r>
              <w:rPr>
                <w:rFonts w:ascii="方正黑体_GBK" w:hAnsi="方正黑体_GBK" w:eastAsia="方正黑体_GBK" w:cs="宋体"/>
                <w:b/>
                <w:sz w:val="18"/>
                <w:szCs w:val="18"/>
              </w:rPr>
              <w:t>M4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3062FFA1">
            <w:pPr>
              <w:spacing w:line="200" w:lineRule="exact"/>
            </w:pPr>
            <w:r>
              <w:rPr>
                <w:rFonts w:ascii="方正黑体_GBK" w:hAnsi="方正黑体_GBK" w:eastAsia="方正黑体_GBK" w:cs="宋体"/>
                <w:b/>
                <w:sz w:val="18"/>
                <w:szCs w:val="18"/>
              </w:rPr>
              <w:t>O2份额：申购/赎回确认日和产品实际到期时，当期产品投资的实际资产组合收益（扣除销售费、固定管理费、托管费等相关费用）超过3.15%（年化，即产品该份额对应的业绩报酬计提基准）时，超过部分管理人将按60%收取业绩报酬。</w:t>
            </w:r>
          </w:p>
          <w:p w14:paraId="5E3822D9">
            <w:pPr>
              <w:spacing w:line="200" w:lineRule="exact"/>
            </w:pPr>
            <w:r>
              <w:rPr>
                <w:rFonts w:ascii="方正黑体_GBK" w:hAnsi="方正黑体_GBK" w:eastAsia="方正黑体_GBK" w:cs="宋体"/>
                <w:b/>
                <w:sz w:val="18"/>
                <w:szCs w:val="18"/>
              </w:rPr>
              <w:t>P2份额：申购/赎回确认日和产品实际到期时，当期产品投资的实际资产组合收益（扣除销售费、固定管理费、托管费等相关费用）超过3.2%（年化，即产品该份额对应的业绩报酬计提基准）时，超过部分管理人将按60%收取业绩报酬。</w:t>
            </w:r>
          </w:p>
          <w:p w14:paraId="74320D85">
            <w:pPr>
              <w:spacing w:line="200" w:lineRule="exact"/>
            </w:pPr>
            <w:r>
              <w:rPr>
                <w:rFonts w:ascii="方正黑体_GBK" w:hAnsi="方正黑体_GBK" w:eastAsia="方正黑体_GBK" w:cs="宋体"/>
                <w:b/>
                <w:sz w:val="18"/>
                <w:szCs w:val="18"/>
              </w:rPr>
              <w:t>O3份额：申购/赎回确认日和产品实际到期时，当期产品投资的实际资产组合收益（扣除销售费、固定管理费、托管费等相关费用）超过3.15%（年化，即产品该份额对应的业绩报酬计提基准）时，超过部分管理人将按60%收取业绩报酬。</w:t>
            </w:r>
          </w:p>
          <w:p w14:paraId="066836C3">
            <w:pPr>
              <w:spacing w:line="200" w:lineRule="exact"/>
            </w:pPr>
            <w:r>
              <w:rPr>
                <w:rFonts w:ascii="方正黑体_GBK" w:hAnsi="方正黑体_GBK" w:eastAsia="方正黑体_GBK" w:cs="宋体"/>
                <w:b/>
                <w:sz w:val="18"/>
                <w:szCs w:val="18"/>
              </w:rPr>
              <w:t>P3份额：申购/赎回确认日和产品实际到期时，当期产品投资的实际资产组合收益（扣除销售费、固定管理费、托管费等相关费用）超过3.2%（年化，即产品该份额对应的业绩报酬计提基准）时，超过部分管理人将按60%收取业绩报酬。</w:t>
            </w:r>
          </w:p>
          <w:p w14:paraId="5162F309">
            <w:pPr>
              <w:spacing w:line="200" w:lineRule="exact"/>
            </w:pPr>
            <w:r>
              <w:rPr>
                <w:rFonts w:ascii="方正黑体_GBK" w:hAnsi="方正黑体_GBK" w:eastAsia="方正黑体_GBK" w:cs="宋体"/>
                <w:b/>
                <w:sz w:val="18"/>
                <w:szCs w:val="18"/>
              </w:rPr>
              <w:t>O4份额：申购/赎回确认日和产品实际到期时，当期产品投资的实际资产组合收益（扣除销售费、固定管理费、托管费等相关费用）超过3.15%（年化，即产品该份额对应的业绩报酬计提基准）时，超过部分管理人将按60%收取业绩报酬。</w:t>
            </w:r>
          </w:p>
          <w:p w14:paraId="5B26D726">
            <w:pPr>
              <w:spacing w:line="200" w:lineRule="exact"/>
            </w:pPr>
            <w:r>
              <w:rPr>
                <w:rFonts w:ascii="方正黑体_GBK" w:hAnsi="方正黑体_GBK" w:eastAsia="方正黑体_GBK" w:cs="宋体"/>
                <w:b/>
                <w:sz w:val="18"/>
                <w:szCs w:val="18"/>
              </w:rPr>
              <w:t>P4份额：申购/赎回确认日和产品实际到期时，当期产品投资的实际资产组合收益（扣除销售费、固定管理费、托管费等相关费用）超过3.2%（年化，即产品该份额对应的业绩报酬计提基准）时，超过部分管理人将按60%收取业绩报酬。</w:t>
            </w:r>
          </w:p>
          <w:p w14:paraId="055D7CDE">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2981F9B7">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2C179AD3">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550AA633">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2DA450D9">
            <w:pPr>
              <w:spacing w:line="200" w:lineRule="exact"/>
            </w:pPr>
            <w:r>
              <w:rPr>
                <w:rFonts w:ascii="方正黑体_GBK" w:hAnsi="方正黑体_GBK" w:eastAsia="方正黑体_GBK" w:cs="宋体"/>
                <w:b/>
                <w:sz w:val="18"/>
                <w:szCs w:val="18"/>
              </w:rPr>
              <w:t>计算本区间业绩报酬的公式如下：</w:t>
            </w:r>
          </w:p>
          <w:p w14:paraId="1F241E3B">
            <w:pPr>
              <w:spacing w:line="200" w:lineRule="exact"/>
            </w:pPr>
            <w:r>
              <w:rPr>
                <w:rFonts w:ascii="方正黑体_GBK" w:hAnsi="方正黑体_GBK" w:eastAsia="方正黑体_GBK" w:cs="宋体"/>
                <w:b/>
                <w:sz w:val="18"/>
                <w:szCs w:val="18"/>
              </w:rPr>
              <w:t>A={B-C*D*(1+E*F/365)}*G。</w:t>
            </w:r>
          </w:p>
          <w:p w14:paraId="7949E8C0">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43912E8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CC2CBF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5CD1C4A9">
            <w:pPr>
              <w:spacing w:line="200" w:lineRule="exact"/>
              <w:jc w:val="left"/>
            </w:pPr>
            <w:r>
              <w:rPr>
                <w:rFonts w:ascii="方正黑体_GBK" w:hAnsi="方正黑体_GBK" w:eastAsia="方正黑体_GBK" w:cs="宋体"/>
                <w:color w:val="000000"/>
                <w:sz w:val="18"/>
                <w:szCs w:val="18"/>
              </w:rPr>
              <w:t>具体参见本理财产品风险揭示书。</w:t>
            </w:r>
          </w:p>
          <w:p w14:paraId="46C245EA">
            <w:pPr>
              <w:spacing w:line="200" w:lineRule="exact"/>
              <w:jc w:val="left"/>
            </w:pPr>
            <w:r>
              <w:rPr>
                <w:rFonts w:ascii="方正黑体_GBK" w:hAnsi="方正黑体_GBK" w:eastAsia="方正黑体_GBK"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14:paraId="55334EBF">
            <w:pPr>
              <w:spacing w:line="200" w:lineRule="exact"/>
              <w:jc w:val="left"/>
            </w:pPr>
            <w:r>
              <w:rPr>
                <w:rFonts w:ascii="方正黑体_GBK" w:hAnsi="方正黑体_GBK" w:eastAsia="方正黑体_GBK" w:cs="宋体"/>
                <w:color w:val="000000"/>
                <w:sz w:val="18"/>
                <w:szCs w:val="18"/>
              </w:rPr>
              <w:t>一是建仓或进行组合调整时，若投资资产包括债券或基金，可能由于特定债券或基金的流动性相对不足而无法按预期的价格买进（申购）或卖出（赎回）；</w:t>
            </w:r>
          </w:p>
          <w:p w14:paraId="5C9E9D3A">
            <w:pPr>
              <w:spacing w:line="200" w:lineRule="exact"/>
              <w:jc w:val="left"/>
            </w:pPr>
            <w:r>
              <w:rPr>
                <w:rFonts w:ascii="方正黑体_GBK" w:hAnsi="方正黑体_GBK" w:eastAsia="方正黑体_GBK" w:cs="宋体"/>
                <w:color w:val="000000"/>
                <w:sz w:val="18"/>
                <w:szCs w:val="18"/>
              </w:rPr>
              <w:t>二是为应对投资者的赎回，被迫以不适当的价格卖出债券或赎回基金；</w:t>
            </w:r>
          </w:p>
          <w:p w14:paraId="38380A1E">
            <w:pPr>
              <w:spacing w:line="200" w:lineRule="exact"/>
              <w:jc w:val="left"/>
            </w:pPr>
            <w:r>
              <w:rPr>
                <w:rFonts w:ascii="方正黑体_GBK" w:hAnsi="方正黑体_GBK" w:eastAsia="方正黑体_GBK" w:cs="宋体"/>
                <w:color w:val="000000"/>
                <w:sz w:val="18"/>
                <w:szCs w:val="18"/>
              </w:rPr>
              <w:t>三是若投资资产包括非标准化债权类资产，可能由于资产缺少流动性而难以变现。</w:t>
            </w:r>
          </w:p>
          <w:p w14:paraId="584605E9">
            <w:pPr>
              <w:spacing w:line="200" w:lineRule="exact"/>
              <w:jc w:val="left"/>
            </w:pPr>
            <w:r>
              <w:rPr>
                <w:rFonts w:ascii="方正黑体_GBK" w:hAnsi="方正黑体_GBK" w:eastAsia="方正黑体_GBK" w:cs="宋体"/>
                <w:color w:val="000000"/>
                <w:sz w:val="18"/>
                <w:szCs w:val="18"/>
              </w:rPr>
              <w:t>以上情形均可能使产品净值受到不利影响。</w:t>
            </w:r>
          </w:p>
        </w:tc>
      </w:tr>
      <w:tr w14:paraId="3060827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05E9CB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31E13FF7">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79348E07">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7DC2E35D">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31905CA3">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1F2F6784">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4E34675B">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0FBCC530">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53E3B92C">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6AE736B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F58C90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7D634677">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嘉兴银行股份有限公司、江苏常熟农村商业银行股份有限公司、江苏苏州农村商业银行股份有限公司、秦皇岛银行股份有限公司、齐鲁银行股份有限公司、贵阳银行股份有限公司、深圳前海微众银行股份有限公司、云南红塔银行股份有限公司、中原银行股份有限公司、九江银行股份有限公司、天津农村商业银行股份有限公司、江苏紫金农村商业银行股份有限公司、苏州银行股份有限公司、桂林银行股份有限公司、中信百信银行股份有限公司、宁波通商银行股份有限公司、日照银行股份有限公司、石嘴山银行股份有限公司、无锡锡商银行股份有限公司、江苏丹阳农村商业银行股份有限公司、江苏靖江农村商业银行股份有限公司、江苏民丰农村商业银行股份有限公司、江苏建湖农村商业银行股份有限公司、江苏南通农村商业银行股份有限公司、江苏扬州农村商业银行股份有限公司、江苏大丰农村商业银行股份有限公司、江苏镇江农村商业银行股份有限公司、江苏如皋农村商业银行股份有限公司、徐州农村商业银行股份有限公司、江苏苏商银行股份有限公司、江苏丰县农村商业银行股份有限公司、江苏句容农村商业银行股份有限公司、江苏江阴农村商业银行股份有限公司、乌鲁木齐银行股份有限公司、河北银行股份有限公司、江苏沛县农村商业银行股份有限公司、交通银行股份有限公司、甘肃银行股份有限公司、江苏仪征农村商业银行股份有限公司、成都银行股份有限公司、广发银行股份有限公司、江苏沭阳农村商业银行股份有限公司。管理人有权调整本理财产品的销售机构并进行信息披露。</w:t>
            </w:r>
          </w:p>
          <w:p w14:paraId="509377DD">
            <w:pPr>
              <w:spacing w:line="200" w:lineRule="exact"/>
              <w:jc w:val="left"/>
            </w:pPr>
            <w:r>
              <w:rPr>
                <w:rFonts w:ascii="方正黑体_GBK" w:hAnsi="方正黑体_GBK" w:eastAsia="方正黑体_GBK" w:cs="宋体"/>
                <w:sz w:val="18"/>
                <w:szCs w:val="18"/>
              </w:rPr>
              <w:t>销售机构主要职责如下：</w:t>
            </w:r>
          </w:p>
          <w:p w14:paraId="3555FA15">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35844C3A">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2CCAF45C">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39233553">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6C2A29EB">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035E02E6">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76005FF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5C6FEE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276AC908">
            <w:pPr>
              <w:spacing w:line="200" w:lineRule="exact"/>
            </w:pPr>
            <w:r>
              <w:rPr>
                <w:rFonts w:ascii="方正黑体_GBK" w:hAnsi="方正黑体_GBK" w:eastAsia="方正黑体_GBK" w:cs="宋体"/>
                <w:sz w:val="18"/>
                <w:szCs w:val="18"/>
              </w:rPr>
              <w:t>本理财产品托管人为南京银行股份有限公司，主要职责如下：</w:t>
            </w:r>
          </w:p>
          <w:p w14:paraId="0772ED4B">
            <w:pPr>
              <w:spacing w:line="200" w:lineRule="exact"/>
            </w:pPr>
            <w:r>
              <w:rPr>
                <w:rFonts w:ascii="方正黑体_GBK" w:hAnsi="方正黑体_GBK" w:eastAsia="方正黑体_GBK" w:cs="宋体"/>
                <w:sz w:val="18"/>
                <w:szCs w:val="18"/>
              </w:rPr>
              <w:t>1.安全保管理财产品财产；</w:t>
            </w:r>
          </w:p>
          <w:p w14:paraId="241683F2">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7D872722">
            <w:pPr>
              <w:spacing w:line="200" w:lineRule="exact"/>
            </w:pPr>
            <w:r>
              <w:rPr>
                <w:rFonts w:ascii="方正黑体_GBK" w:hAnsi="方正黑体_GBK" w:eastAsia="方正黑体_GBK" w:cs="宋体"/>
                <w:sz w:val="18"/>
                <w:szCs w:val="18"/>
              </w:rPr>
              <w:t>3.按照托管协议约定和管理人的投资指令，及时办理清算、交割事宜；</w:t>
            </w:r>
          </w:p>
          <w:p w14:paraId="70F58C44">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2076EDAD">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6A4DAA09">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69EF7425">
            <w:pPr>
              <w:spacing w:line="200" w:lineRule="exact"/>
            </w:pPr>
            <w:r>
              <w:rPr>
                <w:rFonts w:ascii="方正黑体_GBK" w:hAnsi="方正黑体_GBK" w:eastAsia="方正黑体_GBK" w:cs="宋体"/>
                <w:sz w:val="18"/>
                <w:szCs w:val="18"/>
              </w:rPr>
              <w:t>7.理财托管业务活动的记录、账册、报表和其他相关资料保存20年以上；</w:t>
            </w:r>
          </w:p>
          <w:p w14:paraId="65AC83D2">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26B6FA9B">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1EA6D5F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0ACDC3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7DCA6124">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广东粤财信托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重庆国际信托股份有限公司，上述投资合作机构主要职责对应如下，具体职责以管理人与投资合作机构签署的合同为准。</w:t>
            </w:r>
          </w:p>
          <w:p w14:paraId="1825AB08">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大家资产管理有限责任公司、光大永明资产管理股份有限公司、广东粤财信托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重庆国际信托股份有限公司。</w:t>
            </w:r>
          </w:p>
          <w:p w14:paraId="6A039C13">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79D8396E">
            <w:pPr>
              <w:spacing w:line="200" w:lineRule="exact"/>
            </w:pPr>
            <w:r>
              <w:rPr>
                <w:rFonts w:ascii="方正黑体_GBK" w:hAnsi="方正黑体_GBK" w:eastAsia="方正黑体_GBK" w:cs="宋体"/>
                <w:sz w:val="18"/>
                <w:szCs w:val="18"/>
              </w:rPr>
              <w:t>上述投资合作机构简介：</w:t>
            </w:r>
          </w:p>
          <w:p w14:paraId="061306BF">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0CA932B6">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73926A73">
            <w:pPr>
              <w:spacing w:line="200" w:lineRule="exact"/>
            </w:pPr>
            <w:r>
              <w:rPr>
                <w:rFonts w:ascii="方正黑体_GBK" w:hAnsi="方正黑体_GBK" w:eastAsia="方正黑体_GBK" w:cs="宋体"/>
                <w:sz w:val="18"/>
                <w:szCs w:val="18"/>
              </w:rPr>
              <w:t>广东粤财信托有限公司成立于1985年03月07日，注册资本金380000万元。</w:t>
            </w:r>
          </w:p>
          <w:p w14:paraId="1DA963ED">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36D9B9DB">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6ABF552F">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2CA33721">
            <w:pPr>
              <w:spacing w:line="200" w:lineRule="exact"/>
            </w:pPr>
            <w:r>
              <w:rPr>
                <w:rFonts w:ascii="方正黑体_GBK" w:hAnsi="方正黑体_GBK" w:eastAsia="方正黑体_GBK" w:cs="宋体"/>
                <w:sz w:val="18"/>
                <w:szCs w:val="18"/>
              </w:rPr>
              <w:t>华鑫国际信托有限公司成立于1984年06月01日，注册资本金73.95亿元。</w:t>
            </w:r>
          </w:p>
          <w:p w14:paraId="0130F927">
            <w:pPr>
              <w:spacing w:line="200" w:lineRule="exact"/>
            </w:pPr>
            <w:r>
              <w:rPr>
                <w:rFonts w:ascii="方正黑体_GBK" w:hAnsi="方正黑体_GBK" w:eastAsia="方正黑体_GBK" w:cs="宋体"/>
                <w:sz w:val="18"/>
                <w:szCs w:val="18"/>
              </w:rPr>
              <w:t>建信保险资产管理有限公司成立于2016年04月27日，注册资本金3亿元。</w:t>
            </w:r>
          </w:p>
          <w:p w14:paraId="729C9020">
            <w:pPr>
              <w:spacing w:line="200" w:lineRule="exact"/>
            </w:pPr>
            <w:r>
              <w:rPr>
                <w:rFonts w:ascii="方正黑体_GBK" w:hAnsi="方正黑体_GBK" w:eastAsia="方正黑体_GBK" w:cs="宋体"/>
                <w:sz w:val="18"/>
                <w:szCs w:val="18"/>
              </w:rPr>
              <w:t>泰康资产管理有限责任公司成立于2006年02月21日，注册资本金10亿元。</w:t>
            </w:r>
          </w:p>
          <w:p w14:paraId="1A5576CF">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4A1E968F">
            <w:pPr>
              <w:spacing w:line="200" w:lineRule="exact"/>
            </w:pPr>
            <w:r>
              <w:rPr>
                <w:rFonts w:ascii="方正黑体_GBK" w:hAnsi="方正黑体_GBK" w:eastAsia="方正黑体_GBK" w:cs="宋体"/>
                <w:sz w:val="18"/>
                <w:szCs w:val="18"/>
              </w:rPr>
              <w:t>云南国际信托有限公司成立于1997年09月03日，注册资本金120000万元人民币。</w:t>
            </w:r>
          </w:p>
          <w:p w14:paraId="1976DEC3">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32E39EE1">
            <w:pPr>
              <w:spacing w:line="200" w:lineRule="exact"/>
            </w:pPr>
            <w:r>
              <w:rPr>
                <w:rFonts w:ascii="方正黑体_GBK" w:hAnsi="方正黑体_GBK" w:eastAsia="方正黑体_GBK" w:cs="宋体"/>
                <w:sz w:val="18"/>
                <w:szCs w:val="18"/>
              </w:rPr>
              <w:t>中粮信托有限责任公司成立于2009年07月27日，注册资本金28.3亿元。</w:t>
            </w:r>
          </w:p>
          <w:p w14:paraId="5FA4F816">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47EF8E46">
            <w:pPr>
              <w:spacing w:line="200" w:lineRule="exact"/>
            </w:pPr>
            <w:r>
              <w:rPr>
                <w:rFonts w:ascii="方正黑体_GBK" w:hAnsi="方正黑体_GBK" w:eastAsia="方正黑体_GBK" w:cs="宋体"/>
                <w:sz w:val="18"/>
                <w:szCs w:val="18"/>
              </w:rPr>
              <w:t>重庆国际信托股份有限公司成立于1984年10月22日，注册资本金150亿元。</w:t>
            </w:r>
          </w:p>
        </w:tc>
      </w:tr>
      <w:tr w14:paraId="1C43DB4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2E35D1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巨额赎回</w:t>
            </w:r>
          </w:p>
        </w:tc>
        <w:tc>
          <w:tcPr>
            <w:tcW w:w="5543" w:type="dxa"/>
            <w:tcBorders>
              <w:top w:val="single" w:color="auto" w:sz="4" w:space="0"/>
              <w:left w:val="nil"/>
              <w:bottom w:val="single" w:color="auto" w:sz="4" w:space="0"/>
              <w:right w:val="single" w:color="auto" w:sz="4" w:space="0"/>
              <w:tl2br w:val="nil"/>
              <w:tr2bl w:val="nil"/>
            </w:tcBorders>
            <w:vAlign w:val="center"/>
          </w:tcPr>
          <w:p w14:paraId="134CE94C">
            <w:pPr>
              <w:spacing w:line="200" w:lineRule="exact"/>
              <w:jc w:val="left"/>
            </w:pPr>
            <w:r>
              <w:rPr>
                <w:rFonts w:ascii="方正黑体_GBK" w:hAnsi="方正黑体_GBK" w:eastAsia="方正黑体_GBK" w:cs="宋体"/>
                <w:color w:val="000000"/>
                <w:sz w:val="18"/>
                <w:szCs w:val="18"/>
              </w:rPr>
              <w:t>本理财产品单个开放日净赎回申请超过前一产品工作日日终本理财产品总份额的10%时，触发巨额赎回。本理财产品在开放日发生巨额赎回时，管理人有权根据产品的实际运作情况采取如下措施中的一种：</w:t>
            </w:r>
          </w:p>
          <w:p w14:paraId="423B26C6">
            <w:pPr>
              <w:spacing w:line="200" w:lineRule="exact"/>
              <w:jc w:val="left"/>
            </w:pPr>
            <w:r>
              <w:rPr>
                <w:rFonts w:ascii="方正黑体_GBK" w:hAnsi="方正黑体_GBK" w:eastAsia="方正黑体_GBK" w:cs="宋体"/>
                <w:color w:val="000000"/>
                <w:sz w:val="18"/>
                <w:szCs w:val="18"/>
              </w:rPr>
              <w:t>1.接受全额赎回：当管理人认为有能力兑付投资者的全部赎回申请时，将在赎回确认日按正常赎回程序执行；</w:t>
            </w:r>
          </w:p>
          <w:p w14:paraId="77A7EA84">
            <w:pPr>
              <w:spacing w:line="200" w:lineRule="exact"/>
              <w:jc w:val="left"/>
            </w:pPr>
            <w:r>
              <w:rPr>
                <w:rFonts w:ascii="方正黑体_GBK" w:hAnsi="方正黑体_GBK" w:eastAsia="方正黑体_GBK" w:cs="宋体"/>
                <w:color w:val="000000"/>
                <w:sz w:val="18"/>
                <w:szCs w:val="18"/>
              </w:rPr>
              <w:t>2.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对于其余赎回申请管理人可暂停接受或延期办理。</w:t>
            </w:r>
          </w:p>
          <w:p w14:paraId="35A91FFC">
            <w:pPr>
              <w:spacing w:line="200" w:lineRule="exact"/>
              <w:jc w:val="left"/>
            </w:pPr>
            <w:r>
              <w:rPr>
                <w:rFonts w:ascii="方正黑体_GBK" w:hAnsi="方正黑体_GBK" w:eastAsia="方正黑体_GBK" w:cs="宋体"/>
                <w:color w:val="000000"/>
                <w:sz w:val="18"/>
                <w:szCs w:val="18"/>
              </w:rPr>
              <w:t>（1）对于接受赎回申请的部分，管理人将按单个投资者的赎回申请份额占当日所有投资者的净赎回申请总份额的比例，确认该投资者当日办理的赎回申请份额。</w:t>
            </w:r>
          </w:p>
          <w:p w14:paraId="1A71D983">
            <w:pPr>
              <w:spacing w:line="200" w:lineRule="exact"/>
              <w:jc w:val="left"/>
            </w:pPr>
            <w:r>
              <w:rPr>
                <w:rFonts w:ascii="方正黑体_GBK" w:hAnsi="方正黑体_GBK" w:eastAsia="方正黑体_GBK" w:cs="宋体"/>
                <w:color w:val="000000"/>
                <w:sz w:val="18"/>
                <w:szCs w:val="18"/>
              </w:rPr>
              <w:t>（2）对于暂停接受的部分，管理人将拒绝该部分赎回申请，投资者可在下一个产品开放日再次发起赎回申请。</w:t>
            </w:r>
          </w:p>
          <w:p w14:paraId="52E5ABC0">
            <w:pPr>
              <w:spacing w:line="200" w:lineRule="exact"/>
              <w:jc w:val="left"/>
            </w:pPr>
            <w:r>
              <w:rPr>
                <w:rFonts w:ascii="方正黑体_GBK" w:hAnsi="方正黑体_GBK" w:eastAsia="方正黑体_GBK" w:cs="宋体"/>
                <w:color w:val="000000"/>
                <w:sz w:val="18"/>
                <w:szCs w:val="18"/>
              </w:rPr>
              <w:t>（3）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2.接受部分赎回（2）对于暂停接受的部分”采取措施；投资者选择顺延的，顺延部分管理人将参考“2.接受部分赎回（3）对于延期办理的部分”采取措施。具体服务投资者可详询代销机构，最终以代销机构提供的服务为准。</w:t>
            </w:r>
          </w:p>
        </w:tc>
      </w:tr>
      <w:tr w14:paraId="1E48922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A77018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连续巨额赎回</w:t>
            </w:r>
          </w:p>
        </w:tc>
        <w:tc>
          <w:tcPr>
            <w:tcW w:w="5543" w:type="dxa"/>
            <w:tcBorders>
              <w:top w:val="single" w:color="auto" w:sz="4" w:space="0"/>
              <w:left w:val="nil"/>
              <w:bottom w:val="single" w:color="auto" w:sz="4" w:space="0"/>
              <w:right w:val="single" w:color="auto" w:sz="4" w:space="0"/>
              <w:tl2br w:val="nil"/>
              <w:tr2bl w:val="nil"/>
            </w:tcBorders>
            <w:vAlign w:val="center"/>
          </w:tcPr>
          <w:p w14:paraId="78B96619">
            <w:pPr>
              <w:spacing w:line="200" w:lineRule="exact"/>
            </w:pPr>
            <w:r>
              <w:rPr>
                <w:rFonts w:ascii="方正黑体_GBK" w:hAnsi="方正黑体_GBK" w:eastAsia="方正黑体_GBK" w:cs="宋体"/>
                <w:color w:val="000000"/>
                <w:sz w:val="18"/>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14:paraId="5CD57A9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F4FB1A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暂停接受认申购</w:t>
            </w:r>
          </w:p>
        </w:tc>
        <w:tc>
          <w:tcPr>
            <w:tcW w:w="5543" w:type="dxa"/>
            <w:tcBorders>
              <w:top w:val="single" w:color="auto" w:sz="4" w:space="0"/>
              <w:left w:val="nil"/>
              <w:bottom w:val="single" w:color="auto" w:sz="4" w:space="0"/>
              <w:right w:val="single" w:color="auto" w:sz="4" w:space="0"/>
              <w:tl2br w:val="nil"/>
              <w:tr2bl w:val="nil"/>
            </w:tcBorders>
            <w:vAlign w:val="center"/>
          </w:tcPr>
          <w:p w14:paraId="50880DC9">
            <w:pPr>
              <w:spacing w:line="200" w:lineRule="exact"/>
            </w:pPr>
            <w:r>
              <w:rPr>
                <w:rFonts w:ascii="方正黑体_GBK" w:hAnsi="方正黑体_GBK" w:eastAsia="方正黑体_GBK" w:cs="宋体"/>
                <w:sz w:val="18"/>
                <w:szCs w:val="18"/>
              </w:rPr>
              <w:t>发生下列情形时，管理人可暂停接受投资者认申购申请：</w:t>
            </w:r>
          </w:p>
          <w:p w14:paraId="4F069F78">
            <w:pPr>
              <w:spacing w:line="200" w:lineRule="exact"/>
            </w:pPr>
            <w:r>
              <w:rPr>
                <w:rFonts w:ascii="方正黑体_GBK" w:hAnsi="方正黑体_GBK" w:eastAsia="方正黑体_GBK" w:cs="宋体"/>
                <w:sz w:val="18"/>
                <w:szCs w:val="18"/>
              </w:rPr>
              <w:t>1.因不可抗力导致理财产品无法正常运作；</w:t>
            </w:r>
          </w:p>
          <w:p w14:paraId="4EA4CF9D">
            <w:pPr>
              <w:spacing w:line="200" w:lineRule="exact"/>
            </w:pPr>
            <w:r>
              <w:rPr>
                <w:rFonts w:ascii="方正黑体_GBK" w:hAnsi="方正黑体_GBK" w:eastAsia="方正黑体_GBK" w:cs="宋体"/>
                <w:sz w:val="18"/>
                <w:szCs w:val="18"/>
              </w:rPr>
              <w:t>2.因监管政策、市场发生重大变化，导致理财产品无法正常运作；</w:t>
            </w:r>
          </w:p>
          <w:p w14:paraId="26E539A5">
            <w:pPr>
              <w:spacing w:line="200" w:lineRule="exact"/>
            </w:pPr>
            <w:r>
              <w:rPr>
                <w:rFonts w:ascii="方正黑体_GBK" w:hAnsi="方正黑体_GBK" w:eastAsia="方正黑体_GBK" w:cs="宋体"/>
                <w:sz w:val="18"/>
                <w:szCs w:val="18"/>
              </w:rPr>
              <w:t>3.管理人认为需要暂停认申购的其他情形。</w:t>
            </w:r>
          </w:p>
          <w:p w14:paraId="6EFC4A87">
            <w:pPr>
              <w:spacing w:line="200" w:lineRule="exact"/>
            </w:pPr>
            <w:r>
              <w:rPr>
                <w:rFonts w:ascii="方正黑体_GBK" w:hAnsi="方正黑体_GBK" w:eastAsia="方正黑体_GBK" w:cs="宋体"/>
                <w:b/>
                <w:sz w:val="18"/>
                <w:szCs w:val="18"/>
              </w:rPr>
              <w:t>若管理人暂停接受认申购申请，将在3个交易日内告知该理财产品的投资者，并说明运用相关措施的原因、拟采取的应对安排等。在暂停接受认申购申请期间，投资者需重新进行资金安排。</w:t>
            </w:r>
          </w:p>
        </w:tc>
      </w:tr>
      <w:tr w14:paraId="56D7CB6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2523CE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暂停接受赎回</w:t>
            </w:r>
          </w:p>
        </w:tc>
        <w:tc>
          <w:tcPr>
            <w:tcW w:w="5543" w:type="dxa"/>
            <w:tcBorders>
              <w:top w:val="single" w:color="auto" w:sz="4" w:space="0"/>
              <w:left w:val="nil"/>
              <w:bottom w:val="single" w:color="auto" w:sz="4" w:space="0"/>
              <w:right w:val="single" w:color="auto" w:sz="4" w:space="0"/>
              <w:tl2br w:val="nil"/>
              <w:tr2bl w:val="nil"/>
            </w:tcBorders>
            <w:vAlign w:val="center"/>
          </w:tcPr>
          <w:p w14:paraId="3F2AC6A1">
            <w:pPr>
              <w:spacing w:line="200" w:lineRule="exact"/>
            </w:pPr>
            <w:r>
              <w:rPr>
                <w:rFonts w:ascii="方正黑体_GBK" w:hAnsi="方正黑体_GBK" w:eastAsia="方正黑体_GBK" w:cs="宋体"/>
                <w:sz w:val="18"/>
                <w:szCs w:val="18"/>
              </w:rPr>
              <w:t>当本理财产品的当期赎回量超过上期理财产品规模的20%时，管理人有权暂停接受投资者的赎回申请，已经接受的赎回申请管理人有权延缓支付赎回款项，延缓期限不超过20个工作日。</w:t>
            </w:r>
          </w:p>
          <w:p w14:paraId="2DDA8DD1">
            <w:pPr>
              <w:spacing w:line="200" w:lineRule="exact"/>
            </w:pPr>
            <w:r>
              <w:rPr>
                <w:rFonts w:ascii="方正黑体_GBK" w:hAnsi="方正黑体_GBK" w:eastAsia="方正黑体_GBK" w:cs="宋体"/>
                <w:b/>
                <w:sz w:val="18"/>
                <w:szCs w:val="18"/>
              </w:rPr>
              <w:t>如发生以上暂停的情况，管理人将在3个交易日内告知投资者，并说明运用相关措施的原因、拟采取的应对安排等，投资者需重新进行资金安排。</w:t>
            </w:r>
          </w:p>
        </w:tc>
      </w:tr>
      <w:tr w14:paraId="12AEAE3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5B7F96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1E23ED5A">
            <w:pPr>
              <w:spacing w:line="200" w:lineRule="exact"/>
              <w:jc w:val="left"/>
            </w:pPr>
            <w:r>
              <w:rPr>
                <w:rFonts w:ascii="方正黑体_GBK" w:hAnsi="方正黑体_GBK" w:eastAsia="方正黑体_GBK" w:cs="宋体"/>
                <w:sz w:val="18"/>
                <w:szCs w:val="18"/>
              </w:rPr>
              <w:t>1.本理财产品开放日内非操作时间不能进行申购/赎回申请，封闭期内不开放申购/赎回申请。</w:t>
            </w:r>
          </w:p>
          <w:p w14:paraId="3ABAE53F">
            <w:pPr>
              <w:spacing w:line="200" w:lineRule="exact"/>
              <w:jc w:val="left"/>
            </w:pPr>
            <w:r>
              <w:rPr>
                <w:rFonts w:ascii="方正黑体_GBK" w:hAnsi="方正黑体_GBK" w:eastAsia="方正黑体_GBK" w:cs="宋体"/>
                <w:sz w:val="18"/>
                <w:szCs w:val="18"/>
              </w:rPr>
              <w:t>2.管理人在本理财产品存续期间按照监管规定进行信息披露，详见本理财产品说明书第五条信息披露。</w:t>
            </w:r>
          </w:p>
          <w:p w14:paraId="64A1D646">
            <w:pPr>
              <w:spacing w:line="200" w:lineRule="exact"/>
              <w:jc w:val="left"/>
            </w:pPr>
            <w:r>
              <w:rPr>
                <w:rFonts w:ascii="方正黑体_GBK" w:hAnsi="方正黑体_GBK" w:eastAsia="方正黑体_GBK" w:cs="宋体"/>
                <w:b/>
                <w:sz w:val="18"/>
                <w:szCs w:val="18"/>
              </w:rPr>
              <w:t>3.本理财产品投资的资产管理产品的业绩报酬、赎回费等的提取（如有）可能造成本理财产品净值的下降。</w:t>
            </w:r>
          </w:p>
          <w:p w14:paraId="7A1BE3A3">
            <w:pPr>
              <w:spacing w:line="200" w:lineRule="exact"/>
            </w:pPr>
            <w:r>
              <w:rPr>
                <w:rFonts w:ascii="方正黑体_GBK" w:hAnsi="方正黑体_GBK" w:eastAsia="方正黑体_GBK" w:cs="宋体"/>
                <w:b/>
                <w:sz w:val="18"/>
                <w:szCs w:val="18"/>
              </w:rPr>
              <w:t>4.本理财产品可能投资不存在活跃交易市场且需要采用估值技术确定公允价值的资产，且计划投资前述资产的比例达到本理财产品净资产50%以上（“以上”含本数）。</w:t>
            </w:r>
          </w:p>
        </w:tc>
      </w:tr>
      <w:tr w14:paraId="5EB92B2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8D856A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765B8B03">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1EF520DA">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69FD26B9">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0EBE85FF">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7B968DEB">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13B0AD7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01B5508C">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6CEA390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49EAA91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4B979DE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287A288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00F83F21">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7F6AB7C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10B2B3B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69BD601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0521BE5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068E139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50FBD52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02136278">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6216A0D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1F75913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723B150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295220B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39202E6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5DF63DF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5D0FDFE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12261FD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2C10ED4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03C42E7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069ED5E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5D4AF99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38D6A6A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55C452B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33DE8BC8">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南银理财珠联璧合安稳1907一年定开公募人民币理财产品</w:t>
      </w:r>
      <w:r>
        <w:rPr>
          <w:rFonts w:hint="eastAsia" w:ascii="方正黑体_GBK" w:hAnsi="方正黑体_GBK" w:eastAsia="方正黑体_GBK"/>
          <w:vanish w:val="0"/>
          <w:color w:val="3D3D3D"/>
          <w:kern w:val="0"/>
          <w:sz w:val="15"/>
          <w:szCs w:val="15"/>
        </w:rPr>
        <w:t>。</w:t>
      </w:r>
    </w:p>
    <w:p w14:paraId="7465213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79E807D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384D317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1EF8010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472B39D0">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4DCA596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1C93D84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3843A26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3D5F297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7ABD84E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444FB86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55AD953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02AD9AE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7AF11BC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5423430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1F207EF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7B86512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693EF319">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57B29D9A">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7BEE1E8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6A38751B">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67165EFE">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7C9FF49F">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536C789C">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45B5536B">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65B633A9">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0973BF29">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58518178">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33F82EF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712CD2CF">
      <w:pPr>
        <w:spacing w:line="200" w:lineRule="exact"/>
        <w:ind w:firstLine="280"/>
        <w:jc w:val="left"/>
      </w:pPr>
      <w:r>
        <w:rPr>
          <w:rFonts w:ascii="方正黑体_GBK" w:hAnsi="方正黑体_GBK" w:eastAsia="方正黑体_GBK" w:cs="宋体"/>
          <w:sz w:val="15"/>
          <w:szCs w:val="20"/>
        </w:rPr>
        <w:t>假设：投资者认购本理财产品10万元，成立日当日产品净值为1.0000元，折算份额100,000份。</w:t>
      </w:r>
    </w:p>
    <w:p w14:paraId="520047B1">
      <w:pPr>
        <w:spacing w:line="200" w:lineRule="exact"/>
        <w:ind w:firstLine="280"/>
        <w:jc w:val="left"/>
      </w:pPr>
      <w:r>
        <w:rPr>
          <w:rFonts w:ascii="方正黑体_GBK" w:hAnsi="方正黑体_GBK" w:eastAsia="方正黑体_GBK" w:cs="宋体"/>
          <w:sz w:val="15"/>
          <w:szCs w:val="20"/>
        </w:rPr>
        <w:t>情景示例一：产品赎回确认时，扣除所有税费后（如有业绩报酬，已扣除）的赎回确认每份额净值为1.0300，则客户在资金到帐日收到到期款项为103,000元。</w:t>
      </w:r>
    </w:p>
    <w:p w14:paraId="6809A6A4">
      <w:pPr>
        <w:spacing w:line="200" w:lineRule="exact"/>
        <w:ind w:firstLine="280"/>
        <w:jc w:val="left"/>
      </w:pPr>
      <w:r>
        <w:rPr>
          <w:rFonts w:ascii="方正黑体_GBK" w:hAnsi="方正黑体_GBK" w:eastAsia="方正黑体_GBK" w:cs="宋体"/>
          <w:sz w:val="15"/>
          <w:szCs w:val="20"/>
        </w:rPr>
        <w:t>情景示例二：产品赎回确认时，扣除所有税费后（如有业绩报酬，已扣除）的赎回确认每份额净值为0.9700，则客户在资金到帐日收到到期款项为97,000元。</w:t>
      </w:r>
    </w:p>
    <w:p w14:paraId="78A73470">
      <w:pPr>
        <w:spacing w:line="200" w:lineRule="exact"/>
      </w:pPr>
      <w:r>
        <w:rPr>
          <w:rFonts w:ascii="方正黑体_GBK" w:hAnsi="方正黑体_GBK" w:eastAsia="方正黑体_GBK" w:cs="宋体"/>
          <w:sz w:val="15"/>
          <w:szCs w:val="20"/>
        </w:rPr>
        <w:t xml:space="preserve"> 以上数据为假设情形中的模拟数据，不代表实际收益，投资须谨慎。</w:t>
      </w:r>
    </w:p>
    <w:p w14:paraId="4CC083F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36CC8A20">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387B7E2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491EB207">
      <w:pPr>
        <w:spacing w:line="200" w:lineRule="exact"/>
        <w:ind w:firstLine="300"/>
        <w:jc w:val="both"/>
      </w:pPr>
      <w:r>
        <w:rPr>
          <w:rFonts w:ascii="方正黑体_GBK" w:hAnsi="方正黑体_GBK" w:eastAsia="方正黑体_GBK" w:cs="宋体"/>
          <w:sz w:val="15"/>
          <w:szCs w:val="20"/>
        </w:rPr>
        <w:t>（一）估值日</w:t>
      </w:r>
    </w:p>
    <w:p w14:paraId="79D8BE8B">
      <w:pPr>
        <w:spacing w:line="200" w:lineRule="exact"/>
        <w:ind w:firstLine="300"/>
        <w:jc w:val="both"/>
      </w:pPr>
      <w:r>
        <w:rPr>
          <w:rFonts w:ascii="方正黑体_GBK" w:hAnsi="方正黑体_GBK" w:eastAsia="方正黑体_GBK" w:cs="宋体"/>
          <w:sz w:val="15"/>
          <w:szCs w:val="20"/>
        </w:rPr>
        <w:t>本理财产品每个工作日进行估值。</w:t>
      </w:r>
    </w:p>
    <w:p w14:paraId="32C79151">
      <w:pPr>
        <w:spacing w:line="200" w:lineRule="exact"/>
        <w:ind w:firstLine="300"/>
        <w:jc w:val="both"/>
      </w:pPr>
      <w:r>
        <w:rPr>
          <w:rFonts w:ascii="方正黑体_GBK" w:hAnsi="方正黑体_GBK" w:eastAsia="方正黑体_GBK" w:cs="宋体"/>
          <w:sz w:val="15"/>
          <w:szCs w:val="20"/>
        </w:rPr>
        <w:t>（二）估值对象</w:t>
      </w:r>
    </w:p>
    <w:p w14:paraId="0FEA4B2C">
      <w:pPr>
        <w:spacing w:line="200" w:lineRule="exact"/>
        <w:ind w:firstLine="300"/>
        <w:jc w:val="both"/>
      </w:pPr>
      <w:r>
        <w:rPr>
          <w:rFonts w:ascii="方正黑体_GBK" w:hAnsi="方正黑体_GBK" w:eastAsia="方正黑体_GBK" w:cs="宋体"/>
          <w:sz w:val="15"/>
          <w:szCs w:val="20"/>
        </w:rPr>
        <w:t>本理财产品所拥有的所有资产及负债。</w:t>
      </w:r>
    </w:p>
    <w:p w14:paraId="6FC86D84">
      <w:pPr>
        <w:spacing w:line="200" w:lineRule="exact"/>
        <w:ind w:firstLine="300"/>
        <w:jc w:val="both"/>
      </w:pPr>
      <w:r>
        <w:rPr>
          <w:rFonts w:ascii="方正黑体_GBK" w:hAnsi="方正黑体_GBK" w:eastAsia="方正黑体_GBK" w:cs="宋体"/>
          <w:sz w:val="15"/>
          <w:szCs w:val="20"/>
        </w:rPr>
        <w:t>（三）估值目的</w:t>
      </w:r>
    </w:p>
    <w:p w14:paraId="1D13069B">
      <w:pPr>
        <w:spacing w:line="200" w:lineRule="exact"/>
        <w:ind w:firstLine="300"/>
        <w:jc w:val="both"/>
      </w:pPr>
      <w:r>
        <w:rPr>
          <w:rFonts w:ascii="方正黑体_GBK" w:hAnsi="方正黑体_GBK" w:eastAsia="方正黑体_GBK" w:cs="宋体"/>
          <w:sz w:val="15"/>
          <w:szCs w:val="20"/>
        </w:rPr>
        <w:t>客观、准确反映理财产品的价值。</w:t>
      </w:r>
    </w:p>
    <w:p w14:paraId="378DF52F">
      <w:pPr>
        <w:spacing w:line="200" w:lineRule="exact"/>
        <w:ind w:firstLine="300"/>
        <w:jc w:val="both"/>
      </w:pPr>
      <w:r>
        <w:rPr>
          <w:rFonts w:ascii="方正黑体_GBK" w:hAnsi="方正黑体_GBK" w:eastAsia="方正黑体_GBK" w:cs="宋体"/>
          <w:sz w:val="15"/>
          <w:szCs w:val="20"/>
        </w:rPr>
        <w:t>（四）估值原则</w:t>
      </w:r>
    </w:p>
    <w:p w14:paraId="0BD98077">
      <w:pPr>
        <w:spacing w:line="200" w:lineRule="exact"/>
        <w:ind w:firstLine="300"/>
        <w:jc w:val="both"/>
      </w:pPr>
      <w:r>
        <w:rPr>
          <w:rFonts w:ascii="方正黑体_GBK" w:hAnsi="方正黑体_GBK" w:eastAsia="方正黑体_GBK" w:cs="宋体"/>
          <w:sz w:val="15"/>
          <w:szCs w:val="20"/>
        </w:rPr>
        <w:t>理财产品应坚持公允价值计量原则，符合会计准则和监管规定的范围内的可选择摊余成本法计量。</w:t>
      </w:r>
    </w:p>
    <w:p w14:paraId="524E723A">
      <w:pPr>
        <w:spacing w:line="200" w:lineRule="exact"/>
        <w:ind w:firstLine="300"/>
        <w:jc w:val="both"/>
      </w:pPr>
      <w:r>
        <w:rPr>
          <w:rFonts w:ascii="方正黑体_GBK" w:hAnsi="方正黑体_GBK" w:eastAsia="方正黑体_GBK" w:cs="宋体"/>
          <w:sz w:val="15"/>
          <w:szCs w:val="20"/>
        </w:rPr>
        <w:t>（五）估值方法</w:t>
      </w:r>
    </w:p>
    <w:p w14:paraId="4C87E34E">
      <w:pPr>
        <w:spacing w:line="200" w:lineRule="exact"/>
        <w:ind w:firstLine="280"/>
        <w:jc w:val="left"/>
      </w:pPr>
      <w:r>
        <w:rPr>
          <w:rFonts w:ascii="方正黑体_GBK" w:hAnsi="方正黑体_GBK" w:eastAsia="方正黑体_GBK" w:cs="宋体"/>
          <w:sz w:val="15"/>
          <w:szCs w:val="20"/>
        </w:rPr>
        <w:t>估值方法中列示的资产品种不代表管理人的实际投向，本理财产品拟投资范围以“投资范围”章节描述为准。</w:t>
      </w:r>
    </w:p>
    <w:p w14:paraId="64F32A7A">
      <w:pPr>
        <w:spacing w:line="200" w:lineRule="exact"/>
        <w:ind w:firstLine="280"/>
        <w:jc w:val="left"/>
      </w:pPr>
      <w:r>
        <w:rPr>
          <w:rFonts w:ascii="方正黑体_GBK" w:hAnsi="方正黑体_GBK" w:eastAsia="方正黑体_GBK" w:cs="宋体"/>
          <w:sz w:val="15"/>
          <w:szCs w:val="20"/>
        </w:rPr>
        <w:t>1.银行存款、回购等货币市场工具</w:t>
      </w:r>
    </w:p>
    <w:p w14:paraId="70E3E1AB">
      <w:pPr>
        <w:spacing w:line="200" w:lineRule="exact"/>
        <w:ind w:firstLine="280"/>
        <w:jc w:val="left"/>
      </w:pPr>
      <w:r>
        <w:rPr>
          <w:rFonts w:ascii="方正黑体_GBK" w:hAnsi="方正黑体_GBK" w:eastAsia="方正黑体_GBK" w:cs="宋体"/>
          <w:sz w:val="15"/>
          <w:szCs w:val="20"/>
        </w:rPr>
        <w:t>以本金列示，按商定的利率在实际持有期间内逐日计提。</w:t>
      </w:r>
    </w:p>
    <w:p w14:paraId="4388F2AB">
      <w:pPr>
        <w:spacing w:line="200" w:lineRule="exact"/>
        <w:ind w:firstLine="280"/>
        <w:jc w:val="left"/>
      </w:pPr>
      <w:r>
        <w:rPr>
          <w:rFonts w:ascii="方正黑体_GBK" w:hAnsi="方正黑体_GBK" w:eastAsia="方正黑体_GBK" w:cs="宋体"/>
          <w:color w:val="3D3D3D"/>
          <w:sz w:val="15"/>
          <w:szCs w:val="20"/>
        </w:rPr>
        <w:t>2.债券类资产</w:t>
      </w:r>
    </w:p>
    <w:p w14:paraId="7E650E0E">
      <w:pPr>
        <w:spacing w:line="200" w:lineRule="exact"/>
        <w:ind w:firstLine="280"/>
        <w:jc w:val="left"/>
      </w:pPr>
      <w:r>
        <w:rPr>
          <w:rFonts w:ascii="方正黑体_GBK" w:hAnsi="方正黑体_GBK" w:eastAsia="方正黑体_GBK" w:cs="宋体"/>
          <w:color w:val="3D3D3D"/>
          <w:sz w:val="15"/>
          <w:szCs w:val="20"/>
        </w:rPr>
        <w:t>本理财产品所投债券均在全国银行间债券市场或证券交易所市场交易，按照第三方估值机构提供的相应品种当日的估值净价或最近交易日的收盘价进行估值。因经济环境发生重大变化或债券发行主体发生重大事件等，导致债券价格发生重大变化的或导致债券发行主体无法履行应尽的偿债义务等情况，经管理人合理判断后，参考第三方估值机构提供的估值数据等，对该债券的价值进行重估，并合理确定后续估值方法。若因其交易不活跃或未来现金流难以确认等客观原因，导致第三方估值机构提供的估值数据无法反映其公允价值的，经管理人和托管人协商一致后，可采用其他合理的估值技术对其进行估值。对于符合企业会计准则及监管规定范围内的，分类为“以摊余成本计量的金融资产”的资产按摊余成本法估值，并按照会计准则采用合理减值计量模型或第三方减值计量结果进行预期信用损失的减值计提。未上市债券（指买入的债券已起息但尚未在全国银行间债券市场或证券交易所市场上市的阶段）按其成本估值，应收利息按债券发行利率逐日计提，计入理财产品的当日净值。如二级市场交易价格显著偏离或有其他证据显示成本无法作为合理参考的，根据实际情况调整估值方法。</w:t>
      </w:r>
    </w:p>
    <w:p w14:paraId="698684BD">
      <w:pPr>
        <w:spacing w:line="200" w:lineRule="exact"/>
        <w:ind w:firstLine="280"/>
        <w:jc w:val="left"/>
      </w:pPr>
      <w:r>
        <w:rPr>
          <w:rFonts w:ascii="方正黑体_GBK" w:hAnsi="方正黑体_GBK" w:eastAsia="方正黑体_GBK" w:cs="宋体"/>
          <w:color w:val="3D3D3D"/>
          <w:sz w:val="15"/>
          <w:szCs w:val="20"/>
        </w:rPr>
        <w:t>3.非标准化债权类资产</w:t>
      </w:r>
    </w:p>
    <w:p w14:paraId="443B3828">
      <w:pPr>
        <w:spacing w:line="200" w:lineRule="exact"/>
        <w:ind w:firstLine="280"/>
        <w:jc w:val="left"/>
      </w:pPr>
      <w:r>
        <w:rPr>
          <w:rFonts w:ascii="方正黑体_GBK" w:hAnsi="方正黑体_GBK" w:eastAsia="方正黑体_GBK" w:cs="宋体"/>
          <w:color w:val="3D3D3D"/>
          <w:sz w:val="15"/>
          <w:szCs w:val="20"/>
        </w:rPr>
        <w:t>非标准化债权类资产包括股票质押式回购、同业借款、应收账款、收受益权、收益凭证、各类资产支持计划等资产，以及其他符合监管要求的非标准化债权类资产等。非标准化债权类资产的公允价值计量根据具体资产合同约定要素，合理采用估值技术进行估值。对于符合企业会计准则及监管规定范围内的，分类为“以摊余成本计量的金融资产”的资产按摊余成本法估值，并按照会计准则采用合理减值计量模型或第三方减值计量结果进行预期信用损失的减值计提。</w:t>
      </w:r>
    </w:p>
    <w:p w14:paraId="49536470">
      <w:pPr>
        <w:spacing w:line="200" w:lineRule="exact"/>
        <w:ind w:firstLine="280"/>
        <w:jc w:val="left"/>
      </w:pPr>
      <w:r>
        <w:rPr>
          <w:rFonts w:ascii="方正黑体_GBK" w:hAnsi="方正黑体_GBK" w:eastAsia="方正黑体_GBK" w:cs="宋体"/>
          <w:color w:val="3D3D3D"/>
          <w:sz w:val="15"/>
          <w:szCs w:val="20"/>
        </w:rPr>
        <w:t>4.证券投资基金</w:t>
      </w:r>
    </w:p>
    <w:p w14:paraId="1DB441E1">
      <w:pPr>
        <w:spacing w:line="200" w:lineRule="exact"/>
        <w:ind w:firstLine="280"/>
        <w:jc w:val="left"/>
      </w:pPr>
      <w:r>
        <w:rPr>
          <w:rFonts w:ascii="方正黑体_GBK" w:hAnsi="方正黑体_GBK" w:eastAsia="方正黑体_GBK" w:cs="宋体"/>
          <w:color w:val="3D3D3D"/>
          <w:sz w:val="15"/>
          <w:szCs w:val="20"/>
        </w:rPr>
        <w:t>非上市证券投资基金估值以基金管理人出具的基金净资产管理估值报告或分红确认单为准。上市证券投资基金按所投资基金最近一个估值日的份额净值或收盘价进行估值；境内上市交易型货币市场基金，如所投资基金披露份额净值，则按所投资基金最近一个估值日的份额净值估值；如所投资基金披露万份（百份）收益，则按所投资基金前一估值日后至估值日期间（含节假日）的万份（百份）收益计提估值日基金收益。</w:t>
      </w:r>
    </w:p>
    <w:p w14:paraId="4594B4CA">
      <w:pPr>
        <w:spacing w:line="200" w:lineRule="exact"/>
        <w:ind w:firstLine="280"/>
        <w:jc w:val="left"/>
      </w:pPr>
      <w:r>
        <w:rPr>
          <w:rFonts w:ascii="方正黑体_GBK" w:hAnsi="方正黑体_GBK" w:eastAsia="方正黑体_GBK" w:cs="宋体"/>
          <w:color w:val="3D3D3D"/>
          <w:sz w:val="15"/>
          <w:szCs w:val="20"/>
        </w:rPr>
        <w:t>5.股权类资产</w:t>
      </w:r>
    </w:p>
    <w:p w14:paraId="28E97AB7">
      <w:pPr>
        <w:spacing w:line="200" w:lineRule="exact"/>
        <w:ind w:firstLine="280"/>
        <w:jc w:val="left"/>
      </w:pPr>
      <w:r>
        <w:rPr>
          <w:rFonts w:ascii="方正黑体_GBK" w:hAnsi="方正黑体_GBK" w:eastAsia="方正黑体_GBK" w:cs="宋体"/>
          <w:color w:val="3D3D3D"/>
          <w:sz w:val="15"/>
          <w:szCs w:val="20"/>
        </w:rPr>
        <w:t>上市流通股票按估值日其所在证券交易所的收盘价估值；估值日无交易，且最近交易日后未发生影响公允价值计量的重大事件的，以最近交易日的收盘价估值，如最近交易日后发生影响影响公允价值计量的重大事件的，可参考类似品种的现行价格及重大变化因素，调整最近交易日的收盘价确定公允价值。交易不活跃股权和非上市股权存在公允价值的，按照公允价值估值，或采用估值技术确定估值，也可采用被委托机构提供的估值或计量报告。</w:t>
      </w:r>
    </w:p>
    <w:p w14:paraId="454BB585">
      <w:pPr>
        <w:spacing w:line="200" w:lineRule="exact"/>
        <w:ind w:firstLine="280"/>
        <w:jc w:val="left"/>
      </w:pPr>
      <w:r>
        <w:rPr>
          <w:rFonts w:ascii="方正黑体_GBK" w:hAnsi="方正黑体_GBK" w:eastAsia="方正黑体_GBK" w:cs="宋体"/>
          <w:color w:val="3D3D3D"/>
          <w:sz w:val="15"/>
          <w:szCs w:val="20"/>
        </w:rPr>
        <w:t>6.资管计划、信托计划等资产</w:t>
      </w:r>
    </w:p>
    <w:p w14:paraId="5E174034">
      <w:pPr>
        <w:spacing w:line="200" w:lineRule="exact"/>
        <w:ind w:firstLine="280"/>
        <w:jc w:val="left"/>
      </w:pPr>
      <w:r>
        <w:rPr>
          <w:rFonts w:ascii="方正黑体_GBK" w:hAnsi="方正黑体_GBK" w:eastAsia="方正黑体_GBK" w:cs="宋体"/>
          <w:color w:val="3D3D3D"/>
          <w:sz w:val="15"/>
          <w:szCs w:val="20"/>
        </w:rPr>
        <w:t>存在公允价值的，按照公允价值估值，或采用估值技术确定估值，也可采用被委托机构提供的估值或计量报告。</w:t>
      </w:r>
    </w:p>
    <w:p w14:paraId="6478AD3D">
      <w:pPr>
        <w:spacing w:line="200" w:lineRule="exact"/>
        <w:ind w:firstLine="280"/>
        <w:jc w:val="left"/>
      </w:pPr>
      <w:r>
        <w:rPr>
          <w:rFonts w:ascii="方正黑体_GBK" w:hAnsi="方正黑体_GBK" w:eastAsia="方正黑体_GBK" w:cs="宋体"/>
          <w:color w:val="3D3D3D"/>
          <w:sz w:val="15"/>
          <w:szCs w:val="20"/>
        </w:rPr>
        <w:t>7.其他资产</w:t>
      </w:r>
    </w:p>
    <w:p w14:paraId="3F690030">
      <w:pPr>
        <w:spacing w:line="200" w:lineRule="exact"/>
        <w:ind w:firstLine="280"/>
        <w:jc w:val="left"/>
      </w:pPr>
      <w:r>
        <w:rPr>
          <w:rFonts w:ascii="方正黑体_GBK" w:hAnsi="方正黑体_GBK" w:eastAsia="方正黑体_GBK" w:cs="宋体"/>
          <w:color w:val="3D3D3D"/>
          <w:sz w:val="15"/>
          <w:szCs w:val="20"/>
        </w:rPr>
        <w:t>存在公允价值的，按照公允价值估值，或采用估值技术确定估值，也可采用被委托机构提供的估值或计量报告。具体可参考《企业会计准则》以及相关监管政策的规定。</w:t>
      </w:r>
    </w:p>
    <w:p w14:paraId="221AEF86">
      <w:pPr>
        <w:spacing w:line="200" w:lineRule="exact"/>
        <w:ind w:firstLine="280"/>
        <w:jc w:val="left"/>
      </w:pPr>
      <w:r>
        <w:rPr>
          <w:rFonts w:ascii="方正黑体_GBK" w:hAnsi="方正黑体_GBK" w:eastAsia="方正黑体_GBK" w:cs="宋体"/>
          <w:color w:val="3D3D3D"/>
          <w:sz w:val="15"/>
          <w:szCs w:val="20"/>
        </w:rPr>
        <w:t>8.如果管理人或托管人认为按以上规定的方法对产品资产进行估值不能客观反映其公允价值的，可提出异议，管理人和托管人协商一致后，变更公允价值的确定方式，并从经管理人与托管人协商一致日起执行。</w:t>
      </w:r>
    </w:p>
    <w:p w14:paraId="78751789">
      <w:pPr>
        <w:spacing w:line="200" w:lineRule="exact"/>
        <w:ind w:firstLine="280"/>
        <w:jc w:val="left"/>
      </w:pPr>
      <w:r>
        <w:rPr>
          <w:rFonts w:ascii="方正黑体_GBK" w:hAnsi="方正黑体_GBK" w:eastAsia="方正黑体_GBK" w:cs="宋体"/>
          <w:color w:val="3D3D3D"/>
          <w:sz w:val="15"/>
          <w:szCs w:val="20"/>
        </w:rPr>
        <w:t>9.如有新增事项或变更事项，按国家最新规定或管理人最新的约定估值。</w:t>
      </w:r>
    </w:p>
    <w:p w14:paraId="314AAAB8">
      <w:pPr>
        <w:spacing w:line="200" w:lineRule="exact"/>
        <w:ind w:firstLine="280"/>
        <w:jc w:val="left"/>
      </w:pPr>
      <w:r>
        <w:rPr>
          <w:rFonts w:ascii="方正黑体_GBK" w:hAnsi="方正黑体_GBK" w:eastAsia="方正黑体_GBK" w:cs="宋体"/>
          <w:sz w:val="15"/>
          <w:szCs w:val="20"/>
        </w:rPr>
        <w:t>开放式理财产品在前一估值日内，产品资产净值50%以上的资产不具备活跃交易市场或者在活跃市场中无报价，且不能采用估值技术可靠计量公允价值的，管理人将暂停该产品估值，并采取延缓支付赎回款项或暂停接受理财产品认购、申购、赎回申请等措施。管理人将在采取上述一种或多种措施后3个交易日内告知投资者，并说明运用相关措施的原因、拟采取的应对安排等，投资者需重新进行资金安排。</w:t>
      </w:r>
    </w:p>
    <w:p w14:paraId="363C0329">
      <w:pPr>
        <w:spacing w:line="200" w:lineRule="exact"/>
        <w:ind w:firstLine="300"/>
        <w:jc w:val="both"/>
      </w:pPr>
      <w:r>
        <w:rPr>
          <w:rFonts w:ascii="方正黑体_GBK" w:hAnsi="方正黑体_GBK" w:eastAsia="方正黑体_GBK" w:cs="宋体"/>
          <w:sz w:val="15"/>
          <w:szCs w:val="20"/>
        </w:rPr>
        <w:t>（六）估值错误及暂停估值</w:t>
      </w:r>
    </w:p>
    <w:p w14:paraId="166BC17F">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金融监督管理总局或理财产品合同认定其他情形的，理财产品管理人与托管人协商后可选择暂停估值。</w:t>
      </w:r>
    </w:p>
    <w:p w14:paraId="703304E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32E167A6">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4EFDF041">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611FF64E">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766C946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679DCF4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按月</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161F841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3B20CD4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694FA03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219034D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273ECD9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19E4FB8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0C04B56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1E0B4DA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60D7DCC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7883FC4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040F122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2F5FCDC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4A5E099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040D9CC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32F4BB8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367DAFE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72B838A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42ACE29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038D8319">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60B5055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4D9EE34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437DF91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00EED38E">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2AB447F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159F5177">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19D5440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1ED91A4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4BE77B5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4C08385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148DD60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73AD2A0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4F623700">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定期开放式、固定收益类、公募、净值型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133655">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55D7178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70681d05"/>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e84a7c02"/>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22bedaf8"/>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1ca596f4"/>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8cb5cd98"/>
    <w:qFormat/>
    <w:uiPriority w:val="0"/>
  </w:style>
  <w:style w:type="paragraph" w:customStyle="1" w:styleId="20">
    <w:name w:val="toc 1405b3d04"/>
    <w:basedOn w:val="15"/>
    <w:next w:val="1"/>
    <w:autoRedefine/>
    <w:qFormat/>
    <w:uiPriority w:val="0"/>
  </w:style>
  <w:style w:type="paragraph" w:customStyle="1" w:styleId="21">
    <w:name w:val="toc 2bc4718e0"/>
    <w:basedOn w:val="15"/>
    <w:next w:val="1"/>
    <w:autoRedefine/>
    <w:qFormat/>
    <w:uiPriority w:val="0"/>
    <w:pPr>
      <w:ind w:left="420"/>
    </w:pPr>
  </w:style>
  <w:style w:type="paragraph" w:customStyle="1" w:styleId="22">
    <w:name w:val="toc 39bbb6149"/>
    <w:basedOn w:val="15"/>
    <w:next w:val="1"/>
    <w:autoRedefine/>
    <w:qFormat/>
    <w:uiPriority w:val="0"/>
    <w:pPr>
      <w:ind w:left="840"/>
    </w:pPr>
  </w:style>
  <w:style w:type="paragraph" w:customStyle="1" w:styleId="23">
    <w:name w:val="toc 42bdf0f75"/>
    <w:basedOn w:val="15"/>
    <w:next w:val="1"/>
    <w:autoRedefine/>
    <w:qFormat/>
    <w:uiPriority w:val="0"/>
    <w:pPr>
      <w:ind w:left="1260"/>
    </w:pPr>
  </w:style>
  <w:style w:type="paragraph" w:customStyle="1" w:styleId="24">
    <w:name w:val="toc 5f92b039b"/>
    <w:basedOn w:val="15"/>
    <w:next w:val="1"/>
    <w:autoRedefine/>
    <w:qFormat/>
    <w:uiPriority w:val="0"/>
    <w:pPr>
      <w:ind w:left="1680"/>
    </w:pPr>
  </w:style>
  <w:style w:type="paragraph" w:customStyle="1" w:styleId="25">
    <w:name w:val="headerfe1ff844"/>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870c9791"/>
    <w:basedOn w:val="15"/>
    <w:qFormat/>
    <w:uiPriority w:val="0"/>
    <w:pPr>
      <w:tabs>
        <w:tab w:val="center" w:pos="4153"/>
        <w:tab w:val="right" w:pos="8307"/>
      </w:tabs>
      <w:adjustRightInd/>
      <w:snapToGrid w:val="0"/>
      <w:contextualSpacing w:val="0"/>
      <w:jc w:val="left"/>
    </w:pPr>
    <w:rPr>
      <w:sz w:val="18"/>
    </w:rPr>
  </w:style>
  <w:style w:type="character" w:customStyle="1" w:styleId="27">
    <w:name w:val="Strongb2e8ec63"/>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a2536bce"/>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fef2e71b"/>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3595cfa4"/>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8e48a58b"/>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0e489098"/>
    <w:qFormat/>
    <w:uiPriority w:val="0"/>
  </w:style>
  <w:style w:type="paragraph" w:customStyle="1" w:styleId="34">
    <w:name w:val="Normal Indentf9e4d0c0"/>
    <w:basedOn w:val="29"/>
    <w:qFormat/>
    <w:uiPriority w:val="0"/>
    <w:pPr>
      <w:ind w:firstLine="200" w:firstLineChars="200"/>
    </w:pPr>
  </w:style>
  <w:style w:type="paragraph" w:customStyle="1" w:styleId="35">
    <w:name w:val="toc 503bc836e"/>
    <w:basedOn w:val="29"/>
    <w:next w:val="1"/>
    <w:uiPriority w:val="0"/>
    <w:pPr>
      <w:ind w:left="1680"/>
    </w:pPr>
  </w:style>
  <w:style w:type="paragraph" w:customStyle="1" w:styleId="36">
    <w:name w:val="toc 37f8782ea"/>
    <w:basedOn w:val="29"/>
    <w:next w:val="1"/>
    <w:qFormat/>
    <w:uiPriority w:val="0"/>
    <w:pPr>
      <w:ind w:left="840"/>
    </w:pPr>
  </w:style>
  <w:style w:type="paragraph" w:customStyle="1" w:styleId="37">
    <w:name w:val="footerca0e297e"/>
    <w:basedOn w:val="29"/>
    <w:uiPriority w:val="0"/>
    <w:pPr>
      <w:tabs>
        <w:tab w:val="center" w:pos="4153"/>
        <w:tab w:val="right" w:pos="8307"/>
      </w:tabs>
      <w:adjustRightInd/>
      <w:snapToGrid w:val="0"/>
      <w:contextualSpacing w:val="0"/>
      <w:jc w:val="left"/>
    </w:pPr>
    <w:rPr>
      <w:sz w:val="18"/>
    </w:rPr>
  </w:style>
  <w:style w:type="paragraph" w:customStyle="1" w:styleId="38">
    <w:name w:val="headerb291445a"/>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65fc1250"/>
    <w:basedOn w:val="29"/>
    <w:next w:val="1"/>
    <w:qFormat/>
    <w:uiPriority w:val="0"/>
  </w:style>
  <w:style w:type="paragraph" w:customStyle="1" w:styleId="40">
    <w:name w:val="toc 451b09729"/>
    <w:basedOn w:val="29"/>
    <w:next w:val="1"/>
    <w:uiPriority w:val="0"/>
    <w:pPr>
      <w:ind w:left="1260"/>
    </w:pPr>
  </w:style>
  <w:style w:type="paragraph" w:customStyle="1" w:styleId="41">
    <w:name w:val="toc 2352ee8fe"/>
    <w:basedOn w:val="29"/>
    <w:next w:val="1"/>
    <w:qFormat/>
    <w:uiPriority w:val="0"/>
    <w:pPr>
      <w:ind w:left="420"/>
    </w:pPr>
  </w:style>
  <w:style w:type="paragraph" w:customStyle="1" w:styleId="42">
    <w:name w:val="Normal (Web)cfb33652"/>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f90b4d1ef90b4d1e"/>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4ee4b2154ee4b215"/>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8fb9ce288fb9ce28"/>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27bae7b527bae7b5"/>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2e8f4a2a2e8f4a2a"/>
    <w:qFormat/>
    <w:uiPriority w:val="0"/>
  </w:style>
  <w:style w:type="paragraph" w:customStyle="1" w:styleId="49">
    <w:name w:val="引文目录191756a9f91756a9f"/>
    <w:basedOn w:val="44"/>
    <w:next w:val="1"/>
    <w:qFormat/>
    <w:uiPriority w:val="0"/>
    <w:pPr>
      <w:ind w:left="200" w:leftChars="200"/>
    </w:pPr>
  </w:style>
  <w:style w:type="paragraph" w:customStyle="1" w:styleId="50">
    <w:name w:val="toc 59a1cb9c49a1cb9c4"/>
    <w:basedOn w:val="44"/>
    <w:next w:val="1"/>
    <w:qFormat/>
    <w:uiPriority w:val="0"/>
    <w:pPr>
      <w:ind w:left="1680"/>
    </w:pPr>
  </w:style>
  <w:style w:type="paragraph" w:customStyle="1" w:styleId="51">
    <w:name w:val="toc 3649d70d2649d70d2"/>
    <w:basedOn w:val="44"/>
    <w:next w:val="1"/>
    <w:qFormat/>
    <w:uiPriority w:val="0"/>
    <w:pPr>
      <w:ind w:left="840"/>
    </w:pPr>
  </w:style>
  <w:style w:type="paragraph" w:customStyle="1" w:styleId="52">
    <w:name w:val="footer7eaa76647eaa7664"/>
    <w:basedOn w:val="44"/>
    <w:qFormat/>
    <w:uiPriority w:val="0"/>
    <w:pPr>
      <w:tabs>
        <w:tab w:val="center" w:pos="4153"/>
        <w:tab w:val="right" w:pos="8307"/>
      </w:tabs>
      <w:adjustRightInd/>
      <w:snapToGrid w:val="0"/>
      <w:contextualSpacing w:val="0"/>
      <w:jc w:val="left"/>
    </w:pPr>
    <w:rPr>
      <w:sz w:val="18"/>
    </w:rPr>
  </w:style>
  <w:style w:type="paragraph" w:customStyle="1" w:styleId="53">
    <w:name w:val="headerc54e6498c54e6498"/>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8ecc80a78ecc80a7"/>
    <w:basedOn w:val="44"/>
    <w:next w:val="1"/>
    <w:qFormat/>
    <w:uiPriority w:val="0"/>
  </w:style>
  <w:style w:type="paragraph" w:customStyle="1" w:styleId="55">
    <w:name w:val="toc 4b5432d2bb5432d2b"/>
    <w:basedOn w:val="44"/>
    <w:next w:val="1"/>
    <w:qFormat/>
    <w:uiPriority w:val="0"/>
    <w:pPr>
      <w:ind w:left="1260"/>
    </w:pPr>
  </w:style>
  <w:style w:type="paragraph" w:customStyle="1" w:styleId="56">
    <w:name w:val="toc 253a0ff0a53a0ff0a"/>
    <w:basedOn w:val="44"/>
    <w:next w:val="1"/>
    <w:qFormat/>
    <w:uiPriority w:val="0"/>
    <w:pPr>
      <w:ind w:left="420"/>
    </w:pPr>
  </w:style>
  <w:style w:type="paragraph" w:customStyle="1" w:styleId="57">
    <w:name w:val="列出段落1b41618feb41618fe"/>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25</Pages>
  <Words>48882</Words>
  <Characters>51535</Characters>
  <Lines>81</Lines>
  <Paragraphs>27</Paragraphs>
  <TotalTime>9</TotalTime>
  <ScaleCrop>false</ScaleCrop>
  <LinksUpToDate>false</LinksUpToDate>
  <CharactersWithSpaces>51742</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2025-08-08T02:31:19Z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